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E187B">
      <w:pPr>
        <w:rPr>
          <w:rFonts w:ascii="仿宋_GB2312" w:hAnsi="仿宋_GB2312" w:eastAsia="仿宋_GB2312" w:cs="仿宋_GB2312"/>
          <w:color w:val="000000" w:themeColor="text1"/>
          <w:sz w:val="36"/>
          <w:szCs w:val="36"/>
          <w14:textFill>
            <w14:solidFill>
              <w14:schemeClr w14:val="tx1"/>
            </w14:solidFill>
          </w14:textFill>
        </w:rPr>
      </w:pPr>
    </w:p>
    <w:p w14:paraId="23EA3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ascii="方正小标宋_GBK" w:eastAsia="方正小标宋_GBK"/>
          <w:bCs/>
          <w:color w:val="000000" w:themeColor="text1"/>
          <w:sz w:val="72"/>
          <w:szCs w:val="72"/>
          <w14:textFill>
            <w14:solidFill>
              <w14:schemeClr w14:val="tx1"/>
            </w14:solidFill>
          </w14:textFill>
        </w:rPr>
      </w:pPr>
      <w:r>
        <w:rPr>
          <w:rFonts w:hint="eastAsia" w:ascii="方正小标宋_GBK" w:eastAsia="方正小标宋_GBK"/>
          <w:bCs/>
          <w:color w:val="000000" w:themeColor="text1"/>
          <w:sz w:val="72"/>
          <w:szCs w:val="72"/>
          <w14:textFill>
            <w14:solidFill>
              <w14:schemeClr w14:val="tx1"/>
            </w14:solidFill>
          </w14:textFill>
        </w:rPr>
        <w:t>建设项目环境影响报告表</w:t>
      </w:r>
    </w:p>
    <w:p w14:paraId="1CDE5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楷体_GB2312" w:eastAsia="楷体_GB2312"/>
          <w:bCs/>
          <w:color w:val="000000" w:themeColor="text1"/>
          <w:sz w:val="44"/>
          <w:szCs w:val="44"/>
          <w14:textFill>
            <w14:solidFill>
              <w14:schemeClr w14:val="tx1"/>
            </w14:solidFill>
          </w14:textFill>
        </w:rPr>
      </w:pPr>
      <w:r>
        <w:rPr>
          <w:rFonts w:hint="eastAsia" w:ascii="楷体_GB2312" w:eastAsia="楷体_GB2312"/>
          <w:bCs/>
          <w:color w:val="000000" w:themeColor="text1"/>
          <w:sz w:val="44"/>
          <w:szCs w:val="44"/>
          <w14:textFill>
            <w14:solidFill>
              <w14:schemeClr w14:val="tx1"/>
            </w14:solidFill>
          </w14:textFill>
        </w:rPr>
        <w:t>（污染影响类）</w:t>
      </w:r>
    </w:p>
    <w:p w14:paraId="1607C8BE">
      <w:pPr>
        <w:adjustRightInd w:val="0"/>
        <w:snapToGrid w:val="0"/>
        <w:spacing w:line="288" w:lineRule="auto"/>
        <w:jc w:val="center"/>
        <w:rPr>
          <w:rFonts w:ascii="华文仿宋" w:hAnsi="华文仿宋" w:eastAsia="华文仿宋" w:cs="华文仿宋"/>
          <w:color w:val="000000" w:themeColor="text1"/>
          <w:kern w:val="44"/>
          <w:sz w:val="44"/>
          <w:szCs w:val="44"/>
          <w14:textFill>
            <w14:solidFill>
              <w14:schemeClr w14:val="tx1"/>
            </w14:solidFill>
          </w14:textFill>
        </w:rPr>
      </w:pPr>
    </w:p>
    <w:p w14:paraId="39151A8B">
      <w:pPr>
        <w:jc w:val="center"/>
        <w:rPr>
          <w:rFonts w:eastAsia="仿宋"/>
          <w:color w:val="000000" w:themeColor="text1"/>
          <w:sz w:val="52"/>
          <w:szCs w:val="52"/>
          <w14:textFill>
            <w14:solidFill>
              <w14:schemeClr w14:val="tx1"/>
            </w14:solidFill>
          </w14:textFill>
        </w:rPr>
      </w:pPr>
    </w:p>
    <w:p w14:paraId="67D9BD43">
      <w:pPr>
        <w:ind w:firstLine="1040"/>
        <w:rPr>
          <w:rFonts w:eastAsia="仿宋"/>
          <w:color w:val="000000" w:themeColor="text1"/>
          <w:sz w:val="44"/>
          <w:szCs w:val="44"/>
          <w14:textFill>
            <w14:solidFill>
              <w14:schemeClr w14:val="tx1"/>
            </w14:solidFill>
          </w14:textFill>
        </w:rPr>
      </w:pPr>
    </w:p>
    <w:p w14:paraId="3244C102">
      <w:pPr>
        <w:ind w:firstLine="1040"/>
        <w:rPr>
          <w:rFonts w:eastAsia="仿宋"/>
          <w:color w:val="000000" w:themeColor="text1"/>
          <w:sz w:val="44"/>
          <w:szCs w:val="44"/>
          <w14:textFill>
            <w14:solidFill>
              <w14:schemeClr w14:val="tx1"/>
            </w14:solidFill>
          </w14:textFill>
        </w:rPr>
      </w:pPr>
    </w:p>
    <w:p w14:paraId="3B26051F">
      <w:pPr>
        <w:ind w:firstLine="1040"/>
        <w:rPr>
          <w:rFonts w:eastAsia="仿宋"/>
          <w:color w:val="000000" w:themeColor="text1"/>
          <w:sz w:val="44"/>
          <w:szCs w:val="44"/>
          <w14:textFill>
            <w14:solidFill>
              <w14:schemeClr w14:val="tx1"/>
            </w14:solidFill>
          </w14:textFill>
        </w:rPr>
      </w:pPr>
    </w:p>
    <w:p w14:paraId="1EE05B89">
      <w:pPr>
        <w:ind w:firstLine="1040"/>
        <w:rPr>
          <w:rFonts w:eastAsia="仿宋"/>
          <w:color w:val="000000" w:themeColor="text1"/>
          <w:sz w:val="44"/>
          <w:szCs w:val="44"/>
          <w14:textFill>
            <w14:solidFill>
              <w14:schemeClr w14:val="tx1"/>
            </w14:solidFill>
          </w14:textFill>
        </w:rPr>
      </w:pPr>
    </w:p>
    <w:p w14:paraId="7C52F55F">
      <w:pPr>
        <w:keepNext w:val="0"/>
        <w:keepLines w:val="0"/>
        <w:widowControl w:val="0"/>
        <w:suppressLineNumbers w:val="0"/>
        <w:autoSpaceDE w:val="0"/>
        <w:autoSpaceDN w:val="0"/>
        <w:adjustRightInd w:val="0"/>
        <w:snapToGrid w:val="0"/>
        <w:spacing w:before="0" w:beforeAutospacing="0" w:after="0" w:afterAutospacing="0" w:line="360" w:lineRule="auto"/>
        <w:ind w:left="2566" w:leftChars="266" w:right="0" w:hanging="1928" w:hangingChars="600"/>
        <w:jc w:val="both"/>
        <w:outlineLvl w:val="0"/>
        <w:rPr>
          <w:rFonts w:hint="default" w:ascii="Times New Roman" w:hAnsi="Times New Roman" w:eastAsia="宋体" w:cs="Times New Roman"/>
          <w:b/>
          <w:bCs/>
          <w:sz w:val="32"/>
          <w:szCs w:val="32"/>
          <w:u w:val="single"/>
          <w:lang w:val="en-US"/>
        </w:rPr>
      </w:pPr>
      <w:bookmarkStart w:id="0" w:name="_Hlk57884087"/>
      <w:r>
        <w:rPr>
          <w:rFonts w:hint="eastAsia" w:ascii="宋体" w:hAnsi="宋体" w:eastAsia="宋体" w:cs="宋体"/>
          <w:b/>
          <w:bCs/>
          <w:snapToGrid/>
          <w:kern w:val="0"/>
          <w:sz w:val="32"/>
          <w:szCs w:val="32"/>
          <w:lang w:val="en-US" w:eastAsia="zh-CN" w:bidi="ar"/>
        </w:rPr>
        <w:t>项目名称：</w:t>
      </w:r>
      <w:r>
        <w:rPr>
          <w:rFonts w:hint="eastAsia" w:ascii="宋体" w:hAnsi="宋体" w:cs="宋体"/>
          <w:b/>
          <w:bCs/>
          <w:snapToGrid/>
          <w:kern w:val="0"/>
          <w:sz w:val="32"/>
          <w:szCs w:val="32"/>
          <w:u w:val="single"/>
          <w:lang w:val="en-US" w:eastAsia="zh-CN" w:bidi="ar"/>
        </w:rPr>
        <w:t>焉耆晨光日加工1500吨萃取线项目</w:t>
      </w:r>
      <w:r>
        <w:rPr>
          <w:rFonts w:hint="eastAsia" w:ascii="Times New Roman" w:hAnsi="Times New Roman" w:eastAsia="宋体" w:cs="Times New Roman"/>
          <w:b/>
          <w:bCs/>
          <w:snapToGrid/>
          <w:kern w:val="0"/>
          <w:sz w:val="32"/>
          <w:szCs w:val="32"/>
          <w:u w:val="single"/>
          <w:lang w:val="en-US" w:eastAsia="zh-CN" w:bidi="ar"/>
        </w:rPr>
        <w:t xml:space="preserve">                                </w:t>
      </w:r>
    </w:p>
    <w:p w14:paraId="4C050BE8">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643" w:firstLineChars="200"/>
        <w:jc w:val="both"/>
        <w:outlineLvl w:val="0"/>
        <w:rPr>
          <w:rFonts w:hint="default" w:ascii="Times New Roman" w:hAnsi="Times New Roman" w:eastAsia="宋体" w:cs="Times New Roman"/>
          <w:b/>
          <w:bCs/>
          <w:sz w:val="32"/>
          <w:szCs w:val="32"/>
          <w:u w:val="single"/>
        </w:rPr>
      </w:pPr>
      <w:r>
        <w:rPr>
          <w:rFonts w:hint="eastAsia" w:ascii="宋体" w:hAnsi="宋体" w:eastAsia="宋体" w:cs="宋体"/>
          <w:b/>
          <w:bCs/>
          <w:snapToGrid/>
          <w:kern w:val="0"/>
          <w:sz w:val="32"/>
          <w:szCs w:val="32"/>
          <w:lang w:val="en-US" w:eastAsia="zh-CN" w:bidi="ar"/>
        </w:rPr>
        <w:t>建设单位（盖章）：</w:t>
      </w:r>
      <w:r>
        <w:rPr>
          <w:rFonts w:hint="eastAsia" w:ascii="Times New Roman" w:hAnsi="Times New Roman" w:eastAsia="宋体" w:cs="Times New Roman"/>
          <w:b/>
          <w:bCs/>
          <w:snapToGrid/>
          <w:kern w:val="0"/>
          <w:sz w:val="32"/>
          <w:szCs w:val="32"/>
          <w:u w:val="single"/>
          <w:lang w:val="en-US" w:eastAsia="zh-CN" w:bidi="ar"/>
        </w:rPr>
        <w:t xml:space="preserve"> </w:t>
      </w:r>
      <w:r>
        <w:rPr>
          <w:rFonts w:hint="eastAsia" w:ascii="宋体" w:hAnsi="宋体" w:cs="宋体"/>
          <w:b/>
          <w:bCs/>
          <w:snapToGrid/>
          <w:kern w:val="0"/>
          <w:sz w:val="32"/>
          <w:szCs w:val="32"/>
          <w:u w:val="single"/>
          <w:lang w:val="en-US" w:eastAsia="zh-CN" w:bidi="ar"/>
        </w:rPr>
        <w:t>晨光生物科技集团焉耆有限公司</w:t>
      </w:r>
      <w:r>
        <w:rPr>
          <w:rFonts w:hint="eastAsia" w:ascii="Times New Roman" w:hAnsi="Times New Roman" w:eastAsia="宋体" w:cs="Times New Roman"/>
          <w:b/>
          <w:bCs/>
          <w:snapToGrid/>
          <w:kern w:val="0"/>
          <w:sz w:val="32"/>
          <w:szCs w:val="32"/>
          <w:u w:val="single"/>
          <w:lang w:val="en-US" w:eastAsia="zh-CN" w:bidi="ar"/>
        </w:rPr>
        <w:t xml:space="preserve">        </w:t>
      </w:r>
    </w:p>
    <w:p w14:paraId="0CABFA24">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643" w:firstLineChars="200"/>
        <w:jc w:val="both"/>
        <w:outlineLvl w:val="0"/>
        <w:rPr>
          <w:rFonts w:hint="default" w:ascii="Times New Roman" w:hAnsi="Times New Roman" w:eastAsia="宋体" w:cs="Times New Roman"/>
          <w:b/>
          <w:bCs/>
          <w:sz w:val="24"/>
          <w:szCs w:val="24"/>
        </w:rPr>
      </w:pPr>
      <w:r>
        <w:rPr>
          <w:rFonts w:hint="eastAsia" w:ascii="宋体" w:hAnsi="宋体" w:eastAsia="宋体" w:cs="宋体"/>
          <w:b/>
          <w:bCs/>
          <w:snapToGrid/>
          <w:kern w:val="0"/>
          <w:sz w:val="32"/>
          <w:szCs w:val="32"/>
          <w:lang w:val="en-US" w:eastAsia="zh-CN" w:bidi="ar"/>
        </w:rPr>
        <w:t>编制日期：</w:t>
      </w:r>
      <w:r>
        <w:rPr>
          <w:rFonts w:hint="eastAsia" w:ascii="Times New Roman" w:hAnsi="Times New Roman" w:eastAsia="宋体" w:cs="Times New Roman"/>
          <w:b/>
          <w:bCs/>
          <w:snapToGrid/>
          <w:kern w:val="0"/>
          <w:sz w:val="32"/>
          <w:szCs w:val="32"/>
          <w:u w:val="single"/>
          <w:lang w:val="en-US" w:eastAsia="zh-CN" w:bidi="ar"/>
        </w:rPr>
        <w:t xml:space="preserve">            </w:t>
      </w:r>
      <w:r>
        <w:rPr>
          <w:rFonts w:hint="eastAsia" w:cs="Times New Roman"/>
          <w:b/>
          <w:bCs/>
          <w:snapToGrid/>
          <w:kern w:val="0"/>
          <w:sz w:val="32"/>
          <w:szCs w:val="32"/>
          <w:u w:val="single"/>
          <w:lang w:val="en-US" w:eastAsia="zh-CN" w:bidi="ar"/>
        </w:rPr>
        <w:t xml:space="preserve">   </w:t>
      </w:r>
      <w:r>
        <w:rPr>
          <w:rFonts w:hint="eastAsia" w:ascii="Times New Roman" w:hAnsi="Times New Roman" w:eastAsia="宋体" w:cs="Times New Roman"/>
          <w:b/>
          <w:bCs/>
          <w:snapToGrid/>
          <w:kern w:val="0"/>
          <w:sz w:val="32"/>
          <w:szCs w:val="32"/>
          <w:u w:val="single"/>
          <w:lang w:val="en-US" w:eastAsia="zh-CN" w:bidi="ar"/>
        </w:rPr>
        <w:t xml:space="preserve"> </w:t>
      </w:r>
      <w:r>
        <w:rPr>
          <w:rFonts w:hint="default" w:ascii="Times New Roman" w:hAnsi="Times New Roman" w:eastAsia="宋体" w:cs="Times New Roman"/>
          <w:b/>
          <w:bCs/>
          <w:snapToGrid/>
          <w:kern w:val="0"/>
          <w:sz w:val="32"/>
          <w:szCs w:val="32"/>
          <w:u w:val="single"/>
          <w:lang w:val="en-US" w:eastAsia="zh-CN" w:bidi="ar"/>
        </w:rPr>
        <w:t>202</w:t>
      </w:r>
      <w:r>
        <w:rPr>
          <w:rFonts w:hint="eastAsia" w:cs="Times New Roman"/>
          <w:b/>
          <w:bCs/>
          <w:snapToGrid/>
          <w:kern w:val="0"/>
          <w:sz w:val="32"/>
          <w:szCs w:val="32"/>
          <w:u w:val="single"/>
          <w:lang w:val="en-US" w:eastAsia="zh-CN" w:bidi="ar"/>
        </w:rPr>
        <w:t>6</w:t>
      </w:r>
      <w:r>
        <w:rPr>
          <w:rFonts w:hint="eastAsia" w:ascii="宋体" w:hAnsi="宋体" w:eastAsia="宋体" w:cs="宋体"/>
          <w:b/>
          <w:bCs/>
          <w:snapToGrid/>
          <w:kern w:val="0"/>
          <w:sz w:val="32"/>
          <w:szCs w:val="32"/>
          <w:u w:val="single"/>
          <w:lang w:val="en-US" w:eastAsia="zh-CN" w:bidi="ar"/>
        </w:rPr>
        <w:t>年</w:t>
      </w:r>
      <w:r>
        <w:rPr>
          <w:rFonts w:hint="eastAsia" w:cs="Times New Roman"/>
          <w:b/>
          <w:bCs/>
          <w:snapToGrid/>
          <w:kern w:val="0"/>
          <w:sz w:val="32"/>
          <w:szCs w:val="32"/>
          <w:u w:val="single"/>
          <w:lang w:val="en-US" w:eastAsia="zh-CN" w:bidi="ar"/>
        </w:rPr>
        <w:t>3</w:t>
      </w:r>
      <w:r>
        <w:rPr>
          <w:rFonts w:hint="eastAsia" w:ascii="宋体" w:hAnsi="宋体" w:eastAsia="宋体" w:cs="宋体"/>
          <w:b/>
          <w:bCs/>
          <w:snapToGrid/>
          <w:kern w:val="0"/>
          <w:sz w:val="32"/>
          <w:szCs w:val="32"/>
          <w:u w:val="single"/>
          <w:lang w:val="en-US" w:eastAsia="zh-CN" w:bidi="ar"/>
        </w:rPr>
        <w:t>月</w:t>
      </w:r>
      <w:r>
        <w:rPr>
          <w:rFonts w:hint="eastAsia" w:ascii="Times New Roman" w:hAnsi="Times New Roman" w:eastAsia="宋体" w:cs="Times New Roman"/>
          <w:b/>
          <w:bCs/>
          <w:snapToGrid/>
          <w:kern w:val="0"/>
          <w:sz w:val="32"/>
          <w:szCs w:val="32"/>
          <w:u w:val="single"/>
          <w:lang w:val="en-US" w:eastAsia="zh-CN" w:bidi="ar"/>
        </w:rPr>
        <w:t xml:space="preserve">                        </w:t>
      </w:r>
    </w:p>
    <w:p w14:paraId="03AC24F1">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07A452C4">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E46FFA3">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bookmarkEnd w:id="0"/>
    <w:p w14:paraId="3735E419">
      <w:pPr>
        <w:adjustRightInd w:val="0"/>
        <w:snapToGrid w:val="0"/>
        <w:spacing w:line="288" w:lineRule="auto"/>
        <w:jc w:val="center"/>
        <w:rPr>
          <w:rFonts w:ascii="楷体_GB2312" w:eastAsia="楷体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11DCED3F">
      <w:pPr>
        <w:rPr>
          <w:rFonts w:ascii="仿宋_GB2312" w:eastAsia="仿宋_GB2312"/>
          <w:color w:val="000000" w:themeColor="text1"/>
          <w:sz w:val="36"/>
          <w:szCs w:val="36"/>
          <w14:textFill>
            <w14:solidFill>
              <w14:schemeClr w14:val="tx1"/>
            </w14:solidFill>
          </w14:textFill>
        </w:rPr>
        <w:sectPr>
          <w:footerReference r:id="rId5" w:type="default"/>
          <w:footerReference r:id="rId6" w:type="even"/>
          <w:pgSz w:w="11906" w:h="16838"/>
          <w:pgMar w:top="1531" w:right="1531" w:bottom="153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ascii="仿宋_GB2312" w:eastAsia="仿宋_GB2312"/>
          <w:color w:val="000000" w:themeColor="text1"/>
          <w:sz w:val="36"/>
          <w:szCs w:val="36"/>
          <w14:textFill>
            <w14:solidFill>
              <w14:schemeClr w14:val="tx1"/>
            </w14:solidFill>
          </w14:textFill>
        </w:rPr>
        <w:br w:type="page"/>
      </w:r>
    </w:p>
    <w:p w14:paraId="4F0FC94C">
      <w:pPr>
        <w:pStyle w:val="4"/>
        <w:bidi w:val="0"/>
        <w:rPr>
          <w:rFonts w:hint="default"/>
          <w:lang w:val="en-US" w:eastAsia="zh-CN"/>
        </w:rPr>
      </w:pPr>
      <w:r>
        <w:rPr>
          <w:rFonts w:hint="eastAsia"/>
          <w:lang w:val="en-US" w:eastAsia="zh-CN"/>
        </w:rPr>
        <w:t>附图：</w:t>
      </w:r>
    </w:p>
    <w:p w14:paraId="74CCEDB5">
      <w:pPr>
        <w:bidi w:val="0"/>
        <w:rPr>
          <w:rFonts w:hint="eastAsia"/>
          <w:lang w:val="en-US" w:eastAsia="zh-CN"/>
        </w:rPr>
      </w:pPr>
      <w:r>
        <w:rPr>
          <w:rFonts w:hint="eastAsia"/>
          <w:lang w:val="en-US" w:eastAsia="zh-CN"/>
        </w:rPr>
        <w:t>附图1项目区地理位置示意图</w:t>
      </w:r>
    </w:p>
    <w:p w14:paraId="2670FAA9">
      <w:pPr>
        <w:bidi w:val="0"/>
        <w:rPr>
          <w:rFonts w:hint="eastAsia"/>
          <w:lang w:val="en-US" w:eastAsia="zh-CN"/>
        </w:rPr>
      </w:pPr>
      <w:r>
        <w:rPr>
          <w:rFonts w:hint="eastAsia"/>
          <w:lang w:val="en-US" w:eastAsia="zh-CN"/>
        </w:rPr>
        <w:t>附图2项目区周边关系图</w:t>
      </w:r>
    </w:p>
    <w:p w14:paraId="19393CF1">
      <w:pPr>
        <w:bidi w:val="0"/>
        <w:rPr>
          <w:rFonts w:hint="eastAsia"/>
          <w:lang w:val="en-US" w:eastAsia="zh-CN"/>
        </w:rPr>
      </w:pPr>
      <w:r>
        <w:rPr>
          <w:rFonts w:hint="eastAsia"/>
          <w:lang w:val="en-US" w:eastAsia="zh-CN"/>
        </w:rPr>
        <w:t>附图3厂区平面布置图</w:t>
      </w:r>
    </w:p>
    <w:p w14:paraId="451D240D">
      <w:pPr>
        <w:bidi w:val="0"/>
        <w:rPr>
          <w:rFonts w:hint="eastAsia"/>
          <w:lang w:val="en-US" w:eastAsia="zh-CN"/>
        </w:rPr>
      </w:pPr>
      <w:r>
        <w:rPr>
          <w:rFonts w:hint="eastAsia"/>
          <w:lang w:val="en-US" w:eastAsia="zh-CN"/>
        </w:rPr>
        <w:t>附图4大气监测点位示意图</w:t>
      </w:r>
    </w:p>
    <w:p w14:paraId="1309C004">
      <w:pPr>
        <w:bidi w:val="0"/>
        <w:rPr>
          <w:rFonts w:hint="eastAsia"/>
          <w:lang w:val="en-US" w:eastAsia="zh-CN"/>
        </w:rPr>
      </w:pPr>
      <w:r>
        <w:rPr>
          <w:rFonts w:hint="eastAsia"/>
          <w:lang w:val="en-US" w:eastAsia="zh-CN"/>
        </w:rPr>
        <w:t>附图5项目区功能布局符合性示意</w:t>
      </w:r>
    </w:p>
    <w:p w14:paraId="2D0E8650">
      <w:pPr>
        <w:bidi w:val="0"/>
        <w:rPr>
          <w:rFonts w:hint="eastAsia"/>
          <w:lang w:val="en-US" w:eastAsia="zh-CN"/>
        </w:rPr>
      </w:pPr>
      <w:r>
        <w:t>附图</w:t>
      </w:r>
      <w:r>
        <w:rPr>
          <w:rFonts w:hint="eastAsia"/>
          <w:lang w:val="en-US" w:eastAsia="zh-CN"/>
        </w:rPr>
        <w:t>6</w:t>
      </w:r>
      <w:r>
        <w:t>项目区</w:t>
      </w:r>
      <w:r>
        <w:rPr>
          <w:rFonts w:hint="eastAsia"/>
          <w:lang w:val="en-US" w:eastAsia="zh-CN"/>
        </w:rPr>
        <w:t>用地布局规划</w:t>
      </w:r>
      <w:r>
        <w:t>示意</w:t>
      </w:r>
      <w:r>
        <w:rPr>
          <w:rFonts w:hint="eastAsia"/>
          <w:lang w:eastAsia="zh-CN"/>
        </w:rPr>
        <w:t>图</w:t>
      </w:r>
    </w:p>
    <w:p w14:paraId="0DD7A61A">
      <w:pPr>
        <w:bidi w:val="0"/>
        <w:rPr>
          <w:rFonts w:hint="eastAsia"/>
          <w:lang w:val="en-US" w:eastAsia="zh-CN"/>
        </w:rPr>
      </w:pPr>
      <w:r>
        <w:rPr>
          <w:rFonts w:hint="eastAsia"/>
          <w:lang w:val="en-US" w:eastAsia="zh-CN"/>
        </w:rPr>
        <w:t>附图7项目区环境管控单元位置示意图</w:t>
      </w:r>
      <w:r>
        <w:rPr>
          <w:rFonts w:hint="eastAsia"/>
          <w:lang w:val="en-US" w:eastAsia="zh-CN"/>
        </w:rPr>
        <w:br w:type="textWrapping"/>
      </w:r>
      <w:r>
        <w:rPr>
          <w:rFonts w:hint="eastAsia"/>
          <w:b/>
          <w:bCs/>
          <w:lang w:val="en-US" w:eastAsia="zh-CN"/>
        </w:rPr>
        <w:t>附件</w:t>
      </w:r>
      <w:r>
        <w:rPr>
          <w:rFonts w:hint="eastAsia"/>
          <w:lang w:val="en-US" w:eastAsia="zh-CN"/>
        </w:rPr>
        <w:t>：</w:t>
      </w:r>
    </w:p>
    <w:p w14:paraId="5194A6D2">
      <w:pPr>
        <w:bidi w:val="0"/>
        <w:rPr>
          <w:rFonts w:hint="default"/>
          <w:lang w:val="en-US" w:eastAsia="zh-CN"/>
        </w:rPr>
      </w:pPr>
      <w:r>
        <w:rPr>
          <w:rFonts w:hint="eastAsia"/>
          <w:lang w:val="en-US" w:eastAsia="zh-CN"/>
        </w:rPr>
        <w:t>附件1委托书</w:t>
      </w:r>
    </w:p>
    <w:p w14:paraId="0FC42B12">
      <w:pPr>
        <w:bidi w:val="0"/>
        <w:rPr>
          <w:rFonts w:hint="default"/>
          <w:lang w:val="en-US" w:eastAsia="zh-CN"/>
        </w:rPr>
      </w:pPr>
      <w:r>
        <w:rPr>
          <w:rFonts w:hint="eastAsia"/>
          <w:lang w:val="en-US" w:eastAsia="zh-CN"/>
        </w:rPr>
        <w:t>附件2备案证</w:t>
      </w:r>
    </w:p>
    <w:p w14:paraId="7B0481D2">
      <w:pPr>
        <w:bidi w:val="0"/>
        <w:rPr>
          <w:rFonts w:hint="eastAsia"/>
          <w:lang w:val="en-US" w:eastAsia="zh-CN"/>
        </w:rPr>
      </w:pPr>
      <w:r>
        <w:rPr>
          <w:rFonts w:hint="eastAsia"/>
          <w:lang w:val="en-US" w:eastAsia="zh-CN"/>
        </w:rPr>
        <w:t>附件3营业执照</w:t>
      </w:r>
    </w:p>
    <w:p w14:paraId="5BA53E78">
      <w:pPr>
        <w:bidi w:val="0"/>
        <w:rPr>
          <w:rFonts w:hint="eastAsia"/>
          <w:lang w:val="en-US" w:eastAsia="zh-CN"/>
        </w:rPr>
      </w:pPr>
      <w:r>
        <w:rPr>
          <w:rFonts w:hint="eastAsia"/>
          <w:lang w:val="en-US" w:eastAsia="zh-CN"/>
        </w:rPr>
        <w:t>附件4用地文件</w:t>
      </w:r>
    </w:p>
    <w:p w14:paraId="1E0A14CF">
      <w:pPr>
        <w:pStyle w:val="2"/>
        <w:jc w:val="both"/>
        <w:rPr>
          <w:rFonts w:hint="eastAsia"/>
          <w:lang w:val="en-US" w:eastAsia="zh-CN"/>
        </w:rPr>
      </w:pPr>
      <w:r>
        <w:rPr>
          <w:rFonts w:hint="eastAsia"/>
          <w:lang w:val="en-US" w:eastAsia="zh-CN"/>
        </w:rPr>
        <w:t>附件5大气现状监测报告</w:t>
      </w:r>
    </w:p>
    <w:p w14:paraId="58024DFA">
      <w:pPr>
        <w:rPr>
          <w:rFonts w:hint="default"/>
          <w:lang w:val="en-US" w:eastAsia="zh-CN"/>
        </w:rPr>
      </w:pPr>
      <w:r>
        <w:rPr>
          <w:rFonts w:hint="eastAsia"/>
          <w:lang w:val="en-US" w:eastAsia="zh-CN"/>
        </w:rPr>
        <w:t>附件6晨光生物科技集团焉耆有限公司自行监测报告</w:t>
      </w:r>
    </w:p>
    <w:p w14:paraId="19FE074E">
      <w:pPr>
        <w:rPr>
          <w:rFonts w:hint="eastAsia"/>
          <w:lang w:val="en-US" w:eastAsia="zh-CN"/>
        </w:rPr>
      </w:pPr>
      <w:r>
        <w:rPr>
          <w:rFonts w:hint="eastAsia"/>
          <w:lang w:val="en-US" w:eastAsia="zh-CN"/>
        </w:rPr>
        <w:t>附件7建设项目环评告知承诺审批申请表</w:t>
      </w:r>
    </w:p>
    <w:p w14:paraId="30355023">
      <w:pPr>
        <w:rPr>
          <w:rFonts w:hint="eastAsia"/>
          <w:lang w:val="en-US" w:eastAsia="zh-CN"/>
        </w:rPr>
      </w:pPr>
      <w:r>
        <w:rPr>
          <w:rFonts w:hint="eastAsia"/>
          <w:lang w:val="en-US" w:eastAsia="zh-CN"/>
        </w:rPr>
        <w:br w:type="page"/>
      </w:r>
    </w:p>
    <w:p w14:paraId="36CB3119">
      <w:r>
        <w:drawing>
          <wp:inline distT="0" distB="0" distL="114300" distR="114300">
            <wp:extent cx="5248275" cy="74580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48275" cy="7458075"/>
                    </a:xfrm>
                    <a:prstGeom prst="rect">
                      <a:avLst/>
                    </a:prstGeom>
                    <a:noFill/>
                    <a:ln>
                      <a:noFill/>
                    </a:ln>
                  </pic:spPr>
                </pic:pic>
              </a:graphicData>
            </a:graphic>
          </wp:inline>
        </w:drawing>
      </w:r>
    </w:p>
    <w:p w14:paraId="545A2ADD">
      <w:r>
        <w:br w:type="page"/>
      </w:r>
    </w:p>
    <w:p w14:paraId="20E6AF32">
      <w:pPr>
        <w:rPr>
          <w:rFonts w:hint="default"/>
          <w:lang w:val="en-US" w:eastAsia="zh-CN"/>
        </w:rPr>
      </w:pPr>
    </w:p>
    <w:p w14:paraId="51E83A7E">
      <w:r>
        <w:drawing>
          <wp:inline distT="0" distB="0" distL="114300" distR="114300">
            <wp:extent cx="4933950" cy="71628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4933950" cy="7162800"/>
                    </a:xfrm>
                    <a:prstGeom prst="rect">
                      <a:avLst/>
                    </a:prstGeom>
                    <a:noFill/>
                    <a:ln>
                      <a:noFill/>
                    </a:ln>
                  </pic:spPr>
                </pic:pic>
              </a:graphicData>
            </a:graphic>
          </wp:inline>
        </w:drawing>
      </w:r>
    </w:p>
    <w:p w14:paraId="67A90E08">
      <w:r>
        <w:br w:type="page"/>
      </w:r>
    </w:p>
    <w:p w14:paraId="0E811A20">
      <w:pPr>
        <w:rPr>
          <w:rFonts w:hint="default"/>
          <w:lang w:val="en-US" w:eastAsia="zh-CN"/>
        </w:rPr>
        <w:sectPr>
          <w:pgSz w:w="11906" w:h="16838"/>
          <w:pgMar w:top="1531" w:right="1531" w:bottom="153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AA1F234">
      <w:pPr>
        <w:pStyle w:val="25"/>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p>
    <w:tbl>
      <w:tblPr>
        <w:tblStyle w:val="30"/>
        <w:tblW w:w="50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1"/>
        <w:gridCol w:w="2218"/>
        <w:gridCol w:w="1815"/>
        <w:gridCol w:w="3631"/>
      </w:tblGrid>
      <w:tr w14:paraId="7F329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55" w:type="pct"/>
            <w:tcMar>
              <w:top w:w="16" w:type="dxa"/>
              <w:left w:w="16" w:type="dxa"/>
              <w:right w:w="16" w:type="dxa"/>
            </w:tcMar>
            <w:vAlign w:val="center"/>
          </w:tcPr>
          <w:p w14:paraId="12C91B3E">
            <w:pPr>
              <w:pStyle w:val="12"/>
              <w:keepNext w:val="0"/>
              <w:keepLines w:val="0"/>
              <w:suppressLineNumbers w:val="0"/>
              <w:bidi w:val="0"/>
              <w:spacing w:before="0" w:beforeAutospacing="0" w:after="0" w:afterAutospacing="0"/>
              <w:ind w:left="0"/>
              <w:rPr>
                <w:rFonts w:hint="default"/>
              </w:rPr>
            </w:pPr>
            <w:r>
              <w:rPr>
                <w:rFonts w:hint="default"/>
              </w:rPr>
              <w:t>建设项目名称</w:t>
            </w:r>
          </w:p>
        </w:tc>
        <w:tc>
          <w:tcPr>
            <w:tcW w:w="4144" w:type="pct"/>
            <w:gridSpan w:val="3"/>
            <w:vAlign w:val="center"/>
          </w:tcPr>
          <w:p w14:paraId="3DC53D72">
            <w:pPr>
              <w:pStyle w:val="1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textAlignment w:val="auto"/>
              <w:rPr>
                <w:rFonts w:hint="eastAsia"/>
                <w:color w:val="auto"/>
                <w:lang w:eastAsia="zh-CN"/>
              </w:rPr>
            </w:pPr>
            <w:r>
              <w:rPr>
                <w:rFonts w:hint="eastAsia"/>
                <w:color w:val="auto"/>
                <w:lang w:eastAsia="zh-CN"/>
              </w:rPr>
              <w:t>焉耆晨光日加工1500吨萃取线项目</w:t>
            </w:r>
          </w:p>
        </w:tc>
      </w:tr>
      <w:tr w14:paraId="32504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16412D34">
            <w:pPr>
              <w:pStyle w:val="12"/>
              <w:keepNext w:val="0"/>
              <w:keepLines w:val="0"/>
              <w:suppressLineNumbers w:val="0"/>
              <w:bidi w:val="0"/>
              <w:spacing w:before="0" w:beforeAutospacing="0" w:after="0" w:afterAutospacing="0"/>
              <w:ind w:left="0"/>
              <w:rPr>
                <w:rFonts w:hint="default"/>
              </w:rPr>
            </w:pPr>
            <w:r>
              <w:rPr>
                <w:rFonts w:hint="default"/>
              </w:rPr>
              <w:t>项目代码</w:t>
            </w:r>
          </w:p>
        </w:tc>
        <w:tc>
          <w:tcPr>
            <w:tcW w:w="4144" w:type="pct"/>
            <w:gridSpan w:val="3"/>
            <w:vAlign w:val="center"/>
          </w:tcPr>
          <w:p w14:paraId="15D8FD3D">
            <w:pPr>
              <w:pStyle w:val="12"/>
              <w:keepNext w:val="0"/>
              <w:keepLines w:val="0"/>
              <w:suppressLineNumbers w:val="0"/>
              <w:bidi w:val="0"/>
              <w:spacing w:before="0" w:beforeAutospacing="0" w:after="0" w:afterAutospacing="0"/>
              <w:ind w:left="0"/>
              <w:rPr>
                <w:rFonts w:hint="default" w:eastAsia="宋体"/>
                <w:color w:val="auto"/>
                <w:lang w:val="en-US" w:eastAsia="zh-CN"/>
              </w:rPr>
            </w:pPr>
          </w:p>
        </w:tc>
      </w:tr>
      <w:tr w14:paraId="0FBBB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4F493DAF">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建设单位联系人</w:t>
            </w:r>
          </w:p>
        </w:tc>
        <w:tc>
          <w:tcPr>
            <w:tcW w:w="1199" w:type="pct"/>
            <w:vAlign w:val="center"/>
          </w:tcPr>
          <w:p w14:paraId="572F64FD">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sz w:val="24"/>
                <w:lang w:val="en-US" w:eastAsia="zh-CN"/>
              </w:rPr>
            </w:pPr>
          </w:p>
        </w:tc>
        <w:tc>
          <w:tcPr>
            <w:tcW w:w="981" w:type="pct"/>
            <w:vAlign w:val="center"/>
          </w:tcPr>
          <w:p w14:paraId="7D4F6429">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sz w:val="24"/>
                <w:lang w:val="en-US" w:eastAsia="zh-CN"/>
              </w:rPr>
            </w:pPr>
          </w:p>
        </w:tc>
        <w:tc>
          <w:tcPr>
            <w:tcW w:w="1963" w:type="pct"/>
            <w:vAlign w:val="center"/>
          </w:tcPr>
          <w:p w14:paraId="2BE47B2D">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sz w:val="24"/>
                <w:lang w:val="en-US" w:eastAsia="zh-CN"/>
              </w:rPr>
            </w:pPr>
          </w:p>
        </w:tc>
      </w:tr>
      <w:tr w14:paraId="7A0F4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7657247A">
            <w:pPr>
              <w:pStyle w:val="12"/>
              <w:keepNext w:val="0"/>
              <w:keepLines w:val="0"/>
              <w:suppressLineNumbers w:val="0"/>
              <w:bidi w:val="0"/>
              <w:spacing w:before="0" w:beforeAutospacing="0" w:after="0" w:afterAutospacing="0"/>
              <w:ind w:left="0"/>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建设地点</w:t>
            </w:r>
          </w:p>
        </w:tc>
        <w:tc>
          <w:tcPr>
            <w:tcW w:w="4144" w:type="pct"/>
            <w:gridSpan w:val="3"/>
            <w:vAlign w:val="center"/>
          </w:tcPr>
          <w:p w14:paraId="604702B7">
            <w:pPr>
              <w:pStyle w:val="12"/>
              <w:keepNext w:val="0"/>
              <w:keepLines w:val="0"/>
              <w:suppressLineNumbers w:val="0"/>
              <w:bidi w:val="0"/>
              <w:spacing w:before="0" w:beforeAutospacing="0" w:after="0" w:afterAutospacing="0"/>
              <w:ind w:left="0"/>
              <w:rPr>
                <w:rFonts w:hint="eastAsia" w:ascii="Times New Roman" w:hAnsi="Times New Roman" w:eastAsia="宋体" w:cs="宋体"/>
                <w:color w:val="auto"/>
                <w:sz w:val="24"/>
                <w:szCs w:val="24"/>
                <w:lang w:val="en-US" w:eastAsia="zh-CN"/>
              </w:rPr>
            </w:pPr>
          </w:p>
        </w:tc>
      </w:tr>
      <w:tr w14:paraId="6D2E8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40EB5B03">
            <w:pPr>
              <w:pStyle w:val="12"/>
              <w:keepNext w:val="0"/>
              <w:keepLines w:val="0"/>
              <w:suppressLineNumbers w:val="0"/>
              <w:bidi w:val="0"/>
              <w:spacing w:before="0" w:beforeAutospacing="0" w:after="0" w:afterAutospacing="0"/>
              <w:ind w:left="0"/>
              <w:rPr>
                <w:rFonts w:hint="default"/>
              </w:rPr>
            </w:pPr>
            <w:r>
              <w:rPr>
                <w:rFonts w:hint="default"/>
              </w:rPr>
              <w:t>地理坐标</w:t>
            </w:r>
          </w:p>
        </w:tc>
        <w:tc>
          <w:tcPr>
            <w:tcW w:w="4144" w:type="pct"/>
            <w:gridSpan w:val="3"/>
            <w:vAlign w:val="center"/>
          </w:tcPr>
          <w:p w14:paraId="55CC5969">
            <w:pPr>
              <w:pStyle w:val="12"/>
              <w:keepNext w:val="0"/>
              <w:keepLines w:val="0"/>
              <w:suppressLineNumbers w:val="0"/>
              <w:bidi w:val="0"/>
              <w:spacing w:before="0" w:beforeAutospacing="0" w:after="0" w:afterAutospacing="0"/>
              <w:ind w:left="0"/>
              <w:rPr>
                <w:rFonts w:hint="default"/>
                <w:color w:val="auto"/>
              </w:rPr>
            </w:pPr>
          </w:p>
        </w:tc>
      </w:tr>
      <w:tr w14:paraId="5D582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shd w:val="clear" w:color="auto" w:fill="auto"/>
            <w:tcMar>
              <w:top w:w="16" w:type="dxa"/>
              <w:left w:w="16" w:type="dxa"/>
              <w:right w:w="16" w:type="dxa"/>
            </w:tcMar>
            <w:vAlign w:val="center"/>
          </w:tcPr>
          <w:p w14:paraId="2BC5D83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国民经济</w:t>
            </w:r>
          </w:p>
          <w:p w14:paraId="7D01BEB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firstLine="0" w:firstLineChars="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行业类别</w:t>
            </w:r>
          </w:p>
        </w:tc>
        <w:tc>
          <w:tcPr>
            <w:tcW w:w="1199" w:type="pct"/>
            <w:shd w:val="clear" w:color="auto" w:fill="auto"/>
            <w:vAlign w:val="center"/>
          </w:tcPr>
          <w:p w14:paraId="01BE7630">
            <w:pPr>
              <w:pStyle w:val="12"/>
              <w:keepNext w:val="0"/>
              <w:keepLines w:val="0"/>
              <w:suppressLineNumbers w:val="0"/>
              <w:bidi w:val="0"/>
              <w:spacing w:before="0" w:beforeAutospacing="0" w:after="0" w:afterAutospacing="0"/>
              <w:ind w:left="0"/>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C1495食品及饲料添加剂制造</w:t>
            </w:r>
          </w:p>
        </w:tc>
        <w:tc>
          <w:tcPr>
            <w:tcW w:w="981" w:type="pct"/>
            <w:shd w:val="clear" w:color="auto" w:fill="auto"/>
            <w:vAlign w:val="center"/>
          </w:tcPr>
          <w:p w14:paraId="469D0A77">
            <w:pPr>
              <w:pStyle w:val="12"/>
              <w:keepNext w:val="0"/>
              <w:keepLines w:val="0"/>
              <w:suppressLineNumbers w:val="0"/>
              <w:bidi w:val="0"/>
              <w:spacing w:before="0" w:beforeAutospacing="0" w:after="0" w:afterAutospacing="0"/>
              <w:ind w:left="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建设项目</w:t>
            </w:r>
          </w:p>
          <w:p w14:paraId="21110B8E">
            <w:pPr>
              <w:pStyle w:val="12"/>
              <w:keepNext w:val="0"/>
              <w:keepLines w:val="0"/>
              <w:suppressLineNumbers w:val="0"/>
              <w:bidi w:val="0"/>
              <w:spacing w:before="0" w:beforeAutospacing="0" w:after="0" w:afterAutospacing="0"/>
              <w:ind w:left="0"/>
              <w:rPr>
                <w:rFonts w:hint="default"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行业类别</w:t>
            </w:r>
          </w:p>
        </w:tc>
        <w:tc>
          <w:tcPr>
            <w:tcW w:w="1963" w:type="pct"/>
            <w:shd w:val="clear" w:color="auto" w:fill="auto"/>
            <w:vAlign w:val="center"/>
          </w:tcPr>
          <w:p w14:paraId="23994D11">
            <w:pPr>
              <w:pStyle w:val="12"/>
              <w:keepNext w:val="0"/>
              <w:keepLines w:val="0"/>
              <w:suppressLineNumbers w:val="0"/>
              <w:bidi w:val="0"/>
              <w:spacing w:before="0" w:beforeAutospacing="0" w:after="0" w:afterAutospacing="0"/>
              <w:ind w:left="0"/>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十一、食品制造业 24其他食品制造-无发酵工艺的食品及饲料添加剂制造</w:t>
            </w:r>
          </w:p>
        </w:tc>
      </w:tr>
      <w:tr w14:paraId="31CE3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52EC1516">
            <w:pPr>
              <w:pStyle w:val="12"/>
              <w:keepNext w:val="0"/>
              <w:keepLines w:val="0"/>
              <w:suppressLineNumbers w:val="0"/>
              <w:bidi w:val="0"/>
              <w:spacing w:before="0" w:beforeAutospacing="0" w:after="0" w:afterAutospacing="0"/>
              <w:ind w:left="0"/>
              <w:rPr>
                <w:rFonts w:hint="default"/>
              </w:rPr>
            </w:pPr>
            <w:r>
              <w:rPr>
                <w:rFonts w:hint="default"/>
              </w:rPr>
              <w:t>建设性质</w:t>
            </w:r>
          </w:p>
        </w:tc>
        <w:tc>
          <w:tcPr>
            <w:tcW w:w="1199" w:type="pct"/>
            <w:vAlign w:val="center"/>
          </w:tcPr>
          <w:p w14:paraId="1EC5740F">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FE"/>
            </w:r>
            <w:r>
              <w:rPr>
                <w:rFonts w:hint="default"/>
                <w:color w:val="auto"/>
              </w:rPr>
              <w:t>新建（迁建）</w:t>
            </w:r>
          </w:p>
          <w:p w14:paraId="074FBE1F">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改建</w:t>
            </w:r>
          </w:p>
          <w:p w14:paraId="1F100158">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扩建</w:t>
            </w:r>
          </w:p>
          <w:p w14:paraId="1B15FE3C">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技术改造</w:t>
            </w:r>
          </w:p>
        </w:tc>
        <w:tc>
          <w:tcPr>
            <w:tcW w:w="981" w:type="pct"/>
            <w:vAlign w:val="center"/>
          </w:tcPr>
          <w:p w14:paraId="383A0FE2">
            <w:pPr>
              <w:pStyle w:val="12"/>
              <w:keepNext w:val="0"/>
              <w:keepLines w:val="0"/>
              <w:suppressLineNumbers w:val="0"/>
              <w:bidi w:val="0"/>
              <w:spacing w:before="0" w:beforeAutospacing="0" w:after="0" w:afterAutospacing="0"/>
              <w:ind w:left="0"/>
              <w:rPr>
                <w:rFonts w:hint="default"/>
                <w:color w:val="auto"/>
              </w:rPr>
            </w:pPr>
            <w:r>
              <w:rPr>
                <w:rFonts w:hint="default"/>
                <w:color w:val="auto"/>
              </w:rPr>
              <w:t>建设项目</w:t>
            </w:r>
          </w:p>
          <w:p w14:paraId="33BCBB4E">
            <w:pPr>
              <w:pStyle w:val="12"/>
              <w:keepNext w:val="0"/>
              <w:keepLines w:val="0"/>
              <w:suppressLineNumbers w:val="0"/>
              <w:bidi w:val="0"/>
              <w:spacing w:before="0" w:beforeAutospacing="0" w:after="0" w:afterAutospacing="0"/>
              <w:ind w:left="0"/>
              <w:rPr>
                <w:rFonts w:hint="default"/>
                <w:color w:val="auto"/>
              </w:rPr>
            </w:pPr>
            <w:r>
              <w:rPr>
                <w:rFonts w:hint="default"/>
                <w:color w:val="auto"/>
              </w:rPr>
              <w:t>申报情形</w:t>
            </w:r>
          </w:p>
        </w:tc>
        <w:tc>
          <w:tcPr>
            <w:tcW w:w="1963" w:type="pct"/>
            <w:vAlign w:val="center"/>
          </w:tcPr>
          <w:p w14:paraId="113BC1C7">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FE"/>
            </w:r>
            <w:r>
              <w:rPr>
                <w:rFonts w:hint="default"/>
                <w:color w:val="auto"/>
              </w:rPr>
              <w:t xml:space="preserve">首次申报项目             </w:t>
            </w:r>
          </w:p>
          <w:p w14:paraId="21AB96F9">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不予批准后再次申报项目</w:t>
            </w:r>
          </w:p>
          <w:p w14:paraId="74B96956">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 xml:space="preserve">超五年重新审核项目     </w:t>
            </w:r>
          </w:p>
          <w:p w14:paraId="43A8667F">
            <w:pPr>
              <w:pStyle w:val="12"/>
              <w:keepNext w:val="0"/>
              <w:keepLines w:val="0"/>
              <w:suppressLineNumbers w:val="0"/>
              <w:bidi w:val="0"/>
              <w:spacing w:before="0" w:beforeAutospacing="0" w:after="0" w:afterAutospacing="0"/>
              <w:ind w:left="0"/>
              <w:jc w:val="left"/>
              <w:rPr>
                <w:rFonts w:hint="default"/>
                <w:color w:val="auto"/>
              </w:rPr>
            </w:pPr>
            <w:r>
              <w:rPr>
                <w:rFonts w:hint="default"/>
                <w:color w:val="auto"/>
              </w:rPr>
              <w:sym w:font="Wingdings" w:char="00A8"/>
            </w:r>
            <w:r>
              <w:rPr>
                <w:rFonts w:hint="default"/>
                <w:color w:val="auto"/>
              </w:rPr>
              <w:t>重大变动重新报批项目</w:t>
            </w:r>
          </w:p>
        </w:tc>
      </w:tr>
      <w:tr w14:paraId="43129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114AFA76">
            <w:pPr>
              <w:pStyle w:val="12"/>
              <w:keepNext w:val="0"/>
              <w:keepLines w:val="0"/>
              <w:suppressLineNumbers w:val="0"/>
              <w:bidi w:val="0"/>
              <w:spacing w:before="0" w:beforeAutospacing="0" w:after="0" w:afterAutospacing="0"/>
              <w:ind w:left="0"/>
              <w:rPr>
                <w:rFonts w:hint="default"/>
              </w:rPr>
            </w:pPr>
            <w:r>
              <w:rPr>
                <w:rFonts w:hint="default"/>
              </w:rPr>
              <w:t>项目审批（核准/备案）部门（选填）</w:t>
            </w:r>
          </w:p>
        </w:tc>
        <w:tc>
          <w:tcPr>
            <w:tcW w:w="1199" w:type="pct"/>
            <w:vAlign w:val="center"/>
          </w:tcPr>
          <w:p w14:paraId="29D7AC80">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eastAsia" w:cs="Times New Roman"/>
                <w:color w:val="auto"/>
                <w:lang w:val="en-US" w:eastAsia="zh-CN"/>
              </w:rPr>
              <w:t>焉耆县发展和改革委员会</w:t>
            </w:r>
          </w:p>
        </w:tc>
        <w:tc>
          <w:tcPr>
            <w:tcW w:w="981" w:type="pct"/>
            <w:vAlign w:val="center"/>
          </w:tcPr>
          <w:p w14:paraId="72DA4E87">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w:t>
            </w:r>
          </w:p>
          <w:p w14:paraId="11880251">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备案）文号（选填）</w:t>
            </w:r>
          </w:p>
        </w:tc>
        <w:tc>
          <w:tcPr>
            <w:tcW w:w="1963" w:type="pct"/>
            <w:vAlign w:val="center"/>
          </w:tcPr>
          <w:p w14:paraId="2F21B668">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2602131014652826000158</w:t>
            </w:r>
          </w:p>
        </w:tc>
      </w:tr>
      <w:tr w14:paraId="62467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855" w:type="pct"/>
            <w:tcMar>
              <w:top w:w="16" w:type="dxa"/>
              <w:left w:w="16" w:type="dxa"/>
              <w:right w:w="16" w:type="dxa"/>
            </w:tcMar>
            <w:vAlign w:val="center"/>
          </w:tcPr>
          <w:p w14:paraId="32135AEC">
            <w:pPr>
              <w:pStyle w:val="12"/>
              <w:keepNext w:val="0"/>
              <w:keepLines w:val="0"/>
              <w:suppressLineNumbers w:val="0"/>
              <w:bidi w:val="0"/>
              <w:spacing w:before="0" w:beforeAutospacing="0" w:after="0" w:afterAutospacing="0"/>
              <w:ind w:left="0"/>
              <w:rPr>
                <w:rFonts w:hint="default"/>
                <w:color w:val="auto"/>
                <w:lang w:eastAsia="zh-CN"/>
              </w:rPr>
            </w:pPr>
            <w:r>
              <w:rPr>
                <w:rFonts w:hint="default"/>
                <w:color w:val="auto"/>
                <w:lang w:eastAsia="zh-CN"/>
              </w:rPr>
              <w:t>总投资（万元）</w:t>
            </w:r>
          </w:p>
        </w:tc>
        <w:tc>
          <w:tcPr>
            <w:tcW w:w="1199" w:type="pct"/>
            <w:vAlign w:val="center"/>
          </w:tcPr>
          <w:p w14:paraId="49B0E51E">
            <w:pPr>
              <w:pStyle w:val="12"/>
              <w:keepNext w:val="0"/>
              <w:keepLines w:val="0"/>
              <w:suppressLineNumbers w:val="0"/>
              <w:bidi w:val="0"/>
              <w:spacing w:before="0" w:beforeAutospacing="0" w:after="0" w:afterAutospacing="0"/>
              <w:ind w:left="0"/>
              <w:rPr>
                <w:rFonts w:hint="default"/>
                <w:color w:val="auto"/>
                <w:lang w:val="en-US" w:eastAsia="zh-CN"/>
              </w:rPr>
            </w:pPr>
            <w:r>
              <w:rPr>
                <w:rFonts w:hint="eastAsia"/>
                <w:color w:val="auto"/>
                <w:lang w:eastAsia="zh-CN"/>
              </w:rPr>
              <w:t xml:space="preserve"> 10183.48</w:t>
            </w:r>
          </w:p>
        </w:tc>
        <w:tc>
          <w:tcPr>
            <w:tcW w:w="981" w:type="pct"/>
            <w:tcMar>
              <w:top w:w="16" w:type="dxa"/>
              <w:left w:w="16" w:type="dxa"/>
              <w:right w:w="16" w:type="dxa"/>
            </w:tcMar>
            <w:vAlign w:val="center"/>
          </w:tcPr>
          <w:p w14:paraId="67D9E455">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环保投资（万元）</w:t>
            </w:r>
          </w:p>
        </w:tc>
        <w:tc>
          <w:tcPr>
            <w:tcW w:w="1963" w:type="pct"/>
            <w:vAlign w:val="center"/>
          </w:tcPr>
          <w:p w14:paraId="3EB181D2">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eastAsia" w:cs="Times New Roman"/>
                <w:color w:val="auto"/>
                <w:lang w:val="en-US" w:eastAsia="zh-CN"/>
              </w:rPr>
              <w:t>135</w:t>
            </w:r>
          </w:p>
        </w:tc>
      </w:tr>
      <w:tr w14:paraId="0C7D8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30ACC37B">
            <w:pPr>
              <w:pStyle w:val="12"/>
              <w:keepNext w:val="0"/>
              <w:keepLines w:val="0"/>
              <w:suppressLineNumbers w:val="0"/>
              <w:bidi w:val="0"/>
              <w:spacing w:before="0" w:beforeAutospacing="0" w:after="0" w:afterAutospacing="0"/>
              <w:ind w:left="0"/>
              <w:rPr>
                <w:rFonts w:hint="default"/>
                <w:color w:val="auto"/>
                <w:lang w:eastAsia="zh-CN"/>
              </w:rPr>
            </w:pPr>
            <w:r>
              <w:rPr>
                <w:rFonts w:hint="default"/>
                <w:color w:val="auto"/>
                <w:lang w:eastAsia="zh-CN"/>
              </w:rPr>
              <w:t>环保投资占比（%）</w:t>
            </w:r>
          </w:p>
        </w:tc>
        <w:tc>
          <w:tcPr>
            <w:tcW w:w="1199" w:type="pct"/>
            <w:vAlign w:val="center"/>
          </w:tcPr>
          <w:p w14:paraId="170F619B">
            <w:pPr>
              <w:pStyle w:val="12"/>
              <w:keepNext w:val="0"/>
              <w:keepLines w:val="0"/>
              <w:suppressLineNumbers w:val="0"/>
              <w:bidi w:val="0"/>
              <w:spacing w:before="0" w:beforeAutospacing="0" w:after="0" w:afterAutospacing="0"/>
              <w:ind w:left="0"/>
              <w:rPr>
                <w:rFonts w:hint="default"/>
                <w:color w:val="auto"/>
                <w:lang w:val="en-US" w:eastAsia="zh-CN"/>
              </w:rPr>
            </w:pPr>
            <w:r>
              <w:rPr>
                <w:rFonts w:hint="eastAsia"/>
                <w:color w:val="auto"/>
                <w:lang w:val="en-US" w:eastAsia="zh-CN"/>
              </w:rPr>
              <w:t>1.32%</w:t>
            </w:r>
          </w:p>
        </w:tc>
        <w:tc>
          <w:tcPr>
            <w:tcW w:w="981" w:type="pct"/>
            <w:tcMar>
              <w:top w:w="16" w:type="dxa"/>
              <w:left w:w="16" w:type="dxa"/>
              <w:right w:w="16" w:type="dxa"/>
            </w:tcMar>
            <w:vAlign w:val="center"/>
          </w:tcPr>
          <w:p w14:paraId="21F2D747">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施工工期</w:t>
            </w:r>
          </w:p>
        </w:tc>
        <w:tc>
          <w:tcPr>
            <w:tcW w:w="1963" w:type="pct"/>
            <w:vAlign w:val="center"/>
          </w:tcPr>
          <w:p w14:paraId="55624A7E">
            <w:pPr>
              <w:pStyle w:val="12"/>
              <w:keepNext w:val="0"/>
              <w:keepLines w:val="0"/>
              <w:suppressLineNumbers w:val="0"/>
              <w:bidi w:val="0"/>
              <w:spacing w:before="0" w:beforeAutospacing="0" w:after="0" w:afterAutospacing="0"/>
              <w:ind w:left="0"/>
              <w:rPr>
                <w:rFonts w:hint="eastAsia" w:ascii="Times New Roman" w:hAnsi="Times New Roman" w:eastAsia="宋体" w:cs="Times New Roman"/>
                <w:color w:val="auto"/>
                <w:lang w:val="en-US" w:eastAsia="zh-CN"/>
              </w:rPr>
            </w:pPr>
            <w:r>
              <w:rPr>
                <w:rFonts w:hint="eastAsia" w:cs="Times New Roman"/>
                <w:color w:val="auto"/>
                <w:lang w:val="en-US" w:eastAsia="zh-CN"/>
              </w:rPr>
              <w:t>3个月</w:t>
            </w:r>
          </w:p>
        </w:tc>
      </w:tr>
      <w:tr w14:paraId="19201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5" w:type="pct"/>
            <w:tcMar>
              <w:top w:w="16" w:type="dxa"/>
              <w:left w:w="16" w:type="dxa"/>
              <w:right w:w="16" w:type="dxa"/>
            </w:tcMar>
            <w:vAlign w:val="center"/>
          </w:tcPr>
          <w:p w14:paraId="19C78CF4">
            <w:pPr>
              <w:pStyle w:val="12"/>
              <w:keepNext w:val="0"/>
              <w:keepLines w:val="0"/>
              <w:suppressLineNumbers w:val="0"/>
              <w:bidi w:val="0"/>
              <w:spacing w:before="0" w:beforeAutospacing="0" w:after="0" w:afterAutospacing="0"/>
              <w:ind w:left="0"/>
              <w:rPr>
                <w:rFonts w:hint="default"/>
              </w:rPr>
            </w:pPr>
            <w:r>
              <w:rPr>
                <w:rFonts w:hint="default"/>
              </w:rPr>
              <w:t>是否开工建设</w:t>
            </w:r>
          </w:p>
        </w:tc>
        <w:tc>
          <w:tcPr>
            <w:tcW w:w="1199" w:type="pct"/>
            <w:vAlign w:val="center"/>
          </w:tcPr>
          <w:p w14:paraId="7682CE26">
            <w:pPr>
              <w:pStyle w:val="12"/>
              <w:keepNext w:val="0"/>
              <w:keepLines w:val="0"/>
              <w:suppressLineNumbers w:val="0"/>
              <w:bidi w:val="0"/>
              <w:spacing w:before="0" w:beforeAutospacing="0" w:after="0" w:afterAutospacing="0"/>
              <w:ind w:left="0"/>
              <w:rPr>
                <w:rFonts w:hint="default"/>
                <w:color w:val="auto"/>
              </w:rPr>
            </w:pPr>
            <w:r>
              <w:rPr>
                <w:rFonts w:hint="eastAsia"/>
                <w:color w:val="auto"/>
                <w:lang w:eastAsia="zh-CN"/>
              </w:rPr>
              <w:sym w:font="Wingdings 2" w:char="0052"/>
            </w:r>
            <w:r>
              <w:rPr>
                <w:rFonts w:hint="default"/>
                <w:color w:val="auto"/>
              </w:rPr>
              <w:t>否</w:t>
            </w:r>
          </w:p>
          <w:p w14:paraId="780E7EDE">
            <w:pPr>
              <w:pStyle w:val="12"/>
              <w:keepNext w:val="0"/>
              <w:keepLines w:val="0"/>
              <w:suppressLineNumbers w:val="0"/>
              <w:bidi w:val="0"/>
              <w:spacing w:before="0" w:beforeAutospacing="0" w:after="0" w:afterAutospacing="0"/>
              <w:ind w:left="0"/>
              <w:rPr>
                <w:rFonts w:hint="default" w:eastAsia="宋体"/>
                <w:color w:val="auto"/>
                <w:lang w:val="en-US" w:eastAsia="zh-CN"/>
              </w:rPr>
            </w:pPr>
            <w:r>
              <w:rPr>
                <w:rFonts w:hint="default"/>
                <w:color w:val="auto"/>
              </w:rPr>
              <w:sym w:font="Wingdings 2" w:char="00A3"/>
            </w:r>
            <w:r>
              <w:rPr>
                <w:rFonts w:hint="default"/>
                <w:color w:val="auto"/>
              </w:rPr>
              <w:t>是</w:t>
            </w:r>
            <w:r>
              <w:rPr>
                <w:rFonts w:hint="eastAsia"/>
                <w:color w:val="auto"/>
                <w:lang w:eastAsia="zh-CN"/>
              </w:rPr>
              <w:t>：</w:t>
            </w:r>
            <w:r>
              <w:rPr>
                <w:rFonts w:hint="eastAsia"/>
                <w:color w:val="auto"/>
                <w:u w:val="single"/>
                <w:lang w:val="en-US" w:eastAsia="zh-CN"/>
              </w:rPr>
              <w:t xml:space="preserve">      </w:t>
            </w:r>
          </w:p>
        </w:tc>
        <w:tc>
          <w:tcPr>
            <w:tcW w:w="981" w:type="pct"/>
            <w:tcMar>
              <w:top w:w="16" w:type="dxa"/>
              <w:left w:w="16" w:type="dxa"/>
              <w:right w:w="16" w:type="dxa"/>
            </w:tcMar>
            <w:vAlign w:val="center"/>
          </w:tcPr>
          <w:p w14:paraId="498D19A0">
            <w:pPr>
              <w:pStyle w:val="12"/>
              <w:keepNext w:val="0"/>
              <w:keepLines w:val="0"/>
              <w:suppressLineNumbers w:val="0"/>
              <w:bidi w:val="0"/>
              <w:spacing w:before="0" w:beforeAutospacing="0" w:after="0" w:afterAutospacing="0"/>
              <w:ind w:left="0"/>
              <w:rPr>
                <w:rFonts w:hint="default"/>
                <w:color w:val="auto"/>
                <w:lang w:val="en-US" w:eastAsia="zh-CN"/>
              </w:rPr>
            </w:pPr>
            <w:r>
              <w:rPr>
                <w:rFonts w:hint="default"/>
                <w:color w:val="auto"/>
              </w:rPr>
              <w:t>用地面积（</w:t>
            </w:r>
            <w:r>
              <w:rPr>
                <w:rFonts w:hint="eastAsia"/>
                <w:color w:val="auto"/>
                <w:lang w:eastAsia="zh-CN"/>
              </w:rPr>
              <w:t>m</w:t>
            </w:r>
            <w:r>
              <w:rPr>
                <w:rFonts w:hint="eastAsia"/>
                <w:color w:val="auto"/>
                <w:vertAlign w:val="superscript"/>
                <w:lang w:val="en-US" w:eastAsia="zh-CN"/>
              </w:rPr>
              <w:t>2</w:t>
            </w:r>
            <w:r>
              <w:rPr>
                <w:rFonts w:hint="default"/>
                <w:color w:val="auto"/>
              </w:rPr>
              <w:t>）</w:t>
            </w:r>
          </w:p>
        </w:tc>
        <w:tc>
          <w:tcPr>
            <w:tcW w:w="1963" w:type="pct"/>
            <w:vAlign w:val="center"/>
          </w:tcPr>
          <w:p w14:paraId="1D5FBA01">
            <w:pPr>
              <w:pStyle w:val="12"/>
              <w:keepNext w:val="0"/>
              <w:keepLines w:val="0"/>
              <w:suppressLineNumbers w:val="0"/>
              <w:bidi w:val="0"/>
              <w:spacing w:before="0" w:beforeAutospacing="0" w:after="0" w:afterAutospacing="0"/>
              <w:ind w:left="0"/>
              <w:rPr>
                <w:rFonts w:hint="default"/>
                <w:color w:val="auto"/>
                <w:lang w:val="en-US" w:eastAsia="zh-CN"/>
              </w:rPr>
            </w:pPr>
            <w:r>
              <w:rPr>
                <w:rFonts w:hint="eastAsia"/>
                <w:lang w:val="en-US" w:eastAsia="zh-CN"/>
              </w:rPr>
              <w:t>33333.5</w:t>
            </w:r>
          </w:p>
        </w:tc>
      </w:tr>
      <w:tr w14:paraId="6FBFD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vAlign w:val="center"/>
          </w:tcPr>
          <w:p w14:paraId="243805B6">
            <w:pPr>
              <w:pStyle w:val="12"/>
              <w:keepNext w:val="0"/>
              <w:keepLines w:val="0"/>
              <w:suppressLineNumbers w:val="0"/>
              <w:bidi w:val="0"/>
              <w:spacing w:before="0" w:beforeAutospacing="0" w:after="0" w:afterAutospacing="0"/>
              <w:ind w:left="0"/>
              <w:rPr>
                <w:rFonts w:hint="default"/>
              </w:rPr>
            </w:pPr>
            <w:r>
              <w:rPr>
                <w:rFonts w:hint="default"/>
              </w:rPr>
              <w:t>专项评价设置情况</w:t>
            </w:r>
          </w:p>
        </w:tc>
        <w:tc>
          <w:tcPr>
            <w:tcW w:w="4144" w:type="pct"/>
            <w:gridSpan w:val="3"/>
            <w:vAlign w:val="center"/>
          </w:tcPr>
          <w:p w14:paraId="790C82B6">
            <w:pPr>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本项目风险物质包括：正己烷、</w:t>
            </w:r>
            <w:r>
              <w:rPr>
                <w:rFonts w:hint="eastAsia"/>
                <w:lang w:val="en-US" w:eastAsia="zh-CN"/>
              </w:rPr>
              <w:t>废润滑油</w:t>
            </w:r>
            <w:r>
              <w:rPr>
                <w:rFonts w:hint="eastAsia"/>
                <w:lang w:eastAsia="zh-CN"/>
              </w:rPr>
              <w:t>，</w:t>
            </w:r>
            <w:r>
              <w:rPr>
                <w:rFonts w:hint="eastAsia"/>
                <w:lang w:val="en-US" w:eastAsia="zh-CN"/>
              </w:rPr>
              <w:t>Q＝17.79312＞1，故</w:t>
            </w:r>
            <w:r>
              <w:rPr>
                <w:rFonts w:hint="eastAsia"/>
                <w:lang w:eastAsia="zh-CN"/>
              </w:rPr>
              <w:t>设置了风险专项评价。</w:t>
            </w:r>
          </w:p>
        </w:tc>
      </w:tr>
      <w:tr w14:paraId="76BA6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vAlign w:val="center"/>
          </w:tcPr>
          <w:p w14:paraId="7AAAFCE9">
            <w:pPr>
              <w:pStyle w:val="12"/>
              <w:keepNext w:val="0"/>
              <w:keepLines w:val="0"/>
              <w:suppressLineNumbers w:val="0"/>
              <w:bidi w:val="0"/>
              <w:spacing w:before="0" w:beforeAutospacing="0" w:after="0" w:afterAutospacing="0"/>
              <w:ind w:left="0"/>
              <w:rPr>
                <w:rFonts w:hint="default"/>
              </w:rPr>
            </w:pPr>
            <w:r>
              <w:rPr>
                <w:rFonts w:hint="default"/>
              </w:rPr>
              <w:t>规划情况</w:t>
            </w:r>
          </w:p>
        </w:tc>
        <w:tc>
          <w:tcPr>
            <w:tcW w:w="4144" w:type="pct"/>
            <w:gridSpan w:val="3"/>
            <w:vAlign w:val="center"/>
          </w:tcPr>
          <w:p w14:paraId="0F199393">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r>
              <w:rPr>
                <w:rFonts w:hint="eastAsia"/>
                <w:color w:val="auto"/>
                <w:lang w:val="en-US" w:eastAsia="zh-CN"/>
              </w:rPr>
              <w:t>规划名称：</w:t>
            </w:r>
            <w:r>
              <w:rPr>
                <w:rFonts w:hint="default"/>
                <w:color w:val="auto"/>
              </w:rPr>
              <w:t>河北巴州生态产业园总体规划（2017</w:t>
            </w:r>
            <w:r>
              <w:rPr>
                <w:rFonts w:hint="eastAsia"/>
                <w:color w:val="auto"/>
                <w:lang w:eastAsia="zh-CN"/>
              </w:rPr>
              <w:t>—</w:t>
            </w:r>
            <w:r>
              <w:rPr>
                <w:rFonts w:hint="default"/>
                <w:color w:val="auto"/>
              </w:rPr>
              <w:t>203</w:t>
            </w:r>
            <w:r>
              <w:rPr>
                <w:rFonts w:hint="eastAsia"/>
                <w:color w:val="auto"/>
                <w:lang w:val="en-US" w:eastAsia="zh-CN"/>
              </w:rPr>
              <w:t>5</w:t>
            </w:r>
            <w:r>
              <w:rPr>
                <w:rFonts w:hint="default"/>
                <w:color w:val="auto"/>
              </w:rPr>
              <w:t>年）</w:t>
            </w:r>
          </w:p>
          <w:p w14:paraId="516342BD">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r>
              <w:rPr>
                <w:rFonts w:hint="eastAsia"/>
                <w:color w:val="auto"/>
                <w:lang w:val="en-US" w:eastAsia="zh-CN"/>
              </w:rPr>
              <w:t>审批机关：巴音郭楞蒙古自治州人民政府</w:t>
            </w:r>
          </w:p>
          <w:p w14:paraId="5F8CEF1B">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r>
              <w:rPr>
                <w:rFonts w:hint="eastAsia"/>
                <w:color w:val="auto"/>
                <w:lang w:val="en-US" w:eastAsia="zh-CN"/>
              </w:rPr>
              <w:t>规划批复：关于</w:t>
            </w:r>
            <w:r>
              <w:rPr>
                <w:rFonts w:hint="eastAsia"/>
                <w:color w:val="auto"/>
                <w:kern w:val="0"/>
                <w:sz w:val="24"/>
              </w:rPr>
              <w:t>《河北巴州工业园总体规划</w:t>
            </w:r>
            <w:r>
              <w:rPr>
                <w:rFonts w:hint="eastAsia"/>
                <w:color w:val="auto"/>
                <w:kern w:val="0"/>
                <w:sz w:val="24"/>
                <w:lang w:eastAsia="zh-CN"/>
              </w:rPr>
              <w:t>（</w:t>
            </w:r>
            <w:r>
              <w:rPr>
                <w:rFonts w:hint="eastAsia"/>
                <w:color w:val="auto"/>
                <w:kern w:val="0"/>
                <w:sz w:val="24"/>
              </w:rPr>
              <w:t>2017-203</w:t>
            </w:r>
            <w:r>
              <w:rPr>
                <w:rFonts w:hint="eastAsia"/>
                <w:color w:val="auto"/>
                <w:kern w:val="0"/>
                <w:sz w:val="24"/>
                <w:lang w:val="en-US" w:eastAsia="zh-CN"/>
              </w:rPr>
              <w:t>5</w:t>
            </w:r>
            <w:r>
              <w:rPr>
                <w:rFonts w:hint="default"/>
                <w:color w:val="auto"/>
              </w:rPr>
              <w:t>年</w:t>
            </w:r>
            <w:r>
              <w:rPr>
                <w:rFonts w:hint="eastAsia"/>
                <w:color w:val="auto"/>
                <w:kern w:val="0"/>
                <w:sz w:val="24"/>
                <w:lang w:eastAsia="zh-CN"/>
              </w:rPr>
              <w:t>）</w:t>
            </w:r>
            <w:r>
              <w:rPr>
                <w:rFonts w:hint="eastAsia"/>
                <w:color w:val="auto"/>
                <w:kern w:val="0"/>
                <w:sz w:val="24"/>
              </w:rPr>
              <w:t>》的批复</w:t>
            </w:r>
          </w:p>
          <w:p w14:paraId="03222063">
            <w:pPr>
              <w:keepNext w:val="0"/>
              <w:keepLines w:val="0"/>
              <w:suppressLineNumbers w:val="0"/>
              <w:bidi w:val="0"/>
              <w:spacing w:before="0" w:beforeAutospacing="0" w:after="0" w:afterAutospacing="0"/>
              <w:ind w:left="0" w:leftChars="0" w:right="0" w:firstLine="0" w:firstLineChars="0"/>
              <w:rPr>
                <w:rFonts w:hint="default" w:ascii="Times New Roman" w:hAnsi="Times New Roman" w:eastAsia="宋体" w:cs="Times New Roman"/>
                <w:color w:val="auto"/>
                <w:kern w:val="2"/>
                <w:sz w:val="24"/>
                <w:szCs w:val="24"/>
                <w:lang w:val="en-US" w:eastAsia="zh-CN" w:bidi="ar-SA"/>
              </w:rPr>
            </w:pPr>
            <w:r>
              <w:rPr>
                <w:rFonts w:hint="eastAsia"/>
                <w:color w:val="auto"/>
                <w:lang w:val="en-US" w:eastAsia="zh-CN"/>
              </w:rPr>
              <w:t>文号：</w:t>
            </w:r>
            <w:r>
              <w:rPr>
                <w:rFonts w:hint="eastAsia"/>
                <w:color w:val="auto"/>
                <w:kern w:val="0"/>
                <w:sz w:val="24"/>
              </w:rPr>
              <w:t>巴政函〔2019〕9号</w:t>
            </w:r>
          </w:p>
        </w:tc>
      </w:tr>
      <w:tr w14:paraId="47BF5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vAlign w:val="center"/>
          </w:tcPr>
          <w:p w14:paraId="65568F54">
            <w:pPr>
              <w:pStyle w:val="12"/>
              <w:keepNext w:val="0"/>
              <w:keepLines w:val="0"/>
              <w:suppressLineNumbers w:val="0"/>
              <w:bidi w:val="0"/>
              <w:spacing w:before="0" w:beforeAutospacing="0" w:after="0" w:afterAutospacing="0"/>
              <w:ind w:left="0"/>
              <w:rPr>
                <w:rFonts w:hint="default"/>
                <w:color w:val="000000" w:themeColor="text1"/>
                <w:kern w:val="0"/>
                <w:sz w:val="24"/>
                <w14:textFill>
                  <w14:solidFill>
                    <w14:schemeClr w14:val="tx1"/>
                  </w14:solidFill>
                </w14:textFill>
              </w:rPr>
            </w:pPr>
            <w:r>
              <w:rPr>
                <w:rFonts w:hint="default"/>
              </w:rPr>
              <w:t>规划环境影响</w:t>
            </w:r>
            <w:r>
              <w:rPr>
                <w:rFonts w:hint="default"/>
                <w:color w:val="000000" w:themeColor="text1"/>
                <w:sz w:val="24"/>
                <w14:textFill>
                  <w14:solidFill>
                    <w14:schemeClr w14:val="tx1"/>
                  </w14:solidFill>
                </w14:textFill>
              </w:rPr>
              <w:t>评价情况</w:t>
            </w:r>
          </w:p>
        </w:tc>
        <w:tc>
          <w:tcPr>
            <w:tcW w:w="4144" w:type="pct"/>
            <w:gridSpan w:val="3"/>
            <w:vAlign w:val="center"/>
          </w:tcPr>
          <w:p w14:paraId="779E914A">
            <w:pPr>
              <w:keepNext w:val="0"/>
              <w:keepLines w:val="0"/>
              <w:suppressLineNumbers w:val="0"/>
              <w:bidi w:val="0"/>
              <w:spacing w:before="0" w:beforeAutospacing="0" w:after="0" w:afterAutospacing="0"/>
              <w:ind w:left="0" w:leftChars="0" w:right="0" w:firstLine="0" w:firstLineChars="0"/>
              <w:rPr>
                <w:rFonts w:hint="eastAsia"/>
                <w:color w:val="auto"/>
                <w:lang w:eastAsia="zh-CN"/>
              </w:rPr>
            </w:pPr>
            <w:r>
              <w:rPr>
                <w:rFonts w:hint="eastAsia"/>
                <w:color w:val="auto"/>
                <w:lang w:eastAsia="zh-CN"/>
              </w:rPr>
              <w:t>规划环境影响评价文件名称：</w:t>
            </w:r>
            <w:r>
              <w:rPr>
                <w:rFonts w:hint="default"/>
                <w:color w:val="auto"/>
              </w:rPr>
              <w:t>河北巴州生态产业园总体规划（2017</w:t>
            </w:r>
            <w:r>
              <w:rPr>
                <w:rFonts w:hint="eastAsia"/>
                <w:color w:val="auto"/>
                <w:lang w:eastAsia="zh-CN"/>
              </w:rPr>
              <w:t>—</w:t>
            </w:r>
            <w:r>
              <w:rPr>
                <w:rFonts w:hint="default"/>
                <w:color w:val="auto"/>
              </w:rPr>
              <w:t>2030年）环境影响报告书</w:t>
            </w:r>
          </w:p>
          <w:p w14:paraId="311C4E18">
            <w:pPr>
              <w:keepNext w:val="0"/>
              <w:keepLines w:val="0"/>
              <w:suppressLineNumbers w:val="0"/>
              <w:bidi w:val="0"/>
              <w:spacing w:before="0" w:beforeAutospacing="0" w:after="0" w:afterAutospacing="0"/>
              <w:ind w:left="0" w:leftChars="0" w:right="0" w:firstLine="0" w:firstLineChars="0"/>
              <w:rPr>
                <w:rFonts w:hint="eastAsia"/>
                <w:color w:val="auto"/>
                <w:lang w:eastAsia="zh-CN"/>
              </w:rPr>
            </w:pPr>
            <w:r>
              <w:rPr>
                <w:rFonts w:hint="eastAsia"/>
                <w:color w:val="auto"/>
                <w:lang w:eastAsia="zh-CN"/>
              </w:rPr>
              <w:t>审查机关：</w:t>
            </w:r>
            <w:r>
              <w:rPr>
                <w:rFonts w:hint="eastAsia"/>
                <w:color w:val="auto"/>
                <w:lang w:val="en-US" w:eastAsia="zh-CN"/>
              </w:rPr>
              <w:t>原</w:t>
            </w:r>
            <w:r>
              <w:rPr>
                <w:rFonts w:hint="default"/>
                <w:color w:val="auto"/>
              </w:rPr>
              <w:t>新疆维吾尔自治区环境保护厅</w:t>
            </w:r>
          </w:p>
          <w:p w14:paraId="713F9803">
            <w:pPr>
              <w:keepNext w:val="0"/>
              <w:keepLines w:val="0"/>
              <w:suppressLineNumbers w:val="0"/>
              <w:bidi w:val="0"/>
              <w:spacing w:before="0" w:beforeAutospacing="0" w:after="0" w:afterAutospacing="0"/>
              <w:ind w:left="0" w:leftChars="0" w:right="0" w:firstLine="0" w:firstLineChars="0"/>
              <w:rPr>
                <w:rFonts w:hint="eastAsia"/>
                <w:color w:val="auto"/>
                <w:lang w:eastAsia="zh-CN"/>
              </w:rPr>
            </w:pPr>
            <w:r>
              <w:rPr>
                <w:rFonts w:hint="eastAsia"/>
                <w:color w:val="auto"/>
                <w:lang w:eastAsia="zh-CN"/>
              </w:rPr>
              <w:t>审批批复：</w:t>
            </w:r>
            <w:r>
              <w:rPr>
                <w:rFonts w:hint="default"/>
                <w:color w:val="auto"/>
              </w:rPr>
              <w:t>《关于河北巴州生态产业园总体规划（2017</w:t>
            </w:r>
            <w:r>
              <w:rPr>
                <w:rFonts w:hint="eastAsia"/>
                <w:color w:val="auto"/>
                <w:lang w:eastAsia="zh-CN"/>
              </w:rPr>
              <w:t>—</w:t>
            </w:r>
            <w:r>
              <w:rPr>
                <w:rFonts w:hint="default"/>
                <w:color w:val="auto"/>
              </w:rPr>
              <w:t>2030年）环境影响报告书的审查意见》</w:t>
            </w:r>
          </w:p>
          <w:p w14:paraId="5795A183">
            <w:pPr>
              <w:keepNext w:val="0"/>
              <w:keepLines w:val="0"/>
              <w:suppressLineNumbers w:val="0"/>
              <w:bidi w:val="0"/>
              <w:spacing w:before="0" w:beforeAutospacing="0" w:after="0" w:afterAutospacing="0"/>
              <w:ind w:left="0" w:leftChars="0" w:right="0" w:firstLine="0" w:firstLineChars="0"/>
              <w:rPr>
                <w:rFonts w:hint="default" w:ascii="Times New Roman" w:hAnsi="Times New Roman" w:eastAsia="宋体" w:cs="Times New Roman"/>
                <w:color w:val="auto"/>
                <w:kern w:val="2"/>
                <w:sz w:val="24"/>
                <w:szCs w:val="24"/>
                <w:lang w:val="en-US" w:eastAsia="zh-CN" w:bidi="ar-SA"/>
              </w:rPr>
            </w:pPr>
            <w:r>
              <w:rPr>
                <w:rFonts w:hint="eastAsia"/>
                <w:color w:val="auto"/>
                <w:lang w:eastAsia="zh-CN"/>
              </w:rPr>
              <w:t>文号：</w:t>
            </w:r>
            <w:r>
              <w:rPr>
                <w:rFonts w:hint="default"/>
                <w:color w:val="auto"/>
              </w:rPr>
              <w:t>新环函〔2017〕1306号</w:t>
            </w:r>
          </w:p>
        </w:tc>
      </w:tr>
      <w:tr w14:paraId="1259B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vAlign w:val="center"/>
          </w:tcPr>
          <w:p w14:paraId="3D7B2B8F">
            <w:pPr>
              <w:pStyle w:val="12"/>
              <w:keepNext w:val="0"/>
              <w:keepLines w:val="0"/>
              <w:suppressLineNumbers w:val="0"/>
              <w:bidi w:val="0"/>
              <w:spacing w:before="0" w:beforeAutospacing="0" w:after="0" w:afterAutospacing="0"/>
              <w:ind w:left="0"/>
              <w:rPr>
                <w:rFonts w:hint="default"/>
              </w:rPr>
            </w:pPr>
            <w:r>
              <w:rPr>
                <w:rFonts w:hint="default"/>
              </w:rPr>
              <w:t>规划及规划环境影响评价符合性分析</w:t>
            </w:r>
          </w:p>
        </w:tc>
        <w:tc>
          <w:tcPr>
            <w:tcW w:w="4144" w:type="pct"/>
            <w:gridSpan w:val="3"/>
            <w:vAlign w:val="center"/>
          </w:tcPr>
          <w:p w14:paraId="30FDF907">
            <w:pPr>
              <w:pStyle w:val="4"/>
              <w:suppressLineNumbers w:val="0"/>
              <w:bidi w:val="0"/>
              <w:spacing w:before="0" w:beforeAutospacing="0" w:after="0" w:afterAutospacing="0"/>
              <w:ind w:left="0" w:right="0"/>
              <w:rPr>
                <w:rFonts w:hint="default"/>
                <w:lang w:val="en-US" w:eastAsia="zh-CN"/>
              </w:rPr>
            </w:pPr>
            <w:r>
              <w:rPr>
                <w:rFonts w:hint="eastAsia"/>
                <w:lang w:val="en-US" w:eastAsia="zh-CN"/>
              </w:rPr>
              <w:t>1、与《</w:t>
            </w:r>
            <w:r>
              <w:rPr>
                <w:rFonts w:hint="default"/>
              </w:rPr>
              <w:t>河北巴州生态产业园总体规划（2017</w:t>
            </w:r>
            <w:r>
              <w:rPr>
                <w:rFonts w:hint="eastAsia"/>
                <w:lang w:eastAsia="zh-CN"/>
              </w:rPr>
              <w:t>—</w:t>
            </w:r>
            <w:r>
              <w:rPr>
                <w:rFonts w:hint="default"/>
              </w:rPr>
              <w:t>203</w:t>
            </w:r>
            <w:r>
              <w:rPr>
                <w:rFonts w:hint="eastAsia"/>
                <w:lang w:val="en-US" w:eastAsia="zh-CN"/>
              </w:rPr>
              <w:t>5</w:t>
            </w:r>
            <w:r>
              <w:rPr>
                <w:rFonts w:hint="default"/>
              </w:rPr>
              <w:t>年）</w:t>
            </w:r>
            <w:r>
              <w:rPr>
                <w:rFonts w:hint="eastAsia"/>
                <w:lang w:eastAsia="zh-CN"/>
              </w:rPr>
              <w:t>》</w:t>
            </w:r>
            <w:r>
              <w:rPr>
                <w:rFonts w:hint="eastAsia"/>
                <w:lang w:val="en-US" w:eastAsia="zh-CN"/>
              </w:rPr>
              <w:t>的符合性</w:t>
            </w:r>
          </w:p>
          <w:p w14:paraId="47EBB149">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根据规划第4页，</w:t>
            </w:r>
            <w:r>
              <w:rPr>
                <w:rFonts w:hint="default"/>
                <w:lang w:val="en-US" w:eastAsia="zh-CN"/>
              </w:rPr>
              <w:t>第17条.</w:t>
            </w:r>
            <w:r>
              <w:rPr>
                <w:rFonts w:hint="eastAsia"/>
                <w:lang w:val="en-US" w:eastAsia="zh-CN"/>
              </w:rPr>
              <w:t>产业用地布局规划“产业用地分为以下5个集中区域：</w:t>
            </w:r>
          </w:p>
          <w:p w14:paraId="325926C6">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（1）农副产品精深加工区：依据巴州产业布局，焉耆盆地重点发展农产品加工产业。充分发挥焉耆资源优势，发展农产品加工产业，规划南北2个片区共布局农产品加工区面积186.38公顷。</w:t>
            </w:r>
          </w:p>
          <w:p w14:paraId="62D6280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（2）装备制造产业区：依据园区产业规划，发展装备制造产业共49.98公顷。</w:t>
            </w:r>
          </w:p>
          <w:p w14:paraId="032B49CA">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（3）仓储物流区：园区北部片区安排仓储物流用地，规划占地面积45.08公顷。</w:t>
            </w:r>
          </w:p>
          <w:p w14:paraId="021978BC">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（4）环保建材区：园区南部片区南部规划为环保建材区，重点引进和支持发展环保建材等技术的开发、应用及设备制造，规划南北2个片区共布局环保建材区面积134.06公顷。</w:t>
            </w:r>
          </w:p>
          <w:p w14:paraId="2DA42ED3">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（5）综合产业区：为便于兼容性产业的项目引进与落位，在南北2个片区分别规划综合产业区1处，占地面积共60.00公顷。”</w:t>
            </w:r>
          </w:p>
          <w:p w14:paraId="350D5FD5">
            <w:pPr>
              <w:keepNext w:val="0"/>
              <w:keepLines w:val="0"/>
              <w:widowControl/>
              <w:suppressLineNumbers w:val="0"/>
              <w:spacing w:before="0" w:beforeAutospacing="0" w:after="0" w:afterAutospacing="0"/>
              <w:ind w:left="0" w:right="0"/>
              <w:jc w:val="left"/>
              <w:rPr>
                <w:rFonts w:hint="eastAsia" w:eastAsia="宋体"/>
                <w:color w:val="auto"/>
                <w:lang w:eastAsia="zh-CN"/>
              </w:rPr>
            </w:pPr>
            <w:r>
              <w:rPr>
                <w:rFonts w:hint="eastAsia"/>
                <w:color w:val="auto"/>
                <w:lang w:eastAsia="zh-CN"/>
              </w:rPr>
              <w:t>本项目位于新疆维吾尔自治区巴音郭楞蒙古自治州焉耆回族自治县河北巴州生态产业园区东区内，属于工业用地，</w:t>
            </w:r>
            <w:r>
              <w:rPr>
                <w:rFonts w:hint="eastAsia"/>
                <w:color w:val="auto"/>
                <w:lang w:val="en-US" w:eastAsia="zh-CN"/>
              </w:rPr>
              <w:t>详见附图6</w:t>
            </w:r>
            <w:r>
              <w:rPr>
                <w:rFonts w:hint="eastAsia"/>
                <w:color w:val="auto"/>
                <w:lang w:eastAsia="zh-CN"/>
              </w:rPr>
              <w:t>。</w:t>
            </w:r>
            <w:r>
              <w:rPr>
                <w:rFonts w:hint="eastAsia"/>
                <w:color w:val="auto"/>
                <w:lang w:val="en-US" w:eastAsia="zh-CN"/>
              </w:rPr>
              <w:t>本项目为辣椒颗粒提取红辣素，</w:t>
            </w:r>
            <w:r>
              <w:rPr>
                <w:rFonts w:hint="eastAsia"/>
                <w:color w:val="auto"/>
                <w:lang w:eastAsia="zh-CN"/>
              </w:rPr>
              <w:t>行业类别为“</w:t>
            </w:r>
            <w:r>
              <w:rPr>
                <w:rFonts w:hint="eastAsia" w:ascii="Times New Roman" w:hAnsi="Times New Roman" w:eastAsia="宋体" w:cs="宋体"/>
                <w:color w:val="auto"/>
                <w:sz w:val="24"/>
                <w:szCs w:val="24"/>
                <w:lang w:val="en-US" w:eastAsia="zh-CN"/>
              </w:rPr>
              <w:t>C1495食品及饲料添加剂制造</w:t>
            </w:r>
            <w:r>
              <w:rPr>
                <w:rFonts w:hint="eastAsia"/>
                <w:color w:val="auto"/>
                <w:lang w:eastAsia="zh-CN"/>
              </w:rPr>
              <w:t>”，</w:t>
            </w:r>
            <w:r>
              <w:rPr>
                <w:rFonts w:hint="eastAsia"/>
                <w:color w:val="auto"/>
                <w:lang w:val="en-US" w:eastAsia="zh-CN"/>
              </w:rPr>
              <w:t>属于</w:t>
            </w:r>
            <w:r>
              <w:rPr>
                <w:rFonts w:hint="eastAsia"/>
                <w:color w:val="auto"/>
                <w:lang w:eastAsia="zh-CN"/>
              </w:rPr>
              <w:t>农副产品精深加工。本项目位于河北巴州生态产业园农副产品精深加工区，因此符合河北巴州生态产业园产业定位要求，</w:t>
            </w:r>
            <w:r>
              <w:rPr>
                <w:rFonts w:hint="eastAsia"/>
                <w:color w:val="auto"/>
                <w:lang w:val="en-US" w:eastAsia="zh-CN"/>
              </w:rPr>
              <w:t>详见附图5，</w:t>
            </w:r>
            <w:r>
              <w:rPr>
                <w:rFonts w:hint="eastAsia"/>
                <w:color w:val="auto"/>
                <w:lang w:eastAsia="zh-CN"/>
              </w:rPr>
              <w:t>综上所述，本项目符合</w:t>
            </w:r>
            <w:r>
              <w:rPr>
                <w:rFonts w:hint="default"/>
                <w:color w:val="auto"/>
              </w:rPr>
              <w:t>《</w:t>
            </w:r>
            <w:r>
              <w:rPr>
                <w:rFonts w:hint="eastAsia"/>
                <w:color w:val="auto"/>
                <w:kern w:val="0"/>
                <w:sz w:val="24"/>
              </w:rPr>
              <w:t>河北巴州工业园总体规划2017-203</w:t>
            </w:r>
            <w:r>
              <w:rPr>
                <w:rFonts w:hint="eastAsia"/>
                <w:color w:val="auto"/>
                <w:kern w:val="0"/>
                <w:sz w:val="24"/>
                <w:lang w:val="en-US" w:eastAsia="zh-CN"/>
              </w:rPr>
              <w:t>5</w:t>
            </w:r>
            <w:r>
              <w:rPr>
                <w:rFonts w:hint="default"/>
                <w:color w:val="auto"/>
              </w:rPr>
              <w:t>》</w:t>
            </w:r>
            <w:r>
              <w:rPr>
                <w:rFonts w:hint="eastAsia"/>
                <w:color w:val="auto"/>
                <w:lang w:eastAsia="zh-CN"/>
              </w:rPr>
              <w:t>。</w:t>
            </w:r>
          </w:p>
          <w:p w14:paraId="2F19A7C6">
            <w:pPr>
              <w:pStyle w:val="4"/>
              <w:suppressLineNumbers w:val="0"/>
              <w:bidi w:val="0"/>
              <w:spacing w:before="0" w:beforeAutospacing="0" w:after="0" w:afterAutospacing="0"/>
              <w:ind w:left="0" w:right="0"/>
              <w:rPr>
                <w:rFonts w:hint="default"/>
                <w:lang w:val="en-US" w:eastAsia="zh-CN"/>
              </w:rPr>
            </w:pPr>
            <w:r>
              <w:rPr>
                <w:rFonts w:hint="eastAsia"/>
                <w:lang w:val="en-US" w:eastAsia="zh-CN"/>
              </w:rPr>
              <w:t>2、与《</w:t>
            </w:r>
            <w:r>
              <w:rPr>
                <w:rFonts w:hint="default"/>
              </w:rPr>
              <w:t>河北巴州生态产业园总体规划（2017</w:t>
            </w:r>
            <w:r>
              <w:rPr>
                <w:rFonts w:hint="eastAsia"/>
                <w:lang w:eastAsia="zh-CN"/>
              </w:rPr>
              <w:t>—</w:t>
            </w:r>
            <w:r>
              <w:rPr>
                <w:rFonts w:hint="default"/>
              </w:rPr>
              <w:t>2030年）环境影响报告书</w:t>
            </w:r>
            <w:r>
              <w:rPr>
                <w:rFonts w:hint="eastAsia"/>
                <w:lang w:val="en-US" w:eastAsia="zh-CN"/>
              </w:rPr>
              <w:t>》结论的符合性</w:t>
            </w:r>
          </w:p>
          <w:p w14:paraId="02569DFD">
            <w:pPr>
              <w:pStyle w:val="9"/>
              <w:keepLines w:val="0"/>
              <w:suppressLineNumbers w:val="0"/>
              <w:bidi w:val="0"/>
              <w:spacing w:before="0" w:beforeAutospacing="0" w:after="0" w:afterAutospacing="0"/>
              <w:ind w:left="0" w:right="0"/>
              <w:rPr>
                <w:rFonts w:hint="eastAsia"/>
                <w:lang w:val="en-US" w:eastAsia="zh-CN"/>
              </w:rPr>
            </w:pPr>
            <w:r>
              <w:rPr>
                <w:rFonts w:hint="eastAsia"/>
                <w:lang w:val="en-US" w:eastAsia="zh-CN"/>
              </w:rPr>
              <w:t>表2-1项目与《</w:t>
            </w:r>
            <w:r>
              <w:rPr>
                <w:rFonts w:hint="default"/>
              </w:rPr>
              <w:t>河北巴州生态产业园总体规划（2017</w:t>
            </w:r>
            <w:r>
              <w:rPr>
                <w:rFonts w:hint="eastAsia"/>
                <w:lang w:eastAsia="zh-CN"/>
              </w:rPr>
              <w:t>—</w:t>
            </w:r>
            <w:r>
              <w:rPr>
                <w:rFonts w:hint="default"/>
              </w:rPr>
              <w:t>2030年）环境影响报告书</w:t>
            </w:r>
            <w:r>
              <w:rPr>
                <w:rFonts w:hint="eastAsia"/>
                <w:lang w:val="en-US" w:eastAsia="zh-CN"/>
              </w:rPr>
              <w:t>》结论的符合性分析</w:t>
            </w:r>
          </w:p>
          <w:tbl>
            <w:tblPr>
              <w:tblStyle w:val="31"/>
              <w:tblW w:w="744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7"/>
              <w:gridCol w:w="2631"/>
              <w:gridCol w:w="810"/>
            </w:tblGrid>
            <w:tr w14:paraId="6295D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7" w:type="dxa"/>
                  <w:tcBorders>
                    <w:tl2br w:val="nil"/>
                    <w:tr2bl w:val="nil"/>
                  </w:tcBorders>
                  <w:vAlign w:val="center"/>
                </w:tcPr>
                <w:p w14:paraId="11304D6D">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环评结论</w:t>
                  </w:r>
                </w:p>
              </w:tc>
              <w:tc>
                <w:tcPr>
                  <w:tcW w:w="2631" w:type="dxa"/>
                  <w:tcBorders>
                    <w:tl2br w:val="nil"/>
                    <w:tr2bl w:val="nil"/>
                  </w:tcBorders>
                  <w:vAlign w:val="center"/>
                </w:tcPr>
                <w:p w14:paraId="4405BE22">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本项目</w:t>
                  </w:r>
                </w:p>
              </w:tc>
              <w:tc>
                <w:tcPr>
                  <w:tcW w:w="810" w:type="dxa"/>
                  <w:tcBorders>
                    <w:tl2br w:val="nil"/>
                    <w:tr2bl w:val="nil"/>
                  </w:tcBorders>
                  <w:vAlign w:val="center"/>
                </w:tcPr>
                <w:p w14:paraId="5F316D58">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符合性</w:t>
                  </w:r>
                </w:p>
              </w:tc>
            </w:tr>
            <w:tr w14:paraId="597FF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7" w:type="dxa"/>
                  <w:tcBorders>
                    <w:tl2br w:val="nil"/>
                    <w:tr2bl w:val="nil"/>
                  </w:tcBorders>
                  <w:vAlign w:val="center"/>
                </w:tcPr>
                <w:p w14:paraId="43160022">
                  <w:pPr>
                    <w:pStyle w:val="8"/>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河北巴州生态产业园核心区所在地煤炭资源、矿产资源、农业资源、能源、</w:t>
                  </w:r>
                  <w:r>
                    <w:rPr>
                      <w:rFonts w:hint="eastAsia"/>
                      <w:lang w:val="en-US" w:eastAsia="zh-CN"/>
                    </w:rPr>
                    <w:t>土地</w:t>
                  </w:r>
                  <w:r>
                    <w:rPr>
                      <w:rFonts w:hint="default"/>
                      <w:lang w:val="en-US" w:eastAsia="zh-CN"/>
                    </w:rPr>
                    <w:t>资源、人力资源相对充足，区位优势和政策优势明显</w:t>
                  </w:r>
                  <w:r>
                    <w:rPr>
                      <w:rFonts w:hint="eastAsia"/>
                      <w:lang w:val="en-US" w:eastAsia="zh-CN"/>
                    </w:rPr>
                    <w:t>；</w:t>
                  </w:r>
                  <w:r>
                    <w:rPr>
                      <w:rFonts w:hint="default"/>
                      <w:lang w:val="en-US" w:eastAsia="zh-CN"/>
                    </w:rPr>
                    <w:t>园区规划建设用地绝大部分为未利用土地</w:t>
                  </w:r>
                  <w:r>
                    <w:rPr>
                      <w:rFonts w:hint="eastAsia"/>
                      <w:lang w:val="en-US" w:eastAsia="zh-CN"/>
                    </w:rPr>
                    <w:t>（</w:t>
                  </w:r>
                  <w:r>
                    <w:rPr>
                      <w:rFonts w:hint="default"/>
                      <w:lang w:val="en-US" w:eastAsia="zh-CN"/>
                    </w:rPr>
                    <w:t>戈壁滩</w:t>
                  </w:r>
                  <w:r>
                    <w:rPr>
                      <w:rFonts w:hint="eastAsia"/>
                      <w:lang w:val="en-US" w:eastAsia="zh-CN"/>
                    </w:rPr>
                    <w:t>）；</w:t>
                  </w:r>
                  <w:r>
                    <w:rPr>
                      <w:rFonts w:hint="default"/>
                      <w:lang w:val="en-US" w:eastAsia="zh-CN"/>
                    </w:rPr>
                    <w:t>内外交通便利</w:t>
                  </w:r>
                  <w:r>
                    <w:rPr>
                      <w:rFonts w:hint="eastAsia"/>
                      <w:lang w:val="en-US" w:eastAsia="zh-CN"/>
                    </w:rPr>
                    <w:t>；</w:t>
                  </w:r>
                  <w:r>
                    <w:rPr>
                      <w:rFonts w:hint="default"/>
                      <w:lang w:val="en-US" w:eastAsia="zh-CN"/>
                    </w:rPr>
                    <w:t>园区规划符合相关规划要求</w:t>
                  </w:r>
                  <w:r>
                    <w:rPr>
                      <w:rFonts w:hint="eastAsia"/>
                      <w:lang w:val="en-US" w:eastAsia="zh-CN"/>
                    </w:rPr>
                    <w:t>；</w:t>
                  </w:r>
                  <w:r>
                    <w:rPr>
                      <w:rFonts w:hint="default"/>
                      <w:lang w:val="en-US" w:eastAsia="zh-CN"/>
                    </w:rPr>
                    <w:t>园区产业定位符合区域产业发展方向</w:t>
                  </w:r>
                  <w:r>
                    <w:rPr>
                      <w:rFonts w:hint="eastAsia"/>
                      <w:lang w:val="en-US" w:eastAsia="zh-CN"/>
                    </w:rPr>
                    <w:t>；</w:t>
                  </w:r>
                  <w:r>
                    <w:rPr>
                      <w:rFonts w:hint="default"/>
                      <w:lang w:val="en-US" w:eastAsia="zh-CN"/>
                    </w:rPr>
                    <w:t>规划延伸了相关产业链，因此园区选址及产业发展方向基本合理</w:t>
                  </w:r>
                </w:p>
              </w:tc>
              <w:tc>
                <w:tcPr>
                  <w:tcW w:w="2631" w:type="dxa"/>
                  <w:tcBorders>
                    <w:tl2br w:val="nil"/>
                    <w:tr2bl w:val="nil"/>
                  </w:tcBorders>
                  <w:vAlign w:val="center"/>
                </w:tcPr>
                <w:p w14:paraId="2F3DBF80">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本项目位于</w:t>
                  </w:r>
                  <w:r>
                    <w:rPr>
                      <w:rFonts w:hint="eastAsia"/>
                      <w:color w:val="auto"/>
                      <w:lang w:eastAsia="zh-CN"/>
                    </w:rPr>
                    <w:t>河北巴州生态产业园区东区内</w:t>
                  </w:r>
                  <w:r>
                    <w:rPr>
                      <w:rFonts w:hint="eastAsia"/>
                      <w:lang w:val="en-US" w:eastAsia="zh-CN"/>
                    </w:rPr>
                    <w:t>，用地性质为工业用地，符合《</w:t>
                  </w:r>
                  <w:r>
                    <w:rPr>
                      <w:rFonts w:hint="default"/>
                    </w:rPr>
                    <w:t>河北巴州生态产业园总体规划（2017</w:t>
                  </w:r>
                  <w:r>
                    <w:rPr>
                      <w:rFonts w:hint="eastAsia"/>
                      <w:lang w:eastAsia="zh-CN"/>
                    </w:rPr>
                    <w:t>—</w:t>
                  </w:r>
                  <w:r>
                    <w:rPr>
                      <w:rFonts w:hint="default"/>
                    </w:rPr>
                    <w:t>203</w:t>
                  </w:r>
                  <w:r>
                    <w:rPr>
                      <w:rFonts w:hint="eastAsia"/>
                      <w:lang w:val="en-US" w:eastAsia="zh-CN"/>
                    </w:rPr>
                    <w:t>5</w:t>
                  </w:r>
                  <w:r>
                    <w:rPr>
                      <w:rFonts w:hint="default"/>
                    </w:rPr>
                    <w:t>年）</w:t>
                  </w:r>
                  <w:r>
                    <w:rPr>
                      <w:rFonts w:hint="eastAsia"/>
                      <w:lang w:eastAsia="zh-CN"/>
                    </w:rPr>
                    <w:t>》</w:t>
                  </w:r>
                  <w:r>
                    <w:rPr>
                      <w:rFonts w:hint="default"/>
                      <w:lang w:val="en-US" w:eastAsia="zh-CN"/>
                    </w:rPr>
                    <w:t>产业发展方向</w:t>
                  </w:r>
                  <w:r>
                    <w:rPr>
                      <w:rFonts w:hint="eastAsia"/>
                      <w:lang w:val="en-US" w:eastAsia="zh-CN"/>
                    </w:rPr>
                    <w:t>；园区内</w:t>
                  </w:r>
                  <w:r>
                    <w:rPr>
                      <w:rFonts w:hint="default"/>
                      <w:lang w:val="en-US" w:eastAsia="zh-CN"/>
                    </w:rPr>
                    <w:t>外交通便利</w:t>
                  </w:r>
                  <w:r>
                    <w:rPr>
                      <w:rFonts w:hint="eastAsia"/>
                      <w:lang w:val="en-US" w:eastAsia="zh-CN"/>
                    </w:rPr>
                    <w:t>，本项目选址合理。</w:t>
                  </w:r>
                </w:p>
              </w:tc>
              <w:tc>
                <w:tcPr>
                  <w:tcW w:w="810" w:type="dxa"/>
                  <w:tcBorders>
                    <w:tl2br w:val="nil"/>
                    <w:tr2bl w:val="nil"/>
                  </w:tcBorders>
                  <w:vAlign w:val="center"/>
                </w:tcPr>
                <w:p w14:paraId="3115DA13">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符合</w:t>
                  </w:r>
                </w:p>
              </w:tc>
            </w:tr>
            <w:tr w14:paraId="21787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7" w:type="dxa"/>
                  <w:tcBorders>
                    <w:tl2br w:val="nil"/>
                    <w:tr2bl w:val="nil"/>
                  </w:tcBorders>
                  <w:vAlign w:val="center"/>
                </w:tcPr>
                <w:p w14:paraId="1893CCE1">
                  <w:pPr>
                    <w:pStyle w:val="8"/>
                    <w:keepNext w:val="0"/>
                    <w:keepLines w:val="0"/>
                    <w:suppressLineNumbers w:val="0"/>
                    <w:bidi w:val="0"/>
                    <w:spacing w:before="0" w:beforeAutospacing="0" w:after="0" w:afterAutospacing="0"/>
                    <w:ind w:left="0" w:right="0"/>
                    <w:jc w:val="center"/>
                    <w:rPr>
                      <w:rFonts w:hint="default"/>
                      <w:lang w:val="en-US" w:eastAsia="zh-CN"/>
                    </w:rPr>
                  </w:pPr>
                  <w:r>
                    <w:rPr>
                      <w:rFonts w:hint="default"/>
                      <w:lang w:val="en-US" w:eastAsia="zh-CN"/>
                    </w:rPr>
                    <w:t>园区的规划建设，要认真落实本环评提出的环境减缓措施和规划调整建议，特别是应合理选择用于周边荒漠生态林地的灌溉点，远离孔雀河、博斯腾湖风景名胜区、地下水源井、农田等，禁止尾水进入附近的博斯腾湖风景名胜区、孔雀河、地下水源井保护区以及农田范围。严格入区企业准入条件，特别是规划的能源化工产业，降低能耗、水耗，提高能效</w:t>
                  </w:r>
                  <w:r>
                    <w:rPr>
                      <w:rFonts w:hint="eastAsia"/>
                      <w:lang w:val="en-US" w:eastAsia="zh-CN"/>
                    </w:rPr>
                    <w:t>；</w:t>
                  </w:r>
                  <w:r>
                    <w:rPr>
                      <w:rFonts w:hint="default"/>
                      <w:lang w:val="en-US" w:eastAsia="zh-CN"/>
                    </w:rPr>
                    <w:t>量水</w:t>
                  </w:r>
                  <w:r>
                    <w:rPr>
                      <w:rFonts w:hint="eastAsia"/>
                      <w:lang w:val="en-US" w:eastAsia="zh-CN"/>
                    </w:rPr>
                    <w:t>（</w:t>
                  </w:r>
                  <w:r>
                    <w:rPr>
                      <w:rFonts w:hint="default"/>
                      <w:lang w:val="en-US" w:eastAsia="zh-CN"/>
                    </w:rPr>
                    <w:t>资源、环境</w:t>
                  </w:r>
                  <w:r>
                    <w:rPr>
                      <w:rFonts w:hint="eastAsia"/>
                      <w:lang w:val="en-US" w:eastAsia="zh-CN"/>
                    </w:rPr>
                    <w:t>）</w:t>
                  </w:r>
                  <w:r>
                    <w:rPr>
                      <w:rFonts w:hint="default"/>
                      <w:lang w:val="en-US" w:eastAsia="zh-CN"/>
                    </w:rPr>
                    <w:t>而行，科学布局，严格执行环境管理制度，积极推行清洁生产、发展循环经济，将园区开发建设的不利环境影响控制在允许范围之内，采取有效措施保持</w:t>
                  </w:r>
                  <w:r>
                    <w:rPr>
                      <w:rFonts w:hint="eastAsia"/>
                      <w:lang w:val="en-US" w:eastAsia="zh-CN"/>
                    </w:rPr>
                    <w:t>区域</w:t>
                  </w:r>
                  <w:r>
                    <w:rPr>
                      <w:rFonts w:hint="default"/>
                      <w:lang w:val="en-US" w:eastAsia="zh-CN"/>
                    </w:rPr>
                    <w:t>环境质量不下降，才能保证实现各功能区的环境目标。按本报告调整后园区的规划，基本可以实现资源开发可持续、生态环境可持续，在此前提下，园区的建设是可行的。</w:t>
                  </w:r>
                </w:p>
              </w:tc>
              <w:tc>
                <w:tcPr>
                  <w:tcW w:w="2631" w:type="dxa"/>
                  <w:tcBorders>
                    <w:tl2br w:val="nil"/>
                    <w:tr2bl w:val="nil"/>
                  </w:tcBorders>
                  <w:vAlign w:val="center"/>
                </w:tcPr>
                <w:p w14:paraId="78BB213E">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本项目按照环评</w:t>
                  </w:r>
                  <w:r>
                    <w:rPr>
                      <w:rFonts w:hint="default"/>
                      <w:lang w:val="en-US" w:eastAsia="zh-CN"/>
                    </w:rPr>
                    <w:t>环境减缓措施和规划调整建议</w:t>
                  </w:r>
                  <w:r>
                    <w:rPr>
                      <w:rFonts w:hint="eastAsia"/>
                      <w:lang w:val="en-US" w:eastAsia="zh-CN"/>
                    </w:rPr>
                    <w:t>，位于</w:t>
                  </w:r>
                  <w:r>
                    <w:rPr>
                      <w:rFonts w:hint="eastAsia"/>
                      <w:color w:val="auto"/>
                      <w:lang w:eastAsia="zh-CN"/>
                    </w:rPr>
                    <w:t>河北巴州生态产业园区东区内，</w:t>
                  </w:r>
                  <w:r>
                    <w:rPr>
                      <w:rFonts w:hint="eastAsia"/>
                      <w:color w:val="auto"/>
                      <w:lang w:val="en-US" w:eastAsia="zh-CN"/>
                    </w:rPr>
                    <w:t>符合</w:t>
                  </w:r>
                  <w:r>
                    <w:rPr>
                      <w:rFonts w:hint="eastAsia"/>
                      <w:lang w:val="en-US" w:eastAsia="zh-CN"/>
                    </w:rPr>
                    <w:t>《</w:t>
                  </w:r>
                  <w:r>
                    <w:rPr>
                      <w:rFonts w:hint="default"/>
                    </w:rPr>
                    <w:t>河北巴州生态产业园总体规划（2017</w:t>
                  </w:r>
                  <w:r>
                    <w:rPr>
                      <w:rFonts w:hint="eastAsia"/>
                      <w:lang w:eastAsia="zh-CN"/>
                    </w:rPr>
                    <w:t>—</w:t>
                  </w:r>
                  <w:r>
                    <w:rPr>
                      <w:rFonts w:hint="default"/>
                    </w:rPr>
                    <w:t>203</w:t>
                  </w:r>
                  <w:r>
                    <w:rPr>
                      <w:rFonts w:hint="eastAsia"/>
                      <w:lang w:val="en-US" w:eastAsia="zh-CN"/>
                    </w:rPr>
                    <w:t>5</w:t>
                  </w:r>
                  <w:r>
                    <w:rPr>
                      <w:rFonts w:hint="default"/>
                    </w:rPr>
                    <w:t>年）</w:t>
                  </w:r>
                  <w:r>
                    <w:rPr>
                      <w:rFonts w:hint="eastAsia"/>
                      <w:lang w:eastAsia="zh-CN"/>
                    </w:rPr>
                    <w:t>》</w:t>
                  </w:r>
                  <w:r>
                    <w:rPr>
                      <w:rFonts w:hint="default"/>
                      <w:lang w:val="en-US" w:eastAsia="zh-CN"/>
                    </w:rPr>
                    <w:t>产业发展方向</w:t>
                  </w:r>
                  <w:r>
                    <w:rPr>
                      <w:rFonts w:hint="eastAsia"/>
                      <w:lang w:val="en-US" w:eastAsia="zh-CN"/>
                    </w:rPr>
                    <w:t>；本项目不属于高耗能、高耗水行业，符合园区用水总量指标。</w:t>
                  </w:r>
                </w:p>
              </w:tc>
              <w:tc>
                <w:tcPr>
                  <w:tcW w:w="810" w:type="dxa"/>
                  <w:tcBorders>
                    <w:tl2br w:val="nil"/>
                    <w:tr2bl w:val="nil"/>
                  </w:tcBorders>
                  <w:vAlign w:val="center"/>
                </w:tcPr>
                <w:p w14:paraId="662B0266">
                  <w:pPr>
                    <w:pStyle w:val="8"/>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符合</w:t>
                  </w:r>
                </w:p>
              </w:tc>
            </w:tr>
          </w:tbl>
          <w:p w14:paraId="6D78040D">
            <w:pPr>
              <w:pStyle w:val="4"/>
              <w:suppressLineNumbers w:val="0"/>
              <w:bidi w:val="0"/>
              <w:spacing w:before="0" w:beforeAutospacing="0" w:after="0" w:afterAutospacing="0"/>
              <w:ind w:left="0" w:right="0"/>
              <w:rPr>
                <w:rFonts w:hint="eastAsia"/>
                <w:color w:val="auto"/>
                <w:highlight w:val="none"/>
                <w:lang w:eastAsia="zh-CN"/>
              </w:rPr>
            </w:pPr>
            <w:r>
              <w:rPr>
                <w:rFonts w:hint="eastAsia"/>
                <w:lang w:val="en-US" w:eastAsia="zh-CN"/>
              </w:rPr>
              <w:t>3、与</w:t>
            </w:r>
            <w:r>
              <w:rPr>
                <w:rFonts w:hint="default"/>
              </w:rPr>
              <w:t>《关于河北巴州生态产业园总体规划（2017</w:t>
            </w:r>
            <w:r>
              <w:rPr>
                <w:rFonts w:hint="eastAsia"/>
                <w:lang w:eastAsia="zh-CN"/>
              </w:rPr>
              <w:t>—</w:t>
            </w:r>
            <w:r>
              <w:rPr>
                <w:rFonts w:hint="default"/>
              </w:rPr>
              <w:t>2030年）环境影响报告书的审查意见》</w:t>
            </w:r>
            <w:r>
              <w:rPr>
                <w:rFonts w:hint="eastAsia"/>
                <w:lang w:eastAsia="zh-CN"/>
              </w:rPr>
              <w:t>（</w:t>
            </w:r>
            <w:r>
              <w:rPr>
                <w:rFonts w:hint="default"/>
              </w:rPr>
              <w:t>新环函〔2017〕1306号</w:t>
            </w:r>
            <w:r>
              <w:rPr>
                <w:rFonts w:hint="eastAsia"/>
                <w:lang w:eastAsia="zh-CN"/>
              </w:rPr>
              <w:t>）</w:t>
            </w:r>
            <w:r>
              <w:rPr>
                <w:rFonts w:hint="eastAsia"/>
                <w:lang w:val="en-US" w:eastAsia="zh-CN"/>
              </w:rPr>
              <w:t>的符合性</w:t>
            </w:r>
          </w:p>
          <w:p w14:paraId="5C8C6D48">
            <w:pPr>
              <w:keepNext w:val="0"/>
              <w:keepLines w:val="0"/>
              <w:suppressLineNumbers w:val="0"/>
              <w:bidi w:val="0"/>
              <w:spacing w:before="0" w:beforeAutospacing="0" w:after="0" w:afterAutospacing="0"/>
              <w:ind w:left="0" w:right="0"/>
              <w:rPr>
                <w:rFonts w:hint="eastAsia"/>
                <w:color w:val="auto"/>
                <w:highlight w:val="none"/>
                <w:lang w:eastAsia="zh-CN"/>
              </w:rPr>
            </w:pPr>
            <w:r>
              <w:rPr>
                <w:rFonts w:hint="eastAsia"/>
                <w:color w:val="auto"/>
                <w:highlight w:val="none"/>
                <w:lang w:eastAsia="zh-CN"/>
              </w:rPr>
              <w:t>坚守环境质量底线，严格污染物总量管控。根据库尔勒区域大气污染联防联控要求、规划区域及周边环境质量现状和目标，确定区域污染物排放总量上限。落实园区颗粒状物料储运全封闭防尘措施，采取有效措施减少二氧化硫、氮氧化物、挥发性有机物、臭气、颗粒物、化学需氧量、氨氮等污染物的排放量，确保实现区域环境质量改善目标，园区处于库尔勒区域大气污染联防联控重点控制区，各类大气污染物排放须满足国家和自治区污染物排放标准中的特别排放限值要求。</w:t>
            </w:r>
          </w:p>
          <w:p w14:paraId="7F791946">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highlight w:val="none"/>
                <w:lang w:val="en-US" w:eastAsia="zh-CN"/>
              </w:rPr>
              <w:t>本项目</w:t>
            </w:r>
            <w:r>
              <w:rPr>
                <w:rFonts w:hint="eastAsia"/>
                <w:color w:val="auto"/>
                <w:highlight w:val="none"/>
                <w:lang w:eastAsia="zh-CN"/>
              </w:rPr>
              <w:t>坚守环境质量底线，根据库尔勒大气联防联控要求、规划区域及周边环境质量现状和敏感目标，原料、成品采取全封闭存储，全封闭输送。</w:t>
            </w:r>
            <w:r>
              <w:rPr>
                <w:rFonts w:hint="eastAsia"/>
                <w:color w:val="auto"/>
                <w:highlight w:val="none"/>
              </w:rPr>
              <w:t>运营期颗粒物</w:t>
            </w:r>
            <w:r>
              <w:rPr>
                <w:rFonts w:hint="eastAsia"/>
                <w:color w:val="auto"/>
                <w:highlight w:val="none"/>
                <w:lang w:eastAsia="zh-CN"/>
              </w:rPr>
              <w:t>、非甲烷总烃满足</w:t>
            </w:r>
            <w:r>
              <w:rPr>
                <w:rFonts w:hint="default"/>
                <w:color w:val="auto"/>
                <w:highlight w:val="none"/>
              </w:rPr>
              <w:t>《大气污染物综合排放标准》</w:t>
            </w:r>
            <w:r>
              <w:rPr>
                <w:rFonts w:hint="eastAsia"/>
                <w:color w:val="auto"/>
                <w:highlight w:val="none"/>
                <w:lang w:eastAsia="zh-CN"/>
              </w:rPr>
              <w:t>（</w:t>
            </w:r>
            <w:r>
              <w:rPr>
                <w:rFonts w:hint="default"/>
                <w:color w:val="auto"/>
                <w:highlight w:val="none"/>
              </w:rPr>
              <w:t>GB16297- 1996</w:t>
            </w:r>
            <w:r>
              <w:rPr>
                <w:rFonts w:hint="eastAsia"/>
                <w:color w:val="auto"/>
                <w:highlight w:val="none"/>
                <w:lang w:eastAsia="zh-CN"/>
              </w:rPr>
              <w:t>）</w:t>
            </w:r>
            <w:r>
              <w:rPr>
                <w:rFonts w:hint="default"/>
                <w:color w:val="auto"/>
                <w:highlight w:val="none"/>
              </w:rPr>
              <w:t>表2中</w:t>
            </w:r>
            <w:r>
              <w:rPr>
                <w:rFonts w:hint="eastAsia"/>
                <w:color w:val="auto"/>
                <w:highlight w:val="none"/>
                <w:lang w:val="en-US" w:eastAsia="zh-CN"/>
              </w:rPr>
              <w:t>限值要求</w:t>
            </w:r>
            <w:r>
              <w:rPr>
                <w:rFonts w:hint="eastAsia"/>
                <w:color w:val="auto"/>
                <w:highlight w:val="none"/>
              </w:rPr>
              <w:t>；</w:t>
            </w:r>
            <w:r>
              <w:rPr>
                <w:rFonts w:hint="eastAsia"/>
                <w:color w:val="auto"/>
                <w:highlight w:val="none"/>
                <w:lang w:eastAsia="zh-CN"/>
              </w:rPr>
              <w:t>车间外</w:t>
            </w:r>
            <w:r>
              <w:rPr>
                <w:rFonts w:hint="default"/>
                <w:color w:val="auto"/>
                <w:highlight w:val="none"/>
              </w:rPr>
              <w:t>非甲烷总烃排放浓度</w:t>
            </w:r>
            <w:r>
              <w:rPr>
                <w:rFonts w:hint="eastAsia"/>
                <w:color w:val="auto"/>
                <w:highlight w:val="none"/>
                <w:lang w:eastAsia="zh-CN"/>
              </w:rPr>
              <w:t>满足</w:t>
            </w:r>
            <w:r>
              <w:rPr>
                <w:rFonts w:hint="default"/>
                <w:color w:val="auto"/>
                <w:highlight w:val="none"/>
              </w:rPr>
              <w:t>《挥发性有机物无组织排放控制标准》</w:t>
            </w:r>
            <w:r>
              <w:rPr>
                <w:rFonts w:hint="eastAsia"/>
                <w:color w:val="auto"/>
                <w:highlight w:val="none"/>
                <w:lang w:eastAsia="zh-CN"/>
              </w:rPr>
              <w:t>（</w:t>
            </w:r>
            <w:r>
              <w:rPr>
                <w:rFonts w:hint="default"/>
                <w:color w:val="auto"/>
                <w:highlight w:val="none"/>
              </w:rPr>
              <w:t>GB 37822-2019</w:t>
            </w:r>
            <w:r>
              <w:rPr>
                <w:rFonts w:hint="eastAsia"/>
                <w:color w:val="auto"/>
                <w:highlight w:val="none"/>
                <w:lang w:eastAsia="zh-CN"/>
              </w:rPr>
              <w:t>）</w:t>
            </w:r>
            <w:r>
              <w:rPr>
                <w:rFonts w:hint="default"/>
                <w:color w:val="auto"/>
                <w:highlight w:val="none"/>
              </w:rPr>
              <w:t>中表A. 1厂区内VOCs无组织排放限值中特别排放限值</w:t>
            </w:r>
            <w:r>
              <w:rPr>
                <w:rFonts w:hint="eastAsia"/>
                <w:color w:val="auto"/>
                <w:highlight w:val="none"/>
                <w:lang w:eastAsia="zh-CN"/>
              </w:rPr>
              <w:t>。本项目属于</w:t>
            </w:r>
            <w:r>
              <w:rPr>
                <w:rFonts w:hint="default"/>
                <w:color w:val="auto"/>
                <w:highlight w:val="none"/>
              </w:rPr>
              <w:t>《产业结构调整指导目录（20</w:t>
            </w:r>
            <w:r>
              <w:rPr>
                <w:rFonts w:hint="eastAsia"/>
                <w:color w:val="auto"/>
                <w:highlight w:val="none"/>
                <w:lang w:val="en-US" w:eastAsia="zh-CN"/>
              </w:rPr>
              <w:t>24</w:t>
            </w:r>
            <w:r>
              <w:rPr>
                <w:rFonts w:hint="default"/>
                <w:color w:val="auto"/>
                <w:highlight w:val="none"/>
              </w:rPr>
              <w:t>年本）》</w:t>
            </w:r>
            <w:r>
              <w:rPr>
                <w:rFonts w:hint="eastAsia"/>
                <w:color w:val="auto"/>
                <w:highlight w:val="none"/>
                <w:lang w:eastAsia="zh-CN"/>
              </w:rPr>
              <w:t>中</w:t>
            </w:r>
            <w:r>
              <w:rPr>
                <w:rFonts w:hint="eastAsia"/>
                <w:color w:val="auto"/>
                <w:highlight w:val="none"/>
              </w:rPr>
              <w:t>属允许类，符合国家的产业政策</w:t>
            </w:r>
            <w:r>
              <w:rPr>
                <w:rFonts w:hint="eastAsia"/>
                <w:color w:val="auto"/>
                <w:highlight w:val="none"/>
                <w:lang w:eastAsia="zh-CN"/>
              </w:rPr>
              <w:t>；本项目不属于“三高”项目。综上所述，本项目符合</w:t>
            </w:r>
            <w:r>
              <w:rPr>
                <w:rFonts w:hint="default"/>
                <w:color w:val="auto"/>
                <w:highlight w:val="none"/>
              </w:rPr>
              <w:t>《关于河北巴州生态产业园总体规划（2017</w:t>
            </w:r>
            <w:r>
              <w:rPr>
                <w:rFonts w:hint="eastAsia"/>
                <w:color w:val="auto"/>
                <w:highlight w:val="none"/>
                <w:lang w:eastAsia="zh-CN"/>
              </w:rPr>
              <w:t>—</w:t>
            </w:r>
            <w:r>
              <w:rPr>
                <w:rFonts w:hint="default"/>
                <w:color w:val="auto"/>
                <w:highlight w:val="none"/>
              </w:rPr>
              <w:t>2030年）环境影响报告书的审查意见》</w:t>
            </w:r>
            <w:r>
              <w:rPr>
                <w:rFonts w:hint="eastAsia"/>
                <w:color w:val="auto"/>
                <w:highlight w:val="none"/>
                <w:lang w:eastAsia="zh-CN"/>
              </w:rPr>
              <w:t>（</w:t>
            </w:r>
            <w:r>
              <w:rPr>
                <w:rFonts w:hint="default"/>
                <w:color w:val="auto"/>
                <w:highlight w:val="none"/>
              </w:rPr>
              <w:t>新环函〔2017〕1306号</w:t>
            </w:r>
            <w:r>
              <w:rPr>
                <w:rFonts w:hint="eastAsia"/>
                <w:color w:val="auto"/>
                <w:highlight w:val="none"/>
                <w:lang w:eastAsia="zh-CN"/>
              </w:rPr>
              <w:t>）。</w:t>
            </w:r>
          </w:p>
        </w:tc>
      </w:tr>
      <w:tr w14:paraId="300C8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5" w:type="pct"/>
            <w:vAlign w:val="center"/>
          </w:tcPr>
          <w:p w14:paraId="488EAC28">
            <w:pPr>
              <w:pStyle w:val="12"/>
              <w:keepNext w:val="0"/>
              <w:keepLines w:val="0"/>
              <w:suppressLineNumbers w:val="0"/>
              <w:bidi w:val="0"/>
              <w:spacing w:before="0" w:beforeAutospacing="0" w:after="0" w:afterAutospacing="0"/>
              <w:ind w:left="0"/>
              <w:rPr>
                <w:rFonts w:hint="default"/>
              </w:rPr>
            </w:pPr>
            <w:r>
              <w:rPr>
                <w:rFonts w:hint="default"/>
              </w:rPr>
              <w:t>其他符合性分析</w:t>
            </w:r>
          </w:p>
        </w:tc>
        <w:tc>
          <w:tcPr>
            <w:tcW w:w="4144" w:type="pct"/>
            <w:gridSpan w:val="3"/>
            <w:vAlign w:val="center"/>
          </w:tcPr>
          <w:p w14:paraId="05274AFB">
            <w:pPr>
              <w:pStyle w:val="4"/>
              <w:suppressLineNumbers w:val="0"/>
              <w:bidi w:val="0"/>
              <w:spacing w:before="0" w:beforeAutospacing="0" w:after="0" w:afterAutospacing="0"/>
              <w:ind w:left="0" w:right="0"/>
              <w:rPr>
                <w:rFonts w:hint="default"/>
                <w:color w:val="auto"/>
              </w:rPr>
            </w:pPr>
            <w:r>
              <w:rPr>
                <w:rFonts w:hint="default"/>
                <w:color w:val="auto"/>
                <w:lang w:val="en-US" w:eastAsia="zh-CN"/>
              </w:rPr>
              <w:t>1、</w:t>
            </w:r>
            <w:r>
              <w:rPr>
                <w:rFonts w:hint="default"/>
                <w:color w:val="auto"/>
              </w:rPr>
              <w:t>产业政策符合性</w:t>
            </w:r>
          </w:p>
          <w:p w14:paraId="1B24C2AA">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本项目为食品及饲料添加剂制造</w:t>
            </w:r>
            <w:r>
              <w:rPr>
                <w:rFonts w:hint="eastAsia"/>
              </w:rPr>
              <w:t>建设项目</w:t>
            </w:r>
            <w:r>
              <w:rPr>
                <w:rFonts w:hint="eastAsia"/>
                <w:lang w:val="en-US" w:eastAsia="zh-CN"/>
              </w:rPr>
              <w:t>，</w:t>
            </w:r>
            <w:r>
              <w:rPr>
                <w:rFonts w:hint="eastAsia"/>
                <w:lang w:eastAsia="zh-CN"/>
              </w:rPr>
              <w:t>根据</w:t>
            </w:r>
            <w:r>
              <w:rPr>
                <w:rFonts w:hint="default"/>
              </w:rPr>
              <w:t>《产业结构调整指导目录（20</w:t>
            </w:r>
            <w:r>
              <w:rPr>
                <w:rFonts w:hint="eastAsia"/>
                <w:lang w:val="en-US" w:eastAsia="zh-CN"/>
              </w:rPr>
              <w:t>24</w:t>
            </w:r>
            <w:r>
              <w:rPr>
                <w:rFonts w:hint="default"/>
              </w:rPr>
              <w:t>年本）》</w:t>
            </w:r>
            <w:r>
              <w:rPr>
                <w:rFonts w:hint="eastAsia"/>
                <w:lang w:eastAsia="zh-CN"/>
              </w:rPr>
              <w:t>，本</w:t>
            </w:r>
            <w:r>
              <w:rPr>
                <w:rFonts w:hint="eastAsia"/>
              </w:rPr>
              <w:t>项目不属于鼓励、限制类、淘汰类：根据国务院关于发布实施《促进产业结构调整暂行规定》的决定（国发﹝</w:t>
            </w:r>
            <w:r>
              <w:rPr>
                <w:rFonts w:hint="eastAsia"/>
                <w:lang w:val="en-US" w:eastAsia="zh-CN"/>
              </w:rPr>
              <w:t>2005</w:t>
            </w:r>
            <w:r>
              <w:rPr>
                <w:rFonts w:hint="eastAsia"/>
              </w:rPr>
              <w:t>﹞40号）第三章产业结构调整指导目录第十三条“不属于鼓励类、限制类和淘汰类，且符合国家有关</w:t>
            </w:r>
            <w:r>
              <w:rPr>
                <w:rFonts w:hint="eastAsia"/>
                <w:lang w:eastAsia="zh-CN"/>
              </w:rPr>
              <w:t>法律法规</w:t>
            </w:r>
            <w:r>
              <w:rPr>
                <w:rFonts w:hint="eastAsia"/>
              </w:rPr>
              <w:t>和政策规定的，为允许类”，因此项目</w:t>
            </w:r>
            <w:r>
              <w:rPr>
                <w:rFonts w:hint="eastAsia"/>
                <w:lang w:eastAsia="zh-CN"/>
              </w:rPr>
              <w:t>属于</w:t>
            </w:r>
            <w:r>
              <w:rPr>
                <w:rFonts w:hint="eastAsia"/>
              </w:rPr>
              <w:t>允许类，符合国家的产业政策</w:t>
            </w:r>
            <w:r>
              <w:rPr>
                <w:rFonts w:hint="eastAsia"/>
                <w:lang w:val="en-US" w:eastAsia="zh-CN"/>
              </w:rPr>
              <w:t>。本项目已取得备案证，备案证号：</w:t>
            </w:r>
            <w:r>
              <w:rPr>
                <w:rFonts w:hint="default"/>
                <w:lang w:val="en-US" w:eastAsia="zh-CN"/>
              </w:rPr>
              <w:t>2602131014652826000158</w:t>
            </w:r>
            <w:r>
              <w:rPr>
                <w:rFonts w:hint="eastAsia"/>
                <w:lang w:val="en-US" w:eastAsia="zh-CN"/>
              </w:rPr>
              <w:t>。</w:t>
            </w:r>
          </w:p>
          <w:p w14:paraId="548809A8">
            <w:pPr>
              <w:pStyle w:val="4"/>
              <w:suppressLineNumbers w:val="0"/>
              <w:bidi w:val="0"/>
              <w:spacing w:before="0" w:beforeAutospacing="0" w:after="0" w:afterAutospacing="0"/>
              <w:ind w:left="0" w:right="0"/>
              <w:jc w:val="both"/>
              <w:rPr>
                <w:rFonts w:hint="eastAsia"/>
                <w:color w:val="auto"/>
                <w:lang w:val="en-US" w:eastAsia="zh-CN"/>
              </w:rPr>
            </w:pPr>
            <w:r>
              <w:rPr>
                <w:rFonts w:hint="eastAsia"/>
                <w:color w:val="auto"/>
                <w:lang w:val="en-US" w:eastAsia="zh-CN"/>
              </w:rPr>
              <w:t>2、与新疆维吾尔自治区生态环境分区管控要求的符合性分析</w:t>
            </w:r>
          </w:p>
          <w:p w14:paraId="09F8484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《新疆维吾尔自治区生态环境分区管控动态更新成果》（新政发〔2024〕157号）的符合性分析。</w:t>
            </w:r>
          </w:p>
          <w:p w14:paraId="67E40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textAlignment w:val="auto"/>
              <w:rPr>
                <w:rFonts w:hint="default"/>
                <w:color w:val="auto"/>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与《新疆维吾尔自治区生态环境分区管控动态更新成果</w:t>
            </w:r>
            <w:r>
              <w:rPr>
                <w:rFonts w:hint="eastAsia"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（新政发〔2024〕157号）的符合性表</w:t>
            </w:r>
          </w:p>
          <w:tbl>
            <w:tblPr>
              <w:tblStyle w:val="109"/>
              <w:tblW w:w="490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9"/>
              <w:gridCol w:w="497"/>
              <w:gridCol w:w="4425"/>
              <w:gridCol w:w="2128"/>
            </w:tblGrid>
            <w:tr w14:paraId="6211B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516" w:type="pct"/>
                  <w:gridSpan w:val="2"/>
                  <w:tcBorders>
                    <w:tl2br w:val="nil"/>
                    <w:tr2bl w:val="nil"/>
                  </w:tcBorders>
                  <w:vAlign w:val="center"/>
                </w:tcPr>
                <w:p w14:paraId="10D7AC3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管控维度</w:t>
                  </w:r>
                </w:p>
              </w:tc>
              <w:tc>
                <w:tcPr>
                  <w:tcW w:w="3027" w:type="pct"/>
                  <w:tcBorders>
                    <w:tl2br w:val="nil"/>
                    <w:tr2bl w:val="nil"/>
                  </w:tcBorders>
                  <w:vAlign w:val="center"/>
                </w:tcPr>
                <w:p w14:paraId="3AE57F3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管控要求</w:t>
                  </w:r>
                </w:p>
              </w:tc>
              <w:tc>
                <w:tcPr>
                  <w:tcW w:w="1455" w:type="pct"/>
                  <w:tcBorders>
                    <w:tl2br w:val="nil"/>
                    <w:tr2bl w:val="nil"/>
                  </w:tcBorders>
                  <w:vAlign w:val="center"/>
                </w:tcPr>
                <w:p w14:paraId="1F646E5E">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符合性分析</w:t>
                  </w:r>
                </w:p>
              </w:tc>
            </w:tr>
            <w:tr w14:paraId="253162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14:paraId="730AC55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A1空间布局约束</w:t>
                  </w:r>
                </w:p>
              </w:tc>
              <w:tc>
                <w:tcPr>
                  <w:tcW w:w="339" w:type="pct"/>
                  <w:tcBorders>
                    <w:tl2br w:val="nil"/>
                    <w:tr2bl w:val="nil"/>
                  </w:tcBorders>
                  <w:vAlign w:val="center"/>
                </w:tcPr>
                <w:p w14:paraId="3D37F07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A1.1禁止开发建设的活动</w:t>
                  </w:r>
                </w:p>
              </w:tc>
              <w:tc>
                <w:tcPr>
                  <w:tcW w:w="3027" w:type="pct"/>
                  <w:tcBorders>
                    <w:tl2br w:val="nil"/>
                    <w:tr2bl w:val="nil"/>
                  </w:tcBorders>
                  <w:vAlign w:val="center"/>
                </w:tcPr>
                <w:p w14:paraId="6A8BABC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〔A1.1-1〕禁止新建、扩建《产业结构调整指导目录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2024年本</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》中淘汰类项目。禁止引入《市场准入负面清单</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2022年版</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》禁止准入类事项。</w:t>
                  </w:r>
                </w:p>
              </w:tc>
              <w:tc>
                <w:tcPr>
                  <w:tcW w:w="1455" w:type="pct"/>
                  <w:tcBorders>
                    <w:tl2br w:val="nil"/>
                    <w:tr2bl w:val="nil"/>
                  </w:tcBorders>
                  <w:vAlign w:val="center"/>
                </w:tcPr>
                <w:p w14:paraId="3E35720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eastAsia="en-US" w:bidi="zh-CN"/>
                    </w:rPr>
                    <w:t>符合，本项目属于《产业结构调整指导目录（2024 年本）》</w:t>
                  </w:r>
                  <w:r>
                    <w:rPr>
                      <w:rFonts w:hint="eastAsia" w:ascii="Times New Roman" w:hAnsi="Times New Roman" w:eastAsia="宋体" w:cs="Times New Roman"/>
                      <w:b w:val="0"/>
                      <w:bCs/>
                      <w:color w:val="auto"/>
                      <w:spacing w:val="0"/>
                      <w:kern w:val="0"/>
                      <w:position w:val="0"/>
                      <w:sz w:val="21"/>
                      <w:szCs w:val="21"/>
                      <w:lang w:val="en-US" w:eastAsia="en-US" w:bidi="zh-CN"/>
                    </w:rPr>
                    <w:t>允许</w:t>
                  </w:r>
                  <w:r>
                    <w:rPr>
                      <w:rFonts w:hint="default" w:ascii="Times New Roman" w:hAnsi="Times New Roman" w:eastAsia="宋体" w:cs="Times New Roman"/>
                      <w:b w:val="0"/>
                      <w:bCs/>
                      <w:color w:val="auto"/>
                      <w:spacing w:val="0"/>
                      <w:kern w:val="0"/>
                      <w:position w:val="0"/>
                      <w:sz w:val="21"/>
                      <w:szCs w:val="21"/>
                      <w:lang w:val="en-US" w:eastAsia="en-US" w:bidi="zh-CN"/>
                    </w:rPr>
                    <w:t>类项目，不属于《市场准入负面清单（202</w:t>
                  </w:r>
                  <w:r>
                    <w:rPr>
                      <w:rFonts w:hint="eastAsia" w:cs="Times New Roman"/>
                      <w:b w:val="0"/>
                      <w:bCs/>
                      <w:color w:val="auto"/>
                      <w:spacing w:val="0"/>
                      <w:kern w:val="0"/>
                      <w:position w:val="0"/>
                      <w:sz w:val="21"/>
                      <w:szCs w:val="21"/>
                      <w:lang w:val="en-US" w:eastAsia="en-US" w:bidi="zh-CN"/>
                    </w:rPr>
                    <w:t>5</w:t>
                  </w:r>
                  <w:r>
                    <w:rPr>
                      <w:rFonts w:hint="default" w:ascii="Times New Roman" w:hAnsi="Times New Roman" w:eastAsia="宋体" w:cs="Times New Roman"/>
                      <w:b w:val="0"/>
                      <w:bCs/>
                      <w:color w:val="auto"/>
                      <w:spacing w:val="0"/>
                      <w:kern w:val="0"/>
                      <w:position w:val="0"/>
                      <w:sz w:val="21"/>
                      <w:szCs w:val="21"/>
                      <w:lang w:val="en-US" w:eastAsia="en-US" w:bidi="zh-CN"/>
                    </w:rPr>
                    <w:t>年版）》禁止准入事项。</w:t>
                  </w:r>
                </w:p>
              </w:tc>
            </w:tr>
            <w:tr w14:paraId="425C3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6" w:hRule="atLeast"/>
                <w:jc w:val="center"/>
              </w:trPr>
              <w:tc>
                <w:tcPr>
                  <w:tcW w:w="177" w:type="pct"/>
                  <w:vMerge w:val="continue"/>
                  <w:tcBorders>
                    <w:tl2br w:val="nil"/>
                    <w:tr2bl w:val="nil"/>
                  </w:tcBorders>
                  <w:vAlign w:val="center"/>
                </w:tcPr>
                <w:p w14:paraId="6098EF16">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14:paraId="4E2977B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A1.4其它布局要求</w:t>
                  </w:r>
                </w:p>
              </w:tc>
              <w:tc>
                <w:tcPr>
                  <w:tcW w:w="3027" w:type="pct"/>
                  <w:tcBorders>
                    <w:tl2br w:val="nil"/>
                    <w:tr2bl w:val="nil"/>
                  </w:tcBorders>
                  <w:vAlign w:val="center"/>
                </w:tcPr>
                <w:p w14:paraId="515D0BD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455" w:type="pct"/>
                  <w:tcBorders>
                    <w:tl2br w:val="nil"/>
                    <w:tr2bl w:val="nil"/>
                  </w:tcBorders>
                  <w:vAlign w:val="center"/>
                </w:tcPr>
                <w:p w14:paraId="57EA6DA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default" w:ascii="Times New Roman" w:hAnsi="Times New Roman" w:eastAsia="宋体" w:cs="Times New Roman"/>
                      <w:b w:val="0"/>
                      <w:bCs/>
                      <w:color w:val="auto"/>
                      <w:spacing w:val="0"/>
                      <w:kern w:val="0"/>
                      <w:position w:val="0"/>
                      <w:sz w:val="21"/>
                      <w:szCs w:val="21"/>
                      <w:lang w:val="en-US" w:eastAsia="zh-CN" w:bidi="zh-CN"/>
                    </w:rPr>
                    <w:t>项目区周边无上述区域</w:t>
                  </w:r>
                  <w:r>
                    <w:rPr>
                      <w:rFonts w:hint="eastAsia" w:ascii="Times New Roman" w:hAnsi="Times New Roman" w:eastAsia="宋体" w:cs="Times New Roman"/>
                      <w:b w:val="0"/>
                      <w:bCs/>
                      <w:color w:val="auto"/>
                      <w:spacing w:val="0"/>
                      <w:kern w:val="0"/>
                      <w:position w:val="0"/>
                      <w:sz w:val="21"/>
                      <w:szCs w:val="21"/>
                      <w:lang w:val="en-US" w:eastAsia="zh-CN" w:bidi="zh-CN"/>
                    </w:rPr>
                    <w:t>，符合《河北巴州生态产业园总体规划（2017—2030年）》</w:t>
                  </w:r>
                  <w:r>
                    <w:rPr>
                      <w:rFonts w:hint="default" w:ascii="Times New Roman" w:hAnsi="Times New Roman" w:eastAsia="宋体" w:cs="Times New Roman"/>
                      <w:b w:val="0"/>
                      <w:bCs/>
                      <w:color w:val="auto"/>
                      <w:spacing w:val="0"/>
                      <w:kern w:val="0"/>
                      <w:position w:val="0"/>
                      <w:sz w:val="21"/>
                      <w:szCs w:val="21"/>
                      <w:lang w:val="en-US" w:eastAsia="zh-CN" w:bidi="zh-CN"/>
                    </w:rPr>
                    <w:t>。</w:t>
                  </w:r>
                </w:p>
              </w:tc>
            </w:tr>
            <w:tr w14:paraId="5BD00D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177" w:type="pct"/>
                  <w:vMerge w:val="restart"/>
                  <w:tcBorders>
                    <w:tl2br w:val="nil"/>
                    <w:tr2bl w:val="nil"/>
                  </w:tcBorders>
                  <w:vAlign w:val="center"/>
                </w:tcPr>
                <w:p w14:paraId="422678C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A2污染物排放管控</w:t>
                  </w:r>
                </w:p>
              </w:tc>
              <w:tc>
                <w:tcPr>
                  <w:tcW w:w="339" w:type="pct"/>
                  <w:tcBorders>
                    <w:tl2br w:val="nil"/>
                    <w:tr2bl w:val="nil"/>
                  </w:tcBorders>
                  <w:vAlign w:val="center"/>
                </w:tcPr>
                <w:p w14:paraId="1B03F94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A2.1污染物削减/替代要求</w:t>
                  </w:r>
                </w:p>
              </w:tc>
              <w:tc>
                <w:tcPr>
                  <w:tcW w:w="3027" w:type="pct"/>
                  <w:tcBorders>
                    <w:tl2br w:val="nil"/>
                    <w:tr2bl w:val="nil"/>
                  </w:tcBorders>
                  <w:vAlign w:val="center"/>
                </w:tcPr>
                <w:p w14:paraId="76072DD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2.1-1〕新、改、扩建重点行业建设项目应符合“三线一单”、产业政策、区域环评、规划环评和行业环境准入管控要求。重点区域的新、改、扩建重点行业建设项目应遵循重点重金属污染物排放“减量替代”原则。</w:t>
                  </w:r>
                </w:p>
              </w:tc>
              <w:tc>
                <w:tcPr>
                  <w:tcW w:w="1455" w:type="pct"/>
                  <w:tcBorders>
                    <w:tl2br w:val="nil"/>
                    <w:tr2bl w:val="nil"/>
                  </w:tcBorders>
                  <w:vAlign w:val="center"/>
                </w:tcPr>
                <w:p w14:paraId="0A282E05">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bidi="zh-CN"/>
                    </w:rPr>
                    <w:t>不涉及</w:t>
                  </w:r>
                </w:p>
              </w:tc>
            </w:tr>
            <w:tr w14:paraId="3BE500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continue"/>
                  <w:tcBorders>
                    <w:tl2br w:val="nil"/>
                    <w:tr2bl w:val="nil"/>
                  </w:tcBorders>
                  <w:vAlign w:val="center"/>
                </w:tcPr>
                <w:p w14:paraId="573C6006">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14:paraId="55F6928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A2.2污染控制措施要求</w:t>
                  </w:r>
                </w:p>
              </w:tc>
              <w:tc>
                <w:tcPr>
                  <w:tcW w:w="3027" w:type="pct"/>
                  <w:tcBorders>
                    <w:tl2br w:val="nil"/>
                    <w:tr2bl w:val="nil"/>
                  </w:tcBorders>
                  <w:shd w:val="clear" w:color="auto" w:fill="auto"/>
                  <w:vAlign w:val="center"/>
                </w:tcPr>
                <w:p w14:paraId="2295C04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1455" w:type="pct"/>
                  <w:tcBorders>
                    <w:tl2br w:val="nil"/>
                    <w:tr2bl w:val="nil"/>
                  </w:tcBorders>
                  <w:shd w:val="clear" w:color="auto" w:fill="auto"/>
                  <w:vAlign w:val="center"/>
                </w:tcPr>
                <w:p w14:paraId="6FC1544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bidi="zh-CN"/>
                    </w:rPr>
                    <w:t>不涉及</w:t>
                  </w:r>
                </w:p>
              </w:tc>
            </w:tr>
            <w:tr w14:paraId="3FED69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177" w:type="pct"/>
                  <w:vMerge w:val="restart"/>
                  <w:tcBorders>
                    <w:tl2br w:val="nil"/>
                    <w:tr2bl w:val="nil"/>
                  </w:tcBorders>
                  <w:vAlign w:val="center"/>
                </w:tcPr>
                <w:p w14:paraId="0D156B90">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A3环境风险防控</w:t>
                  </w:r>
                </w:p>
              </w:tc>
              <w:tc>
                <w:tcPr>
                  <w:tcW w:w="339" w:type="pct"/>
                  <w:vMerge w:val="restart"/>
                  <w:tcBorders>
                    <w:tl2br w:val="nil"/>
                    <w:tr2bl w:val="nil"/>
                  </w:tcBorders>
                  <w:vAlign w:val="center"/>
                </w:tcPr>
                <w:p w14:paraId="1C4A8763">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A3.1人居环境要求</w:t>
                  </w:r>
                </w:p>
              </w:tc>
              <w:tc>
                <w:tcPr>
                  <w:tcW w:w="3027" w:type="pct"/>
                  <w:tcBorders>
                    <w:tl2br w:val="nil"/>
                    <w:tr2bl w:val="nil"/>
                  </w:tcBorders>
                  <w:vAlign w:val="center"/>
                </w:tcPr>
                <w:p w14:paraId="5D42CEA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〔A3.1-1〕建立和完善重污染天气兵地联合应急预案、预报预警应急机制和会商联动机制。“乌一昌一石”区域内可能影响相邻行政区域大气环境的项目，兵地间、城市间必须相互征求意见。</w:t>
                  </w:r>
                </w:p>
              </w:tc>
              <w:tc>
                <w:tcPr>
                  <w:tcW w:w="1455" w:type="pct"/>
                  <w:tcBorders>
                    <w:tl2br w:val="nil"/>
                    <w:tr2bl w:val="nil"/>
                  </w:tcBorders>
                  <w:vAlign w:val="center"/>
                </w:tcPr>
                <w:p w14:paraId="75C4BFDC">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bidi="zh-CN"/>
                    </w:rPr>
                    <w:t>不涉及</w:t>
                  </w:r>
                </w:p>
              </w:tc>
            </w:tr>
            <w:tr w14:paraId="7B28D5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5" w:hRule="atLeast"/>
                <w:jc w:val="center"/>
              </w:trPr>
              <w:tc>
                <w:tcPr>
                  <w:tcW w:w="177" w:type="pct"/>
                  <w:vMerge w:val="continue"/>
                  <w:tcBorders>
                    <w:tl2br w:val="nil"/>
                    <w:tr2bl w:val="nil"/>
                  </w:tcBorders>
                  <w:vAlign w:val="center"/>
                </w:tcPr>
                <w:p w14:paraId="686A04E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14:paraId="1874F8EA">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027" w:type="pct"/>
                  <w:tcBorders>
                    <w:tl2br w:val="nil"/>
                    <w:tr2bl w:val="nil"/>
                  </w:tcBorders>
                  <w:shd w:val="clear" w:color="auto" w:fill="auto"/>
                  <w:vAlign w:val="center"/>
                </w:tcPr>
                <w:p w14:paraId="05301673">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〔A3.1-3〕强化重污染天气监测预报预警能力，建立和完善重污染天气兵地联合应急预案、预警应急机制和会商联动机制，加强轻、中度污染天气管控。</w:t>
                  </w:r>
                </w:p>
              </w:tc>
              <w:tc>
                <w:tcPr>
                  <w:tcW w:w="1455" w:type="pct"/>
                  <w:tcBorders>
                    <w:tl2br w:val="nil"/>
                    <w:tr2bl w:val="nil"/>
                  </w:tcBorders>
                  <w:shd w:val="clear" w:color="auto" w:fill="auto"/>
                  <w:vAlign w:val="center"/>
                </w:tcPr>
                <w:p w14:paraId="5A845C16">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bidi="zh-CN"/>
                    </w:rPr>
                    <w:t>不涉及</w:t>
                  </w:r>
                </w:p>
              </w:tc>
            </w:tr>
            <w:tr w14:paraId="07561C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72" w:hRule="atLeast"/>
                <w:jc w:val="center"/>
              </w:trPr>
              <w:tc>
                <w:tcPr>
                  <w:tcW w:w="177" w:type="pct"/>
                  <w:vMerge w:val="continue"/>
                  <w:tcBorders>
                    <w:tl2br w:val="nil"/>
                    <w:tr2bl w:val="nil"/>
                  </w:tcBorders>
                  <w:vAlign w:val="center"/>
                </w:tcPr>
                <w:p w14:paraId="0368E52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restart"/>
                  <w:tcBorders>
                    <w:tl2br w:val="nil"/>
                    <w:tr2bl w:val="nil"/>
                  </w:tcBorders>
                  <w:vAlign w:val="center"/>
                </w:tcPr>
                <w:p w14:paraId="5901D67F">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A3.2联防联控要求</w:t>
                  </w:r>
                </w:p>
              </w:tc>
              <w:tc>
                <w:tcPr>
                  <w:tcW w:w="3027" w:type="pct"/>
                  <w:tcBorders>
                    <w:tl2br w:val="nil"/>
                    <w:tr2bl w:val="nil"/>
                  </w:tcBorders>
                  <w:shd w:val="clear" w:color="auto" w:fill="auto"/>
                  <w:vAlign w:val="center"/>
                </w:tcPr>
                <w:p w14:paraId="1B63EEDE">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455" w:type="pct"/>
                  <w:tcBorders>
                    <w:tl2br w:val="nil"/>
                    <w:tr2bl w:val="nil"/>
                  </w:tcBorders>
                  <w:shd w:val="clear" w:color="auto" w:fill="auto"/>
                  <w:vAlign w:val="center"/>
                </w:tcPr>
                <w:p w14:paraId="6A831DE6">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eastAsia="zh-CN" w:bidi="zh-CN"/>
                    </w:rPr>
                    <w:t>项目建成后按照相关要求编制完成突发环境事件应急预案并进行备案</w:t>
                  </w:r>
                  <w:r>
                    <w:rPr>
                      <w:rFonts w:hint="default" w:ascii="Times New Roman" w:hAnsi="Times New Roman" w:eastAsia="宋体" w:cs="Times New Roman"/>
                      <w:b w:val="0"/>
                      <w:bCs/>
                      <w:color w:val="auto"/>
                      <w:spacing w:val="0"/>
                      <w:kern w:val="0"/>
                      <w:position w:val="0"/>
                      <w:sz w:val="21"/>
                      <w:szCs w:val="21"/>
                      <w:lang w:val="en-US" w:bidi="zh-CN"/>
                    </w:rPr>
                    <w:t>。</w:t>
                  </w:r>
                </w:p>
              </w:tc>
            </w:tr>
            <w:tr w14:paraId="78E866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9" w:hRule="atLeast"/>
                <w:jc w:val="center"/>
              </w:trPr>
              <w:tc>
                <w:tcPr>
                  <w:tcW w:w="177" w:type="pct"/>
                  <w:vMerge w:val="continue"/>
                  <w:tcBorders>
                    <w:tl2br w:val="nil"/>
                    <w:tr2bl w:val="nil"/>
                  </w:tcBorders>
                  <w:vAlign w:val="center"/>
                </w:tcPr>
                <w:p w14:paraId="42C50D8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14:paraId="7743370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027" w:type="pct"/>
                  <w:tcBorders>
                    <w:tl2br w:val="nil"/>
                    <w:tr2bl w:val="nil"/>
                  </w:tcBorders>
                  <w:shd w:val="clear" w:color="auto" w:fill="auto"/>
                  <w:vAlign w:val="center"/>
                </w:tcPr>
                <w:p w14:paraId="5F87032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455" w:type="pct"/>
                  <w:tcBorders>
                    <w:tl2br w:val="nil"/>
                    <w:tr2bl w:val="nil"/>
                  </w:tcBorders>
                  <w:shd w:val="clear" w:color="auto" w:fill="auto"/>
                  <w:vAlign w:val="center"/>
                </w:tcPr>
                <w:p w14:paraId="69DC8048">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符合，</w:t>
                  </w:r>
                  <w:r>
                    <w:rPr>
                      <w:rFonts w:hint="eastAsia" w:ascii="Times New Roman" w:hAnsi="Times New Roman" w:eastAsia="宋体" w:cs="Times New Roman"/>
                      <w:b w:val="0"/>
                      <w:bCs/>
                      <w:color w:val="auto"/>
                      <w:spacing w:val="0"/>
                      <w:kern w:val="0"/>
                      <w:position w:val="0"/>
                      <w:sz w:val="21"/>
                      <w:szCs w:val="21"/>
                      <w:lang w:val="en-US" w:bidi="zh-CN"/>
                    </w:rPr>
                    <w:t>不涉及</w:t>
                  </w:r>
                </w:p>
              </w:tc>
            </w:tr>
            <w:tr w14:paraId="20EF47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77" w:type="pct"/>
                  <w:vMerge w:val="continue"/>
                  <w:tcBorders>
                    <w:tl2br w:val="nil"/>
                    <w:tr2bl w:val="nil"/>
                  </w:tcBorders>
                  <w:vAlign w:val="center"/>
                </w:tcPr>
                <w:p w14:paraId="686BD12D">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tcBorders>
                    <w:tl2br w:val="nil"/>
                    <w:tr2bl w:val="nil"/>
                  </w:tcBorders>
                  <w:vAlign w:val="center"/>
                </w:tcPr>
                <w:p w14:paraId="13200716">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A4.2土地资源</w:t>
                  </w:r>
                </w:p>
              </w:tc>
              <w:tc>
                <w:tcPr>
                  <w:tcW w:w="3027" w:type="pct"/>
                  <w:tcBorders>
                    <w:tl2br w:val="nil"/>
                    <w:tr2bl w:val="nil"/>
                  </w:tcBorders>
                  <w:vAlign w:val="center"/>
                </w:tcPr>
                <w:p w14:paraId="6A52D5A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〔A4.2-1〕土地资源上线指标控制在最终批复的国土空间规划控制指标内。</w:t>
                  </w:r>
                </w:p>
              </w:tc>
              <w:tc>
                <w:tcPr>
                  <w:tcW w:w="1455" w:type="pct"/>
                  <w:tcBorders>
                    <w:tl2br w:val="nil"/>
                    <w:tr2bl w:val="nil"/>
                  </w:tcBorders>
                  <w:vAlign w:val="center"/>
                </w:tcPr>
                <w:p w14:paraId="4C0F7A77">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符合，本项目</w:t>
                  </w:r>
                  <w:r>
                    <w:rPr>
                      <w:rFonts w:hint="eastAsia" w:cs="Times New Roman"/>
                      <w:b w:val="0"/>
                      <w:bCs/>
                      <w:color w:val="auto"/>
                      <w:spacing w:val="0"/>
                      <w:kern w:val="0"/>
                      <w:position w:val="0"/>
                      <w:sz w:val="21"/>
                      <w:szCs w:val="21"/>
                      <w:lang w:val="en-US" w:bidi="zh-CN"/>
                    </w:rPr>
                    <w:t>已取得采矿许可证</w:t>
                  </w:r>
                  <w:r>
                    <w:rPr>
                      <w:rFonts w:hint="default" w:ascii="Times New Roman" w:hAnsi="Times New Roman" w:eastAsia="宋体" w:cs="Times New Roman"/>
                      <w:b w:val="0"/>
                      <w:bCs/>
                      <w:color w:val="auto"/>
                      <w:spacing w:val="0"/>
                      <w:kern w:val="0"/>
                      <w:position w:val="0"/>
                      <w:sz w:val="21"/>
                      <w:szCs w:val="21"/>
                      <w:lang w:val="en-US" w:bidi="zh-CN"/>
                    </w:rPr>
                    <w:t>。</w:t>
                  </w:r>
                </w:p>
              </w:tc>
            </w:tr>
            <w:tr w14:paraId="7D7BCB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9" w:hRule="atLeast"/>
                <w:jc w:val="center"/>
              </w:trPr>
              <w:tc>
                <w:tcPr>
                  <w:tcW w:w="177" w:type="pct"/>
                  <w:vMerge w:val="continue"/>
                  <w:tcBorders>
                    <w:tl2br w:val="nil"/>
                    <w:tr2bl w:val="nil"/>
                  </w:tcBorders>
                  <w:vAlign w:val="center"/>
                </w:tcPr>
                <w:p w14:paraId="35F6F1C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restart"/>
                  <w:tcBorders>
                    <w:tl2br w:val="nil"/>
                    <w:tr2bl w:val="nil"/>
                  </w:tcBorders>
                  <w:vAlign w:val="center"/>
                </w:tcPr>
                <w:p w14:paraId="69285C03">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A4.5资源综合利用</w:t>
                  </w:r>
                </w:p>
              </w:tc>
              <w:tc>
                <w:tcPr>
                  <w:tcW w:w="3027" w:type="pct"/>
                  <w:tcBorders>
                    <w:tl2br w:val="nil"/>
                    <w:tr2bl w:val="nil"/>
                  </w:tcBorders>
                  <w:vAlign w:val="center"/>
                </w:tcPr>
                <w:p w14:paraId="44E4E13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bidi="zh-CN"/>
                    </w:rPr>
                  </w:pPr>
                  <w:r>
                    <w:rPr>
                      <w:rFonts w:hint="default" w:ascii="Times New Roman" w:hAnsi="Times New Roman" w:eastAsia="宋体" w:cs="Times New Roman"/>
                      <w:b w:val="0"/>
                      <w:bCs/>
                      <w:color w:val="auto"/>
                      <w:spacing w:val="0"/>
                      <w:kern w:val="0"/>
                      <w:position w:val="0"/>
                      <w:sz w:val="21"/>
                      <w:szCs w:val="21"/>
                      <w:lang w:val="en-US" w:bidi="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市</w:t>
                  </w:r>
                  <w:r>
                    <w:rPr>
                      <w:rFonts w:hint="eastAsia" w:ascii="Times New Roman" w:hAnsi="Times New Roman" w:eastAsia="宋体"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生活垃圾处理设施，到2025年，全疆城市生活垃圾无害化处理率达到99%以上。</w:t>
                  </w:r>
                </w:p>
              </w:tc>
              <w:tc>
                <w:tcPr>
                  <w:tcW w:w="1455" w:type="pct"/>
                  <w:tcBorders>
                    <w:tl2br w:val="nil"/>
                    <w:tr2bl w:val="nil"/>
                  </w:tcBorders>
                  <w:vAlign w:val="center"/>
                </w:tcPr>
                <w:p w14:paraId="233AA924">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w:t>
                  </w:r>
                  <w:r>
                    <w:rPr>
                      <w:rFonts w:hint="eastAsia" w:cs="Times New Roman"/>
                      <w:b w:val="0"/>
                      <w:bCs/>
                      <w:color w:val="auto"/>
                      <w:spacing w:val="0"/>
                      <w:kern w:val="0"/>
                      <w:position w:val="0"/>
                      <w:sz w:val="21"/>
                      <w:szCs w:val="21"/>
                      <w:lang w:val="en-US" w:eastAsia="zh-CN" w:bidi="zh-CN"/>
                    </w:rPr>
                    <w:t>辣椒粕外售饲料厂，危险废物集中收集至危险废物贮存库，委托有资质单位处置</w:t>
                  </w:r>
                  <w:r>
                    <w:rPr>
                      <w:rFonts w:hint="eastAsia" w:ascii="Times New Roman" w:hAnsi="Times New Roman" w:eastAsia="宋体" w:cs="Times New Roman"/>
                      <w:b w:val="0"/>
                      <w:bCs/>
                      <w:color w:val="auto"/>
                      <w:spacing w:val="0"/>
                      <w:kern w:val="0"/>
                      <w:position w:val="0"/>
                      <w:sz w:val="21"/>
                      <w:szCs w:val="21"/>
                      <w:lang w:val="en-US" w:eastAsia="zh-CN" w:bidi="zh-CN"/>
                    </w:rPr>
                    <w:t>。</w:t>
                  </w:r>
                </w:p>
              </w:tc>
            </w:tr>
            <w:tr w14:paraId="1A302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10" w:hRule="atLeast"/>
                <w:jc w:val="center"/>
              </w:trPr>
              <w:tc>
                <w:tcPr>
                  <w:tcW w:w="177" w:type="pct"/>
                  <w:vMerge w:val="continue"/>
                  <w:tcBorders>
                    <w:tl2br w:val="nil"/>
                    <w:tr2bl w:val="nil"/>
                  </w:tcBorders>
                  <w:vAlign w:val="center"/>
                </w:tcPr>
                <w:p w14:paraId="610DB2AB">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39" w:type="pct"/>
                  <w:vMerge w:val="continue"/>
                  <w:tcBorders>
                    <w:tl2br w:val="nil"/>
                    <w:tr2bl w:val="nil"/>
                  </w:tcBorders>
                  <w:vAlign w:val="center"/>
                </w:tcPr>
                <w:p w14:paraId="5FF09299">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pacing w:val="0"/>
                      <w:kern w:val="0"/>
                      <w:position w:val="0"/>
                      <w:sz w:val="21"/>
                      <w:szCs w:val="21"/>
                      <w:lang w:val="en-US" w:bidi="zh-CN"/>
                    </w:rPr>
                  </w:pPr>
                </w:p>
              </w:tc>
              <w:tc>
                <w:tcPr>
                  <w:tcW w:w="3027" w:type="pct"/>
                  <w:tcBorders>
                    <w:tl2br w:val="nil"/>
                    <w:tr2bl w:val="nil"/>
                  </w:tcBorders>
                  <w:shd w:val="clear" w:color="auto" w:fill="auto"/>
                  <w:vAlign w:val="center"/>
                </w:tcPr>
                <w:p w14:paraId="2AC884FE">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default" w:ascii="Times New Roman" w:hAnsi="Times New Roman" w:eastAsia="宋体" w:cs="Times New Roman"/>
                      <w:b w:val="0"/>
                      <w:bCs/>
                      <w:color w:val="auto"/>
                      <w:spacing w:val="0"/>
                      <w:kern w:val="0"/>
                      <w:position w:val="0"/>
                      <w:sz w:val="21"/>
                      <w:szCs w:val="21"/>
                      <w:lang w:val="en-US" w:bidi="zh-CN"/>
                    </w:rPr>
                    <w:t>〔A4.5-3〕结合工业领域减污降碳要求，加快探索钢铁、有色、化工、建材等重点行业工业固体废物减量化路径，全面推行清洁生产。全面推进绿色矿山、</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无废</w:t>
                  </w:r>
                  <w:r>
                    <w:rPr>
                      <w:rFonts w:hint="eastAsia" w:cs="Times New Roman"/>
                      <w:b w:val="0"/>
                      <w:bCs/>
                      <w:color w:val="auto"/>
                      <w:spacing w:val="0"/>
                      <w:kern w:val="0"/>
                      <w:position w:val="0"/>
                      <w:sz w:val="21"/>
                      <w:szCs w:val="21"/>
                      <w:lang w:val="en-US" w:bidi="zh-CN"/>
                    </w:rPr>
                    <w:t>”</w:t>
                  </w:r>
                  <w:r>
                    <w:rPr>
                      <w:rFonts w:hint="default" w:ascii="Times New Roman" w:hAnsi="Times New Roman" w:eastAsia="宋体" w:cs="Times New Roman"/>
                      <w:b w:val="0"/>
                      <w:bCs/>
                      <w:color w:val="auto"/>
                      <w:spacing w:val="0"/>
                      <w:kern w:val="0"/>
                      <w:position w:val="0"/>
                      <w:sz w:val="21"/>
                      <w:szCs w:val="21"/>
                      <w:lang w:val="en-US" w:bidi="zh-CN"/>
                    </w:rPr>
                    <w:t>矿区建设，推广尾矿等大宗工业固体废物环境友好型井下充填回填，减少尾矿库贮存量。推动大宗工业固体废物在提取有价组分、生产建材、筑路、生态修复、土壤治理等领域的规模化利用。</w:t>
                  </w:r>
                </w:p>
              </w:tc>
              <w:tc>
                <w:tcPr>
                  <w:tcW w:w="1455" w:type="pct"/>
                  <w:tcBorders>
                    <w:tl2br w:val="nil"/>
                    <w:tr2bl w:val="nil"/>
                  </w:tcBorders>
                  <w:shd w:val="clear" w:color="auto" w:fill="auto"/>
                  <w:vAlign w:val="center"/>
                </w:tcPr>
                <w:p w14:paraId="3C898E21">
                  <w:pPr>
                    <w:keepNext/>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pacing w:val="0"/>
                      <w:kern w:val="0"/>
                      <w:position w:val="0"/>
                      <w:sz w:val="21"/>
                      <w:szCs w:val="21"/>
                      <w:lang w:val="en-US" w:eastAsia="zh-CN" w:bidi="zh-CN"/>
                    </w:rPr>
                  </w:pPr>
                  <w:r>
                    <w:rPr>
                      <w:rFonts w:hint="eastAsia" w:ascii="Times New Roman" w:hAnsi="Times New Roman" w:eastAsia="宋体" w:cs="Times New Roman"/>
                      <w:b w:val="0"/>
                      <w:bCs/>
                      <w:color w:val="auto"/>
                      <w:spacing w:val="0"/>
                      <w:kern w:val="0"/>
                      <w:position w:val="0"/>
                      <w:sz w:val="21"/>
                      <w:szCs w:val="21"/>
                      <w:lang w:val="en-US" w:eastAsia="zh-CN" w:bidi="zh-CN"/>
                    </w:rPr>
                    <w:t>符合，本项目不涉及。</w:t>
                  </w:r>
                </w:p>
              </w:tc>
            </w:tr>
          </w:tbl>
          <w:p w14:paraId="440F549A">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综上所述</w:t>
            </w:r>
            <w:r>
              <w:rPr>
                <w:rFonts w:hint="default"/>
                <w:color w:val="auto"/>
              </w:rPr>
              <w:t>，</w:t>
            </w:r>
            <w:r>
              <w:rPr>
                <w:rFonts w:hint="eastAsia"/>
                <w:color w:val="auto"/>
              </w:rPr>
              <w:t>项目</w:t>
            </w:r>
            <w:r>
              <w:rPr>
                <w:rFonts w:hint="default"/>
                <w:color w:val="auto"/>
              </w:rPr>
              <w:t>符合</w:t>
            </w:r>
            <w:r>
              <w:rPr>
                <w:rFonts w:hint="eastAsia" w:ascii="Times New Roman" w:hAnsi="Times New Roman" w:eastAsia="宋体" w:cs="Times New Roman"/>
                <w:color w:val="auto"/>
                <w:kern w:val="0"/>
                <w:lang w:val="en-US" w:eastAsia="zh-CN"/>
              </w:rPr>
              <w:t>《新疆维吾尔自治区生态环境分区管控动态更新成果</w:t>
            </w:r>
            <w:r>
              <w:rPr>
                <w:rFonts w:hint="eastAsia" w:cs="Times New Roman"/>
                <w:color w:val="auto"/>
                <w:kern w:val="0"/>
                <w:lang w:val="en-US" w:eastAsia="zh-CN"/>
              </w:rPr>
              <w:t>》</w:t>
            </w:r>
            <w:r>
              <w:rPr>
                <w:rFonts w:hint="eastAsia" w:ascii="Times New Roman" w:hAnsi="Times New Roman" w:eastAsia="宋体" w:cs="Times New Roman"/>
                <w:color w:val="auto"/>
                <w:kern w:val="0"/>
                <w:lang w:val="en-US" w:eastAsia="zh-CN"/>
              </w:rPr>
              <w:t>（新政发〔2024〕157号）</w:t>
            </w:r>
            <w:r>
              <w:rPr>
                <w:rFonts w:hint="eastAsia"/>
                <w:color w:val="auto"/>
                <w:lang w:eastAsia="zh-CN"/>
              </w:rPr>
              <w:t>的要求。</w:t>
            </w:r>
          </w:p>
          <w:p w14:paraId="5B42294F">
            <w:pPr>
              <w:pStyle w:val="4"/>
              <w:suppressLineNumbers w:val="0"/>
              <w:bidi w:val="0"/>
              <w:spacing w:before="0" w:beforeAutospacing="0" w:after="0" w:afterAutospacing="0"/>
              <w:ind w:left="0" w:right="0"/>
              <w:rPr>
                <w:rFonts w:hint="eastAsia"/>
                <w:lang w:val="en-US" w:eastAsia="zh-CN"/>
              </w:rPr>
            </w:pPr>
            <w:r>
              <w:rPr>
                <w:rFonts w:hint="eastAsia"/>
                <w:lang w:val="en-US" w:eastAsia="zh-CN"/>
              </w:rPr>
              <w:t>3、与《巴音郭楞蒙古自治州“三线一单”生态环境分区管控动态更新成果（2023年）》（巴政办发〔2024〕32号）的符合性</w:t>
            </w:r>
          </w:p>
          <w:p w14:paraId="1692C06F">
            <w:pPr>
              <w:keepNext w:val="0"/>
              <w:keepLines w:val="0"/>
              <w:suppressLineNumbers w:val="0"/>
              <w:spacing w:before="0" w:beforeAutospacing="0" w:after="0" w:afterAutospacing="0"/>
              <w:ind w:left="0" w:right="0"/>
              <w:rPr>
                <w:rFonts w:hint="eastAsia"/>
                <w:lang w:eastAsia="zh-CN"/>
              </w:rPr>
            </w:pPr>
            <w:r>
              <w:rPr>
                <w:rFonts w:hint="eastAsia"/>
                <w:lang w:val="en-US" w:eastAsia="zh-CN"/>
              </w:rPr>
              <w:t>本项目与《巴州“三线一单”生态环境分区管控动态更新成果（2023年）》（巴政办发〔2024〕32号）的符合性分析，根据“三线一单”分析研判的结果，本项目涉及重</w:t>
            </w:r>
            <w:r>
              <w:rPr>
                <w:rFonts w:hint="eastAsia" w:ascii="Times New Roman" w:hAnsi="Times New Roman" w:eastAsia="宋体" w:cs="Times New Roman"/>
                <w:lang w:val="en-US" w:eastAsia="zh-CN"/>
              </w:rPr>
              <w:t>点管控单元，管控单元名称：焉耆县河北巴州生态产业园，环境管控</w:t>
            </w:r>
            <w:r>
              <w:rPr>
                <w:rFonts w:hint="eastAsia"/>
                <w:lang w:val="en-US" w:eastAsia="zh-CN"/>
              </w:rPr>
              <w:t>单元编码：ZH65282620012，详见表1-4。项目区环境管控单元位置示意图见附图7</w:t>
            </w:r>
            <w:r>
              <w:rPr>
                <w:rFonts w:hint="eastAsia"/>
                <w:lang w:eastAsia="zh-CN"/>
              </w:rPr>
              <w:t>。</w:t>
            </w:r>
          </w:p>
          <w:p w14:paraId="043529B8">
            <w:pPr>
              <w:pStyle w:val="6"/>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1-3</w:t>
            </w:r>
            <w:r>
              <w:rPr>
                <w:rFonts w:hint="eastAsia"/>
                <w:color w:val="auto"/>
              </w:rPr>
              <w:t xml:space="preserve"> </w:t>
            </w:r>
            <w:r>
              <w:rPr>
                <w:rFonts w:hint="eastAsia"/>
                <w:color w:val="auto"/>
                <w:lang w:val="en-US" w:eastAsia="zh-CN"/>
              </w:rPr>
              <w:t xml:space="preserve">   </w:t>
            </w:r>
            <w:r>
              <w:rPr>
                <w:rFonts w:hint="default"/>
                <w:color w:val="auto"/>
              </w:rPr>
              <w:t>与《巴音郭楞蒙古自治州生态环境准入清单》的符合性分析</w:t>
            </w:r>
          </w:p>
          <w:tbl>
            <w:tblPr>
              <w:tblStyle w:val="3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428"/>
              <w:gridCol w:w="2971"/>
              <w:gridCol w:w="2857"/>
              <w:gridCol w:w="759"/>
            </w:tblGrid>
            <w:tr w14:paraId="07A71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76" w:type="pct"/>
                  <w:gridSpan w:val="2"/>
                  <w:tcBorders>
                    <w:tl2br w:val="nil"/>
                    <w:tr2bl w:val="nil"/>
                  </w:tcBorders>
                  <w:vAlign w:val="center"/>
                </w:tcPr>
                <w:p w14:paraId="28B8B883">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管控</w:t>
                  </w:r>
                </w:p>
                <w:p w14:paraId="4A26455E">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类别</w:t>
                  </w:r>
                </w:p>
              </w:tc>
              <w:tc>
                <w:tcPr>
                  <w:tcW w:w="1995" w:type="pct"/>
                  <w:tcBorders>
                    <w:tl2br w:val="nil"/>
                    <w:tr2bl w:val="nil"/>
                  </w:tcBorders>
                  <w:vAlign w:val="center"/>
                </w:tcPr>
                <w:p w14:paraId="21EB894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焉耆县管控要求</w:t>
                  </w:r>
                </w:p>
              </w:tc>
              <w:tc>
                <w:tcPr>
                  <w:tcW w:w="1918" w:type="pct"/>
                  <w:tcBorders>
                    <w:tl2br w:val="nil"/>
                    <w:tr2bl w:val="nil"/>
                  </w:tcBorders>
                  <w:vAlign w:val="center"/>
                </w:tcPr>
                <w:p w14:paraId="2B5CE5AD">
                  <w:pPr>
                    <w:pStyle w:val="8"/>
                    <w:keepNext w:val="0"/>
                    <w:keepLines w:val="0"/>
                    <w:suppressLineNumbers w:val="0"/>
                    <w:bidi w:val="0"/>
                    <w:spacing w:before="0" w:beforeAutospacing="0" w:after="0" w:afterAutospacing="0"/>
                    <w:ind w:left="0" w:right="0"/>
                    <w:rPr>
                      <w:rFonts w:hint="default"/>
                    </w:rPr>
                  </w:pPr>
                  <w:r>
                    <w:rPr>
                      <w:rFonts w:hint="default"/>
                    </w:rPr>
                    <w:t>该项目具体情况</w:t>
                  </w:r>
                </w:p>
              </w:tc>
              <w:tc>
                <w:tcPr>
                  <w:tcW w:w="509" w:type="pct"/>
                  <w:tcBorders>
                    <w:tl2br w:val="nil"/>
                    <w:tr2bl w:val="nil"/>
                  </w:tcBorders>
                  <w:vAlign w:val="center"/>
                </w:tcPr>
                <w:p w14:paraId="2F687F29">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符合性</w:t>
                  </w:r>
                </w:p>
              </w:tc>
            </w:tr>
            <w:tr w14:paraId="50F0E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8" w:type="pct"/>
                  <w:vMerge w:val="restart"/>
                  <w:tcBorders>
                    <w:tl2br w:val="nil"/>
                    <w:tr2bl w:val="nil"/>
                  </w:tcBorders>
                  <w:vAlign w:val="center"/>
                </w:tcPr>
                <w:p w14:paraId="7A0995E8">
                  <w:pPr>
                    <w:pStyle w:val="8"/>
                    <w:keepNext w:val="0"/>
                    <w:keepLines w:val="0"/>
                    <w:suppressLineNumbers w:val="0"/>
                    <w:bidi w:val="0"/>
                    <w:spacing w:before="0" w:beforeAutospacing="0" w:after="0" w:afterAutospacing="0"/>
                    <w:ind w:left="0" w:right="0"/>
                    <w:rPr>
                      <w:rFonts w:hint="default"/>
                    </w:rPr>
                  </w:pPr>
                  <w:r>
                    <w:rPr>
                      <w:rFonts w:hint="default"/>
                    </w:rPr>
                    <w:t>管控要求</w:t>
                  </w:r>
                </w:p>
              </w:tc>
              <w:tc>
                <w:tcPr>
                  <w:tcW w:w="287" w:type="pct"/>
                  <w:tcBorders>
                    <w:tl2br w:val="nil"/>
                    <w:tr2bl w:val="nil"/>
                  </w:tcBorders>
                  <w:vAlign w:val="center"/>
                </w:tcPr>
                <w:p w14:paraId="30600F3E">
                  <w:pPr>
                    <w:pStyle w:val="8"/>
                    <w:keepNext w:val="0"/>
                    <w:keepLines w:val="0"/>
                    <w:suppressLineNumbers w:val="0"/>
                    <w:bidi w:val="0"/>
                    <w:spacing w:before="0" w:beforeAutospacing="0" w:after="0" w:afterAutospacing="0"/>
                    <w:ind w:left="0" w:right="0"/>
                    <w:rPr>
                      <w:rFonts w:hint="default"/>
                    </w:rPr>
                  </w:pPr>
                  <w:r>
                    <w:rPr>
                      <w:rFonts w:hint="default"/>
                    </w:rPr>
                    <w:t>空间布局约束</w:t>
                  </w:r>
                </w:p>
              </w:tc>
              <w:tc>
                <w:tcPr>
                  <w:tcW w:w="1995" w:type="pct"/>
                  <w:tcBorders>
                    <w:tl2br w:val="nil"/>
                    <w:tr2bl w:val="nil"/>
                  </w:tcBorders>
                  <w:vAlign w:val="center"/>
                </w:tcPr>
                <w:p w14:paraId="43B73379">
                  <w:pPr>
                    <w:pStyle w:val="8"/>
                    <w:keepNext w:val="0"/>
                    <w:keepLines w:val="0"/>
                    <w:suppressLineNumbers w:val="0"/>
                    <w:bidi w:val="0"/>
                    <w:spacing w:before="0" w:beforeAutospacing="0" w:after="0" w:afterAutospacing="0"/>
                    <w:ind w:left="0" w:right="0"/>
                    <w:rPr>
                      <w:rFonts w:hint="default"/>
                    </w:rPr>
                  </w:pPr>
                  <w:r>
                    <w:rPr>
                      <w:rFonts w:hint="eastAsia"/>
                      <w:lang w:val="en-US" w:eastAsia="zh-CN"/>
                    </w:rPr>
                    <w:t>禁止新建、扩建《产业结构调整指导目录（</w:t>
                  </w:r>
                  <w:r>
                    <w:rPr>
                      <w:rFonts w:hint="default"/>
                      <w:lang w:val="en-US" w:eastAsia="zh-CN"/>
                    </w:rPr>
                    <w:t xml:space="preserve">2024 </w:t>
                  </w:r>
                  <w:r>
                    <w:rPr>
                      <w:rFonts w:hint="eastAsia"/>
                      <w:lang w:val="en-US" w:eastAsia="zh-CN"/>
                    </w:rPr>
                    <w:t>年本）》中淘汰类项目。禁止引入《市场 准入负面清单（</w:t>
                  </w:r>
                  <w:r>
                    <w:rPr>
                      <w:rFonts w:hint="default"/>
                      <w:lang w:val="en-US" w:eastAsia="zh-CN"/>
                    </w:rPr>
                    <w:t xml:space="preserve">2022 </w:t>
                  </w:r>
                  <w:r>
                    <w:rPr>
                      <w:rFonts w:hint="eastAsia"/>
                      <w:lang w:val="en-US" w:eastAsia="zh-CN"/>
                    </w:rPr>
                    <w:t>年版）》禁止准入类事项。</w:t>
                  </w:r>
                </w:p>
                <w:p w14:paraId="5C2D8518">
                  <w:pPr>
                    <w:pStyle w:val="8"/>
                    <w:keepNext w:val="0"/>
                    <w:keepLines w:val="0"/>
                    <w:suppressLineNumbers w:val="0"/>
                    <w:bidi w:val="0"/>
                    <w:spacing w:before="0" w:beforeAutospacing="0" w:after="0" w:afterAutospacing="0"/>
                    <w:ind w:left="0" w:right="0"/>
                    <w:rPr>
                      <w:rFonts w:hint="default"/>
                      <w:lang w:val="en-US" w:eastAsia="zh-CN"/>
                    </w:rPr>
                  </w:pPr>
                </w:p>
              </w:tc>
              <w:tc>
                <w:tcPr>
                  <w:tcW w:w="1918" w:type="pct"/>
                  <w:tcBorders>
                    <w:tl2br w:val="nil"/>
                    <w:tr2bl w:val="nil"/>
                  </w:tcBorders>
                  <w:vAlign w:val="center"/>
                </w:tcPr>
                <w:p w14:paraId="2355EB16">
                  <w:pPr>
                    <w:pStyle w:val="8"/>
                    <w:keepNext w:val="0"/>
                    <w:keepLines w:val="0"/>
                    <w:suppressLineNumbers w:val="0"/>
                    <w:bidi w:val="0"/>
                    <w:spacing w:before="0" w:beforeAutospacing="0" w:after="0" w:afterAutospacing="0"/>
                    <w:ind w:left="0" w:right="0"/>
                    <w:rPr>
                      <w:rFonts w:hint="eastAsia"/>
                      <w:lang w:val="en-US" w:eastAsia="zh-CN"/>
                    </w:rPr>
                  </w:pPr>
                  <w:r>
                    <w:rPr>
                      <w:rFonts w:hint="default"/>
                    </w:rPr>
                    <w:t>本项目不属于</w:t>
                  </w:r>
                  <w:r>
                    <w:rPr>
                      <w:rFonts w:hint="default"/>
                      <w:lang w:val="en-US" w:eastAsia="zh-CN"/>
                    </w:rPr>
                    <w:t>《产业结构调整指导目录（</w:t>
                  </w:r>
                  <w:r>
                    <w:rPr>
                      <w:rFonts w:hint="eastAsia"/>
                      <w:lang w:val="en-US" w:eastAsia="zh-CN"/>
                    </w:rPr>
                    <w:t>2024</w:t>
                  </w:r>
                  <w:r>
                    <w:rPr>
                      <w:rFonts w:hint="default"/>
                      <w:lang w:val="en-US" w:eastAsia="zh-CN"/>
                    </w:rPr>
                    <w:t>年</w:t>
                  </w:r>
                  <w:r>
                    <w:rPr>
                      <w:rFonts w:hint="eastAsia"/>
                      <w:lang w:val="en-US" w:eastAsia="zh-CN"/>
                    </w:rPr>
                    <w:t>本</w:t>
                  </w:r>
                  <w:r>
                    <w:rPr>
                      <w:rFonts w:hint="default"/>
                      <w:lang w:val="en-US" w:eastAsia="zh-CN"/>
                    </w:rPr>
                    <w:t>）》限制类或淘汰类项目</w:t>
                  </w:r>
                  <w:r>
                    <w:rPr>
                      <w:rFonts w:hint="default"/>
                    </w:rPr>
                    <w:t>，属于允许类项目</w:t>
                  </w:r>
                  <w:r>
                    <w:rPr>
                      <w:rFonts w:hint="eastAsia"/>
                      <w:lang w:eastAsia="zh-CN"/>
                    </w:rPr>
                    <w:t>；不属于</w:t>
                  </w:r>
                  <w:r>
                    <w:rPr>
                      <w:rFonts w:hint="default"/>
                    </w:rPr>
                    <w:t>禁止引入《市场准入负面清单（20</w:t>
                  </w:r>
                  <w:r>
                    <w:rPr>
                      <w:rFonts w:hint="eastAsia"/>
                      <w:lang w:val="en-US" w:eastAsia="zh-CN"/>
                    </w:rPr>
                    <w:t>25</w:t>
                  </w:r>
                  <w:r>
                    <w:rPr>
                      <w:rFonts w:hint="default"/>
                    </w:rPr>
                    <w:t>年版）》禁止准入类事项</w:t>
                  </w:r>
                  <w:r>
                    <w:rPr>
                      <w:rFonts w:hint="eastAsia"/>
                      <w:lang w:eastAsia="zh-CN"/>
                    </w:rPr>
                    <w:t>；不属于“三高”项目。</w:t>
                  </w:r>
                </w:p>
              </w:tc>
              <w:tc>
                <w:tcPr>
                  <w:tcW w:w="509" w:type="pct"/>
                  <w:tcBorders>
                    <w:tl2br w:val="nil"/>
                    <w:tr2bl w:val="nil"/>
                  </w:tcBorders>
                  <w:vAlign w:val="center"/>
                </w:tcPr>
                <w:p w14:paraId="761B7068">
                  <w:pPr>
                    <w:pStyle w:val="8"/>
                    <w:keepNext w:val="0"/>
                    <w:keepLines w:val="0"/>
                    <w:suppressLineNumbers w:val="0"/>
                    <w:bidi w:val="0"/>
                    <w:spacing w:before="0" w:beforeAutospacing="0" w:after="0" w:afterAutospacing="0"/>
                    <w:ind w:left="0" w:right="0"/>
                    <w:rPr>
                      <w:rFonts w:hint="default"/>
                    </w:rPr>
                  </w:pPr>
                  <w:r>
                    <w:rPr>
                      <w:rFonts w:hint="eastAsia"/>
                      <w:lang w:eastAsia="zh-CN"/>
                    </w:rPr>
                    <w:t>符合</w:t>
                  </w:r>
                </w:p>
              </w:tc>
            </w:tr>
            <w:tr w14:paraId="7A6BA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8" w:type="pct"/>
                  <w:vMerge w:val="continue"/>
                  <w:tcBorders>
                    <w:tl2br w:val="nil"/>
                    <w:tr2bl w:val="nil"/>
                  </w:tcBorders>
                  <w:vAlign w:val="center"/>
                </w:tcPr>
                <w:p w14:paraId="776345F5">
                  <w:pPr>
                    <w:pStyle w:val="8"/>
                    <w:keepNext w:val="0"/>
                    <w:keepLines w:val="0"/>
                    <w:suppressLineNumbers w:val="0"/>
                    <w:bidi w:val="0"/>
                    <w:spacing w:before="0" w:beforeAutospacing="0" w:after="0" w:afterAutospacing="0"/>
                    <w:ind w:left="0" w:right="0"/>
                    <w:rPr>
                      <w:rFonts w:hint="default"/>
                    </w:rPr>
                  </w:pPr>
                </w:p>
              </w:tc>
              <w:tc>
                <w:tcPr>
                  <w:tcW w:w="287" w:type="pct"/>
                  <w:tcBorders>
                    <w:tl2br w:val="nil"/>
                    <w:tr2bl w:val="nil"/>
                  </w:tcBorders>
                  <w:vAlign w:val="center"/>
                </w:tcPr>
                <w:p w14:paraId="3980FA68">
                  <w:pPr>
                    <w:pStyle w:val="8"/>
                    <w:keepNext w:val="0"/>
                    <w:keepLines w:val="0"/>
                    <w:suppressLineNumbers w:val="0"/>
                    <w:bidi w:val="0"/>
                    <w:spacing w:before="0" w:beforeAutospacing="0" w:after="0" w:afterAutospacing="0"/>
                    <w:ind w:left="0" w:right="0"/>
                    <w:rPr>
                      <w:rFonts w:hint="default"/>
                    </w:rPr>
                  </w:pPr>
                  <w:r>
                    <w:rPr>
                      <w:rFonts w:hint="default"/>
                    </w:rPr>
                    <w:t>污染物排放管控</w:t>
                  </w:r>
                </w:p>
              </w:tc>
              <w:tc>
                <w:tcPr>
                  <w:tcW w:w="1995" w:type="pct"/>
                  <w:tcBorders>
                    <w:tl2br w:val="nil"/>
                    <w:tr2bl w:val="nil"/>
                  </w:tcBorders>
                  <w:vAlign w:val="center"/>
                </w:tcPr>
                <w:p w14:paraId="0E81033E">
                  <w:pPr>
                    <w:pStyle w:val="8"/>
                    <w:keepNext w:val="0"/>
                    <w:keepLines w:val="0"/>
                    <w:suppressLineNumbers w:val="0"/>
                    <w:bidi w:val="0"/>
                    <w:spacing w:before="0" w:beforeAutospacing="0" w:after="0" w:afterAutospacing="0"/>
                    <w:ind w:left="0" w:right="0"/>
                    <w:rPr>
                      <w:rFonts w:hint="default"/>
                    </w:rPr>
                  </w:pPr>
                  <w:r>
                    <w:rPr>
                      <w:rFonts w:hint="default"/>
                      <w:lang w:val="en-US" w:eastAsia="zh-CN"/>
                    </w:rPr>
                    <w:t>1.</w:t>
                  </w:r>
                  <w:r>
                    <w:rPr>
                      <w:rFonts w:hint="eastAsia"/>
                      <w:lang w:val="en-US" w:eastAsia="zh-CN"/>
                    </w:rPr>
                    <w:t xml:space="preserve">严禁园区内企业将未经处理的废水直接排入博斯腾湖风景名胜区内。 </w:t>
                  </w:r>
                </w:p>
                <w:p w14:paraId="295EFB04">
                  <w:pPr>
                    <w:pStyle w:val="8"/>
                    <w:keepNext w:val="0"/>
                    <w:keepLines w:val="0"/>
                    <w:suppressLineNumbers w:val="0"/>
                    <w:bidi w:val="0"/>
                    <w:spacing w:before="0" w:beforeAutospacing="0" w:after="0" w:afterAutospacing="0"/>
                    <w:ind w:left="0" w:right="0"/>
                    <w:rPr>
                      <w:rFonts w:hint="default"/>
                    </w:rPr>
                  </w:pPr>
                  <w:r>
                    <w:rPr>
                      <w:rFonts w:hint="default"/>
                      <w:lang w:val="en-US" w:eastAsia="zh-CN"/>
                    </w:rPr>
                    <w:t>2.</w:t>
                  </w:r>
                  <w:r>
                    <w:rPr>
                      <w:rFonts w:hint="eastAsia"/>
                      <w:lang w:val="en-US" w:eastAsia="zh-CN"/>
                    </w:rPr>
                    <w:t>严格实施污染物总量控制和排污许可证制度，力求区域内空气环境和水环境按功能实现达标。主要污染物排放实现稳定达标；化学需氧量、二氧化硫等主要污染物的排放总量满足自治州总量控制计划的要求，严格实施主要污染物排放总量控制，不断巩固和扩大污染治理成果，加大对企业的污染治理工作，实现企业污染物减排的目标。加强环境监管工作，严格执行建设项目环境保护</w:t>
                  </w:r>
                  <w:r>
                    <w:rPr>
                      <w:rFonts w:hint="default"/>
                      <w:lang w:val="en-US" w:eastAsia="zh-CN"/>
                    </w:rPr>
                    <w:t>“</w:t>
                  </w:r>
                  <w:r>
                    <w:rPr>
                      <w:rFonts w:hint="eastAsia"/>
                      <w:lang w:val="en-US" w:eastAsia="zh-CN"/>
                    </w:rPr>
                    <w:t>三同时</w:t>
                  </w:r>
                  <w:r>
                    <w:rPr>
                      <w:rFonts w:hint="default"/>
                      <w:lang w:val="en-US" w:eastAsia="zh-CN"/>
                    </w:rPr>
                    <w:t>”</w:t>
                  </w:r>
                  <w:r>
                    <w:rPr>
                      <w:rFonts w:hint="eastAsia"/>
                      <w:lang w:val="en-US" w:eastAsia="zh-CN"/>
                    </w:rPr>
                    <w:t xml:space="preserve">制度，所有新建项目必须实现污染物达标排放才能允许生产， 从源头上控制污染物的排放。 </w:t>
                  </w:r>
                </w:p>
                <w:p w14:paraId="30E79496">
                  <w:pPr>
                    <w:pStyle w:val="8"/>
                    <w:keepNext w:val="0"/>
                    <w:keepLines w:val="0"/>
                    <w:suppressLineNumbers w:val="0"/>
                    <w:bidi w:val="0"/>
                    <w:spacing w:before="0" w:beforeAutospacing="0" w:after="0" w:afterAutospacing="0"/>
                    <w:ind w:left="0" w:right="0"/>
                    <w:rPr>
                      <w:rFonts w:hint="default"/>
                    </w:rPr>
                  </w:pPr>
                  <w:r>
                    <w:rPr>
                      <w:rFonts w:hint="default"/>
                      <w:lang w:val="en-US" w:eastAsia="zh-CN"/>
                    </w:rPr>
                    <w:t>3.</w:t>
                  </w:r>
                  <w:r>
                    <w:rPr>
                      <w:rFonts w:hint="eastAsia"/>
                      <w:lang w:val="en-US" w:eastAsia="zh-CN"/>
                    </w:rPr>
                    <w:t>污水处理厂出水处理达到国家相关污水处理排放标准。</w:t>
                  </w:r>
                </w:p>
                <w:p w14:paraId="3986AF10">
                  <w:pPr>
                    <w:pStyle w:val="8"/>
                    <w:keepNext w:val="0"/>
                    <w:keepLines w:val="0"/>
                    <w:suppressLineNumbers w:val="0"/>
                    <w:bidi w:val="0"/>
                    <w:spacing w:before="0" w:beforeAutospacing="0" w:after="0" w:afterAutospacing="0"/>
                    <w:ind w:left="0" w:right="0"/>
                    <w:rPr>
                      <w:rFonts w:hint="default"/>
                    </w:rPr>
                  </w:pPr>
                </w:p>
                <w:p w14:paraId="62611521">
                  <w:pPr>
                    <w:pStyle w:val="8"/>
                    <w:keepNext w:val="0"/>
                    <w:keepLines w:val="0"/>
                    <w:suppressLineNumbers w:val="0"/>
                    <w:bidi w:val="0"/>
                    <w:spacing w:before="0" w:beforeAutospacing="0" w:after="0" w:afterAutospacing="0"/>
                    <w:ind w:left="0" w:right="0"/>
                    <w:rPr>
                      <w:rFonts w:hint="default"/>
                      <w:lang w:val="en-US" w:eastAsia="zh-CN"/>
                    </w:rPr>
                  </w:pPr>
                </w:p>
              </w:tc>
              <w:tc>
                <w:tcPr>
                  <w:tcW w:w="1918" w:type="pct"/>
                  <w:tcBorders>
                    <w:tl2br w:val="nil"/>
                    <w:tr2bl w:val="nil"/>
                  </w:tcBorders>
                  <w:vAlign w:val="center"/>
                </w:tcPr>
                <w:p w14:paraId="4674A168">
                  <w:pPr>
                    <w:pStyle w:val="8"/>
                    <w:keepNext w:val="0"/>
                    <w:keepLines w:val="0"/>
                    <w:suppressLineNumbers w:val="0"/>
                    <w:bidi w:val="0"/>
                    <w:spacing w:before="0" w:beforeAutospacing="0" w:after="0" w:afterAutospacing="0"/>
                    <w:ind w:left="0" w:right="0"/>
                    <w:rPr>
                      <w:rFonts w:hint="default"/>
                    </w:rPr>
                  </w:pPr>
                  <w:r>
                    <w:rPr>
                      <w:rFonts w:hint="default"/>
                    </w:rPr>
                    <w:t>1.本项目</w:t>
                  </w:r>
                  <w:r>
                    <w:rPr>
                      <w:rFonts w:hint="eastAsia"/>
                      <w:lang w:val="en-US" w:eastAsia="zh-CN"/>
                    </w:rPr>
                    <w:t>无工业废水排放</w:t>
                  </w:r>
                  <w:r>
                    <w:rPr>
                      <w:rFonts w:hint="default"/>
                    </w:rPr>
                    <w:t>。</w:t>
                  </w:r>
                </w:p>
                <w:p w14:paraId="37F5E2F1">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w:t>
                  </w:r>
                  <w:r>
                    <w:rPr>
                      <w:rFonts w:hint="eastAsia"/>
                      <w:lang w:val="en-US" w:eastAsia="zh-CN"/>
                    </w:rPr>
                    <w:t>本项目严格控制大气污染物排放</w:t>
                  </w:r>
                  <w:r>
                    <w:rPr>
                      <w:rFonts w:hint="default"/>
                      <w:lang w:val="en-US" w:eastAsia="zh-CN"/>
                    </w:rPr>
                    <w:t>。</w:t>
                  </w:r>
                </w:p>
                <w:p w14:paraId="01E27032">
                  <w:pPr>
                    <w:pStyle w:val="8"/>
                    <w:keepNext w:val="0"/>
                    <w:keepLines w:val="0"/>
                    <w:suppressLineNumbers w:val="0"/>
                    <w:bidi w:val="0"/>
                    <w:spacing w:before="0" w:beforeAutospacing="0" w:after="0" w:afterAutospacing="0"/>
                    <w:ind w:left="0" w:right="0"/>
                    <w:rPr>
                      <w:rFonts w:hint="default"/>
                      <w:lang w:val="en-US" w:eastAsia="zh-CN"/>
                    </w:rPr>
                  </w:pPr>
                  <w:r>
                    <w:rPr>
                      <w:rFonts w:hint="default"/>
                    </w:rPr>
                    <w:t>3.</w:t>
                  </w:r>
                  <w:r>
                    <w:rPr>
                      <w:rFonts w:hint="eastAsia"/>
                      <w:lang w:eastAsia="zh-CN"/>
                    </w:rPr>
                    <w:t>废水不外排</w:t>
                  </w:r>
                  <w:r>
                    <w:rPr>
                      <w:rFonts w:hint="default"/>
                    </w:rPr>
                    <w:t>。</w:t>
                  </w:r>
                </w:p>
              </w:tc>
              <w:tc>
                <w:tcPr>
                  <w:tcW w:w="509" w:type="pct"/>
                  <w:tcBorders>
                    <w:tl2br w:val="nil"/>
                    <w:tr2bl w:val="nil"/>
                  </w:tcBorders>
                  <w:vAlign w:val="center"/>
                </w:tcPr>
                <w:p w14:paraId="2E7CCB2F">
                  <w:pPr>
                    <w:pStyle w:val="8"/>
                    <w:keepNext w:val="0"/>
                    <w:keepLines w:val="0"/>
                    <w:suppressLineNumbers w:val="0"/>
                    <w:bidi w:val="0"/>
                    <w:spacing w:before="0" w:beforeAutospacing="0" w:after="0" w:afterAutospacing="0"/>
                    <w:ind w:left="0" w:right="0"/>
                    <w:rPr>
                      <w:rFonts w:hint="default"/>
                    </w:rPr>
                  </w:pPr>
                  <w:r>
                    <w:rPr>
                      <w:rFonts w:hint="eastAsia"/>
                      <w:lang w:eastAsia="zh-CN"/>
                    </w:rPr>
                    <w:t>符合</w:t>
                  </w:r>
                </w:p>
              </w:tc>
            </w:tr>
            <w:tr w14:paraId="2D1A1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8" w:type="pct"/>
                  <w:vMerge w:val="continue"/>
                  <w:tcBorders>
                    <w:tl2br w:val="nil"/>
                    <w:tr2bl w:val="nil"/>
                  </w:tcBorders>
                  <w:vAlign w:val="center"/>
                </w:tcPr>
                <w:p w14:paraId="51543B39">
                  <w:pPr>
                    <w:pStyle w:val="8"/>
                    <w:keepNext w:val="0"/>
                    <w:keepLines w:val="0"/>
                    <w:suppressLineNumbers w:val="0"/>
                    <w:bidi w:val="0"/>
                    <w:spacing w:before="0" w:beforeAutospacing="0" w:after="0" w:afterAutospacing="0"/>
                    <w:ind w:left="0" w:right="0"/>
                    <w:rPr>
                      <w:rFonts w:hint="default"/>
                    </w:rPr>
                  </w:pPr>
                </w:p>
              </w:tc>
              <w:tc>
                <w:tcPr>
                  <w:tcW w:w="287" w:type="pct"/>
                  <w:tcBorders>
                    <w:tl2br w:val="nil"/>
                    <w:tr2bl w:val="nil"/>
                  </w:tcBorders>
                  <w:vAlign w:val="center"/>
                </w:tcPr>
                <w:p w14:paraId="0EFAD2A1">
                  <w:pPr>
                    <w:pStyle w:val="8"/>
                    <w:keepNext w:val="0"/>
                    <w:keepLines w:val="0"/>
                    <w:suppressLineNumbers w:val="0"/>
                    <w:bidi w:val="0"/>
                    <w:spacing w:before="0" w:beforeAutospacing="0" w:after="0" w:afterAutospacing="0"/>
                    <w:ind w:left="0" w:right="0"/>
                    <w:rPr>
                      <w:rFonts w:hint="default"/>
                    </w:rPr>
                  </w:pPr>
                  <w:r>
                    <w:rPr>
                      <w:rFonts w:hint="default"/>
                    </w:rPr>
                    <w:t>环境风险防控</w:t>
                  </w:r>
                </w:p>
              </w:tc>
              <w:tc>
                <w:tcPr>
                  <w:tcW w:w="1995" w:type="pct"/>
                  <w:tcBorders>
                    <w:tl2br w:val="nil"/>
                    <w:tr2bl w:val="nil"/>
                  </w:tcBorders>
                  <w:vAlign w:val="center"/>
                </w:tcPr>
                <w:p w14:paraId="6A949A3D">
                  <w:pPr>
                    <w:pStyle w:val="8"/>
                    <w:keepNext w:val="0"/>
                    <w:keepLines w:val="0"/>
                    <w:suppressLineNumbers w:val="0"/>
                    <w:bidi w:val="0"/>
                    <w:spacing w:before="0" w:beforeAutospacing="0" w:after="0" w:afterAutospacing="0"/>
                    <w:ind w:left="0" w:right="0"/>
                    <w:rPr>
                      <w:rFonts w:hint="default"/>
                    </w:rPr>
                  </w:pPr>
                  <w:r>
                    <w:rPr>
                      <w:rFonts w:hint="default"/>
                      <w:lang w:val="en-US" w:eastAsia="zh-CN"/>
                    </w:rPr>
                    <w:t>1.</w:t>
                  </w:r>
                  <w:r>
                    <w:rPr>
                      <w:rFonts w:hint="eastAsia"/>
                      <w:lang w:val="en-US" w:eastAsia="zh-CN"/>
                    </w:rPr>
                    <w:t xml:space="preserve">严格执行项目安全和卫生防护距离要求，项目卫生防护距离内不得规划、建设居民区、学 校、医院等环境敏感目标，对于已存在的环境敏感目标要采取合理措施加以保护。 </w:t>
                  </w:r>
                </w:p>
                <w:p w14:paraId="7DD9F0F3">
                  <w:pPr>
                    <w:pStyle w:val="8"/>
                    <w:keepNext w:val="0"/>
                    <w:keepLines w:val="0"/>
                    <w:suppressLineNumbers w:val="0"/>
                    <w:bidi w:val="0"/>
                    <w:spacing w:before="0" w:beforeAutospacing="0" w:after="0" w:afterAutospacing="0"/>
                    <w:ind w:left="0" w:right="0"/>
                    <w:rPr>
                      <w:rFonts w:hint="default"/>
                    </w:rPr>
                  </w:pPr>
                  <w:r>
                    <w:rPr>
                      <w:rFonts w:hint="default"/>
                      <w:lang w:val="en-US" w:eastAsia="zh-CN"/>
                    </w:rPr>
                    <w:t>2.</w:t>
                  </w:r>
                  <w:r>
                    <w:rPr>
                      <w:rFonts w:hint="eastAsia"/>
                      <w:lang w:val="en-US" w:eastAsia="zh-CN"/>
                    </w:rPr>
                    <w:t xml:space="preserve">严格环境风险控制。防范环境风险，定期评估工业集聚区环境和健康风险，加强预案管理， 落实防控措施，排除水污染隐患。 </w:t>
                  </w:r>
                </w:p>
                <w:p w14:paraId="08D0ED1E">
                  <w:pPr>
                    <w:pStyle w:val="8"/>
                    <w:keepNext w:val="0"/>
                    <w:keepLines w:val="0"/>
                    <w:suppressLineNumbers w:val="0"/>
                    <w:bidi w:val="0"/>
                    <w:spacing w:before="0" w:beforeAutospacing="0" w:after="0" w:afterAutospacing="0"/>
                    <w:ind w:left="0" w:right="0"/>
                    <w:rPr>
                      <w:rFonts w:hint="default"/>
                    </w:rPr>
                  </w:pPr>
                  <w:r>
                    <w:rPr>
                      <w:rFonts w:hint="default"/>
                      <w:lang w:val="en-US" w:eastAsia="zh-CN"/>
                    </w:rPr>
                    <w:t>3.</w:t>
                  </w:r>
                  <w:r>
                    <w:rPr>
                      <w:rFonts w:hint="eastAsia"/>
                      <w:lang w:val="en-US" w:eastAsia="zh-CN"/>
                    </w:rPr>
                    <w:t>各企业对生产装置区、污水预处理设施、事故池等采取足够的防渗措施；园区内及上下游布设地下水跟踪观测井，对该区域地下水进行定期常态监测。</w:t>
                  </w:r>
                </w:p>
                <w:p w14:paraId="2C2C3C3E">
                  <w:pPr>
                    <w:pStyle w:val="8"/>
                    <w:keepNext w:val="0"/>
                    <w:keepLines w:val="0"/>
                    <w:suppressLineNumbers w:val="0"/>
                    <w:bidi w:val="0"/>
                    <w:spacing w:before="0" w:beforeAutospacing="0" w:after="0" w:afterAutospacing="0"/>
                    <w:ind w:left="0" w:right="0"/>
                    <w:rPr>
                      <w:rFonts w:hint="default"/>
                      <w:lang w:val="en-US" w:eastAsia="zh-CN"/>
                    </w:rPr>
                  </w:pPr>
                </w:p>
              </w:tc>
              <w:tc>
                <w:tcPr>
                  <w:tcW w:w="1918" w:type="pct"/>
                  <w:tcBorders>
                    <w:tl2br w:val="nil"/>
                    <w:tr2bl w:val="nil"/>
                  </w:tcBorders>
                  <w:vAlign w:val="center"/>
                </w:tcPr>
                <w:p w14:paraId="032F9360">
                  <w:pPr>
                    <w:pStyle w:val="8"/>
                    <w:keepNext w:val="0"/>
                    <w:keepLines w:val="0"/>
                    <w:suppressLineNumbers w:val="0"/>
                    <w:bidi w:val="0"/>
                    <w:spacing w:before="0" w:beforeAutospacing="0" w:after="0" w:afterAutospacing="0"/>
                    <w:ind w:left="0" w:right="0"/>
                    <w:rPr>
                      <w:rFonts w:hint="default"/>
                    </w:rPr>
                  </w:pPr>
                  <w:r>
                    <w:rPr>
                      <w:rFonts w:hint="eastAsia"/>
                    </w:rPr>
                    <w:t>1.项目建设于工业园区，周边以工业企业为主，建设严格遵守安全和卫生防护距离要求。</w:t>
                  </w:r>
                </w:p>
                <w:p w14:paraId="6A8561D4">
                  <w:pPr>
                    <w:pStyle w:val="8"/>
                    <w:keepNext w:val="0"/>
                    <w:keepLines w:val="0"/>
                    <w:suppressLineNumbers w:val="0"/>
                    <w:bidi w:val="0"/>
                    <w:spacing w:before="0" w:beforeAutospacing="0" w:after="0" w:afterAutospacing="0"/>
                    <w:ind w:left="0" w:right="0"/>
                    <w:rPr>
                      <w:rFonts w:hint="default"/>
                    </w:rPr>
                  </w:pPr>
                  <w:r>
                    <w:rPr>
                      <w:rFonts w:hint="eastAsia"/>
                    </w:rPr>
                    <w:t>2.严格项目风险防控措施和要求，制定定期评估企业环境风险制度，制定突发环境事件应急预案，严格落实风险防控措施。</w:t>
                  </w:r>
                </w:p>
                <w:p w14:paraId="2DBB5078">
                  <w:pPr>
                    <w:pStyle w:val="8"/>
                    <w:keepNext w:val="0"/>
                    <w:keepLines w:val="0"/>
                    <w:suppressLineNumbers w:val="0"/>
                    <w:bidi w:val="0"/>
                    <w:spacing w:before="0" w:beforeAutospacing="0" w:after="0" w:afterAutospacing="0"/>
                    <w:ind w:left="0" w:right="0"/>
                    <w:rPr>
                      <w:rFonts w:hint="eastAsia"/>
                      <w:lang w:val="en-US" w:eastAsia="zh-CN"/>
                    </w:rPr>
                  </w:pPr>
                  <w:r>
                    <w:rPr>
                      <w:rFonts w:hint="eastAsia"/>
                    </w:rPr>
                    <w:t>4.</w:t>
                  </w:r>
                  <w:r>
                    <w:rPr>
                      <w:rFonts w:hint="eastAsia"/>
                      <w:lang w:eastAsia="zh-CN"/>
                    </w:rPr>
                    <w:t>储罐区为重点防渗区</w:t>
                  </w:r>
                  <w:r>
                    <w:rPr>
                      <w:rFonts w:hint="eastAsia"/>
                    </w:rPr>
                    <w:t>，做好日常维护管理</w:t>
                  </w:r>
                  <w:r>
                    <w:rPr>
                      <w:rFonts w:hint="eastAsia"/>
                      <w:lang w:eastAsia="zh-CN"/>
                    </w:rPr>
                    <w:t>。</w:t>
                  </w:r>
                </w:p>
              </w:tc>
              <w:tc>
                <w:tcPr>
                  <w:tcW w:w="509" w:type="pct"/>
                  <w:tcBorders>
                    <w:tl2br w:val="nil"/>
                    <w:tr2bl w:val="nil"/>
                  </w:tcBorders>
                  <w:vAlign w:val="center"/>
                </w:tcPr>
                <w:p w14:paraId="66CA0F79">
                  <w:pPr>
                    <w:pStyle w:val="8"/>
                    <w:keepNext w:val="0"/>
                    <w:keepLines w:val="0"/>
                    <w:suppressLineNumbers w:val="0"/>
                    <w:bidi w:val="0"/>
                    <w:spacing w:before="0" w:beforeAutospacing="0" w:after="0" w:afterAutospacing="0"/>
                    <w:ind w:left="0" w:right="0"/>
                    <w:rPr>
                      <w:rFonts w:hint="default"/>
                    </w:rPr>
                  </w:pPr>
                  <w:r>
                    <w:rPr>
                      <w:rFonts w:hint="eastAsia"/>
                      <w:lang w:eastAsia="zh-CN"/>
                    </w:rPr>
                    <w:t>符合</w:t>
                  </w:r>
                </w:p>
              </w:tc>
            </w:tr>
            <w:tr w14:paraId="661247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8" w:type="pct"/>
                  <w:vMerge w:val="continue"/>
                  <w:tcBorders>
                    <w:tl2br w:val="nil"/>
                    <w:tr2bl w:val="nil"/>
                  </w:tcBorders>
                  <w:vAlign w:val="center"/>
                </w:tcPr>
                <w:p w14:paraId="2CEE0C1F">
                  <w:pPr>
                    <w:pStyle w:val="8"/>
                    <w:keepNext w:val="0"/>
                    <w:keepLines w:val="0"/>
                    <w:suppressLineNumbers w:val="0"/>
                    <w:bidi w:val="0"/>
                    <w:spacing w:before="0" w:beforeAutospacing="0" w:after="0" w:afterAutospacing="0"/>
                    <w:ind w:left="0" w:right="0"/>
                    <w:rPr>
                      <w:rFonts w:hint="default"/>
                    </w:rPr>
                  </w:pPr>
                </w:p>
              </w:tc>
              <w:tc>
                <w:tcPr>
                  <w:tcW w:w="287" w:type="pct"/>
                  <w:tcBorders>
                    <w:tl2br w:val="nil"/>
                    <w:tr2bl w:val="nil"/>
                  </w:tcBorders>
                  <w:vAlign w:val="center"/>
                </w:tcPr>
                <w:p w14:paraId="620AA9AB">
                  <w:pPr>
                    <w:pStyle w:val="8"/>
                    <w:keepNext w:val="0"/>
                    <w:keepLines w:val="0"/>
                    <w:suppressLineNumbers w:val="0"/>
                    <w:bidi w:val="0"/>
                    <w:spacing w:before="0" w:beforeAutospacing="0" w:after="0" w:afterAutospacing="0"/>
                    <w:ind w:left="0" w:right="0"/>
                    <w:rPr>
                      <w:rFonts w:hint="eastAsia"/>
                      <w:lang w:eastAsia="zh-CN"/>
                    </w:rPr>
                  </w:pPr>
                  <w:r>
                    <w:rPr>
                      <w:rFonts w:hint="default"/>
                    </w:rPr>
                    <w:t>资源</w:t>
                  </w:r>
                  <w:r>
                    <w:rPr>
                      <w:rFonts w:hint="eastAsia"/>
                      <w:lang w:eastAsia="zh-CN"/>
                    </w:rPr>
                    <w:t>利用效率</w:t>
                  </w:r>
                </w:p>
              </w:tc>
              <w:tc>
                <w:tcPr>
                  <w:tcW w:w="1995" w:type="pct"/>
                  <w:tcBorders>
                    <w:tl2br w:val="nil"/>
                    <w:tr2bl w:val="nil"/>
                  </w:tcBorders>
                  <w:vAlign w:val="center"/>
                </w:tcPr>
                <w:p w14:paraId="30B758BA">
                  <w:pPr>
                    <w:pStyle w:val="8"/>
                    <w:keepNext w:val="0"/>
                    <w:keepLines w:val="0"/>
                    <w:suppressLineNumbers w:val="0"/>
                    <w:bidi w:val="0"/>
                    <w:spacing w:before="0" w:beforeAutospacing="0" w:after="0" w:afterAutospacing="0"/>
                    <w:ind w:left="0" w:right="0"/>
                    <w:rPr>
                      <w:rFonts w:hint="default"/>
                    </w:rPr>
                  </w:pPr>
                  <w:r>
                    <w:rPr>
                      <w:rFonts w:hint="default"/>
                      <w:lang w:val="en-US" w:eastAsia="zh-CN"/>
                    </w:rPr>
                    <w:t>1.</w:t>
                  </w:r>
                  <w:r>
                    <w:rPr>
                      <w:rFonts w:hint="eastAsia"/>
                      <w:lang w:val="en-US" w:eastAsia="zh-CN"/>
                    </w:rPr>
                    <w:t xml:space="preserve">园区工业用水总量达到焉耆县用水总量控制指标要求。 </w:t>
                  </w:r>
                </w:p>
                <w:p w14:paraId="76D9DB70">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w:t>
                  </w:r>
                  <w:r>
                    <w:rPr>
                      <w:rFonts w:hint="eastAsia"/>
                      <w:lang w:val="en-US" w:eastAsia="zh-CN"/>
                    </w:rPr>
                    <w:t>加强园区土地集约、节约利用。</w:t>
                  </w:r>
                </w:p>
              </w:tc>
              <w:tc>
                <w:tcPr>
                  <w:tcW w:w="1918" w:type="pct"/>
                  <w:tcBorders>
                    <w:tl2br w:val="nil"/>
                    <w:tr2bl w:val="nil"/>
                  </w:tcBorders>
                  <w:vAlign w:val="center"/>
                </w:tcPr>
                <w:p w14:paraId="4C6847EE">
                  <w:pPr>
                    <w:pStyle w:val="8"/>
                    <w:keepNext w:val="0"/>
                    <w:keepLines w:val="0"/>
                    <w:suppressLineNumbers w:val="0"/>
                    <w:bidi w:val="0"/>
                    <w:spacing w:before="0" w:beforeAutospacing="0" w:after="0" w:afterAutospacing="0"/>
                    <w:ind w:left="0" w:right="0"/>
                    <w:rPr>
                      <w:rFonts w:hint="eastAsia"/>
                      <w:lang w:eastAsia="zh-CN"/>
                    </w:rPr>
                  </w:pPr>
                  <w:r>
                    <w:rPr>
                      <w:rFonts w:hint="default"/>
                    </w:rPr>
                    <w:t>1.</w:t>
                  </w:r>
                  <w:r>
                    <w:rPr>
                      <w:rFonts w:hint="eastAsia"/>
                      <w:lang w:val="en-US" w:eastAsia="zh-CN"/>
                    </w:rPr>
                    <w:t>本项目用水遵循焉耆县用水总量控制指标要求</w:t>
                  </w:r>
                  <w:r>
                    <w:rPr>
                      <w:rFonts w:hint="eastAsia"/>
                      <w:lang w:eastAsia="zh-CN"/>
                    </w:rPr>
                    <w:t>。</w:t>
                  </w:r>
                </w:p>
                <w:p w14:paraId="6346A93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2.本项目不涉及。</w:t>
                  </w:r>
                </w:p>
              </w:tc>
              <w:tc>
                <w:tcPr>
                  <w:tcW w:w="509" w:type="pct"/>
                  <w:tcBorders>
                    <w:tl2br w:val="nil"/>
                    <w:tr2bl w:val="nil"/>
                  </w:tcBorders>
                  <w:vAlign w:val="center"/>
                </w:tcPr>
                <w:p w14:paraId="5CE5DE88">
                  <w:pPr>
                    <w:pStyle w:val="8"/>
                    <w:keepNext w:val="0"/>
                    <w:keepLines w:val="0"/>
                    <w:suppressLineNumbers w:val="0"/>
                    <w:bidi w:val="0"/>
                    <w:spacing w:before="0" w:beforeAutospacing="0" w:after="0" w:afterAutospacing="0"/>
                    <w:ind w:left="0" w:right="0"/>
                    <w:rPr>
                      <w:rFonts w:hint="default"/>
                    </w:rPr>
                  </w:pPr>
                  <w:r>
                    <w:rPr>
                      <w:rFonts w:hint="eastAsia"/>
                      <w:lang w:eastAsia="zh-CN"/>
                    </w:rPr>
                    <w:t>符合</w:t>
                  </w:r>
                </w:p>
              </w:tc>
            </w:tr>
          </w:tbl>
          <w:p w14:paraId="18D2E7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rPr>
            </w:pPr>
            <w:r>
              <w:rPr>
                <w:rFonts w:hint="eastAsia"/>
                <w:color w:val="auto"/>
              </w:rPr>
              <w:t>综上可知，本项目建设符合《巴音郭楞蒙古自治州生态环境准入清单》中的“空间布局约束、污染物排放管控、环境风险防控、资源开发效率要求”相关要求。</w:t>
            </w:r>
          </w:p>
          <w:p w14:paraId="36432CDF">
            <w:pPr>
              <w:pStyle w:val="4"/>
              <w:numPr>
                <w:ilvl w:val="0"/>
                <w:numId w:val="0"/>
              </w:numPr>
              <w:suppressLineNumbers w:val="0"/>
              <w:bidi w:val="0"/>
              <w:spacing w:before="0" w:beforeAutospacing="0" w:after="0" w:afterAutospacing="0"/>
              <w:ind w:left="0" w:leftChars="0" w:right="0" w:rightChars="0"/>
              <w:rPr>
                <w:rFonts w:hint="eastAsia"/>
                <w:color w:val="auto"/>
                <w:lang w:val="en-US" w:eastAsia="zh-CN"/>
              </w:rPr>
            </w:pPr>
            <w:r>
              <w:rPr>
                <w:rFonts w:hint="eastAsia"/>
                <w:color w:val="auto"/>
                <w:lang w:val="en-US" w:eastAsia="zh-CN"/>
              </w:rPr>
              <w:t>4、与《新疆生态环境保护“十四五”规划》的符合性分析</w:t>
            </w:r>
          </w:p>
          <w:p w14:paraId="29D057D3">
            <w:pPr>
              <w:keepNext w:val="0"/>
              <w:keepLines w:val="0"/>
              <w:suppressLineNumbers w:val="0"/>
              <w:bidi w:val="0"/>
              <w:spacing w:before="0" w:beforeAutospacing="0" w:after="0" w:afterAutospacing="0"/>
              <w:ind w:left="0" w:right="0"/>
              <w:rPr>
                <w:rFonts w:hint="default"/>
                <w:color w:val="auto"/>
                <w:kern w:val="0"/>
                <w:sz w:val="24"/>
              </w:rPr>
            </w:pPr>
            <w:r>
              <w:rPr>
                <w:rFonts w:hint="eastAsia" w:ascii="宋体" w:hAnsi="宋体" w:eastAsia="宋体" w:cs="宋体"/>
                <w:color w:val="auto"/>
                <w:kern w:val="0"/>
                <w:sz w:val="24"/>
              </w:rPr>
              <w:t>《新疆生态环境保护“十四五”规划》</w:t>
            </w:r>
            <w:r>
              <w:rPr>
                <w:rFonts w:hint="eastAsia" w:ascii="宋体" w:hAnsi="宋体" w:eastAsia="宋体" w:cs="宋体"/>
                <w:color w:val="auto"/>
                <w:kern w:val="0"/>
                <w:sz w:val="24"/>
                <w:lang w:eastAsia="zh-CN"/>
              </w:rPr>
              <w:t>提出：“完善绿色发展机制：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聚焦碳达峰、碳中和目标，强化产业结构、能源结构调整等源头管控措施，探索大气污染物和温室气体排放协同控制，推动重点领域、重点行业绿色低碳转型，推行绿色低碳生产、生活方式，统筹协调推进经济和社会发展各领域深入开展应对气候变化工作，切实增强控制温室气体排放能力”、“以改善大气环境质量为核心，坚持源头防治、综合施策，持续推进大气污染防治攻坚行动，严格落实大气污染物排放总量控制制度，推进重点领域多污染物协同治理，统筹分区控制与区域协同控制，强化科学施策、精准治污</w:t>
            </w:r>
            <w:r>
              <w:rPr>
                <w:rFonts w:hint="default"/>
                <w:color w:val="auto"/>
                <w:kern w:val="0"/>
                <w:sz w:val="24"/>
                <w:lang w:eastAsia="zh-CN"/>
              </w:rPr>
              <w:t>，进一步降低PM</w:t>
            </w:r>
            <w:r>
              <w:rPr>
                <w:rFonts w:hint="default"/>
                <w:color w:val="auto"/>
                <w:kern w:val="0"/>
                <w:sz w:val="24"/>
                <w:vertAlign w:val="subscript"/>
                <w:lang w:eastAsia="zh-CN"/>
              </w:rPr>
              <w:t>2.5</w:t>
            </w:r>
            <w:r>
              <w:rPr>
                <w:rFonts w:hint="default"/>
                <w:color w:val="auto"/>
                <w:kern w:val="0"/>
                <w:sz w:val="24"/>
                <w:lang w:eastAsia="zh-CN"/>
              </w:rPr>
              <w:t>浓度，提升优良天数比例，减少重污染天气</w:t>
            </w:r>
            <w:r>
              <w:rPr>
                <w:rFonts w:hint="eastAsia" w:ascii="宋体" w:hAnsi="宋体" w:eastAsia="宋体" w:cs="宋体"/>
                <w:color w:val="auto"/>
                <w:kern w:val="0"/>
                <w:sz w:val="24"/>
                <w:lang w:eastAsia="zh-CN"/>
              </w:rPr>
              <w:t>”</w:t>
            </w:r>
            <w:r>
              <w:rPr>
                <w:rFonts w:hint="default"/>
                <w:color w:val="auto"/>
                <w:kern w:val="0"/>
                <w:sz w:val="24"/>
                <w:lang w:eastAsia="zh-CN"/>
              </w:rPr>
              <w:t>。</w:t>
            </w:r>
          </w:p>
          <w:p w14:paraId="00795533">
            <w:pPr>
              <w:pStyle w:val="10"/>
              <w:keepNext w:val="0"/>
              <w:keepLines w:val="0"/>
              <w:suppressLineNumbers w:val="0"/>
              <w:spacing w:before="0" w:beforeAutospacing="0" w:after="0" w:afterAutospacing="0"/>
              <w:ind w:left="0" w:right="0"/>
              <w:rPr>
                <w:rFonts w:hint="default"/>
                <w:lang w:val="en-US" w:eastAsia="zh-CN"/>
              </w:rPr>
            </w:pPr>
            <w:r>
              <w:rPr>
                <w:rFonts w:hint="eastAsia"/>
                <w:lang w:eastAsia="zh-CN"/>
              </w:rPr>
              <w:t>本项目符合性：本项目符合</w:t>
            </w:r>
            <w:r>
              <w:rPr>
                <w:rFonts w:hint="eastAsia"/>
                <w:color w:val="auto"/>
              </w:rPr>
              <w:t>《巴音郭楞蒙古自治州生态环境准入清单》</w:t>
            </w:r>
            <w:r>
              <w:rPr>
                <w:rFonts w:hint="eastAsia"/>
                <w:lang w:val="en-US" w:eastAsia="zh-CN"/>
              </w:rPr>
              <w:t>中相关要求，运营期间原料、辣椒粕均位于封闭仓库内，有效降低粉尘排放；运营期颗粒物、非甲烷总烃</w:t>
            </w:r>
            <w:r>
              <w:rPr>
                <w:rFonts w:hint="eastAsia"/>
                <w:lang w:eastAsia="zh-CN"/>
              </w:rPr>
              <w:t>排放浓度</w:t>
            </w:r>
            <w:r>
              <w:rPr>
                <w:rFonts w:hint="eastAsia"/>
                <w:lang w:val="en-US" w:eastAsia="zh-CN"/>
              </w:rPr>
              <w:t>满足</w:t>
            </w:r>
            <w:r>
              <w:rPr>
                <w:rFonts w:hint="default"/>
                <w:lang w:val="en-US" w:eastAsia="zh-CN"/>
              </w:rPr>
              <w:t>《大气污染物综合排放标准》</w:t>
            </w:r>
            <w:r>
              <w:rPr>
                <w:rFonts w:hint="eastAsia"/>
                <w:lang w:val="en-US" w:eastAsia="zh-CN"/>
              </w:rPr>
              <w:t>（</w:t>
            </w:r>
            <w:r>
              <w:rPr>
                <w:rFonts w:hint="default"/>
                <w:lang w:val="en-US" w:eastAsia="zh-CN"/>
              </w:rPr>
              <w:t>GB16297- 1996</w:t>
            </w:r>
            <w:r>
              <w:rPr>
                <w:rFonts w:hint="eastAsia"/>
                <w:lang w:val="en-US" w:eastAsia="zh-CN"/>
              </w:rPr>
              <w:t>）</w:t>
            </w:r>
            <w:r>
              <w:rPr>
                <w:rFonts w:hint="default"/>
                <w:lang w:val="en-US" w:eastAsia="zh-CN"/>
              </w:rPr>
              <w:t>表2中</w:t>
            </w:r>
            <w:r>
              <w:rPr>
                <w:rFonts w:hint="eastAsia"/>
                <w:lang w:val="en-US" w:eastAsia="zh-CN"/>
              </w:rPr>
              <w:t>限值要求；车间外</w:t>
            </w:r>
            <w:r>
              <w:rPr>
                <w:rFonts w:hint="default"/>
                <w:lang w:val="en-US" w:eastAsia="zh-CN"/>
              </w:rPr>
              <w:t>非甲烷总烃排放浓度</w:t>
            </w:r>
            <w:r>
              <w:rPr>
                <w:rFonts w:hint="eastAsia"/>
                <w:lang w:val="en-US" w:eastAsia="zh-CN"/>
              </w:rPr>
              <w:t>满足</w:t>
            </w:r>
            <w:r>
              <w:rPr>
                <w:rFonts w:hint="default"/>
                <w:lang w:val="en-US" w:eastAsia="zh-CN"/>
              </w:rPr>
              <w:t>《挥发性有机物无组织排放控制标准》</w:t>
            </w:r>
            <w:r>
              <w:rPr>
                <w:rFonts w:hint="eastAsia"/>
                <w:lang w:val="en-US" w:eastAsia="zh-CN"/>
              </w:rPr>
              <w:t>（</w:t>
            </w:r>
            <w:r>
              <w:rPr>
                <w:rFonts w:hint="default"/>
                <w:lang w:val="en-US" w:eastAsia="zh-CN"/>
              </w:rPr>
              <w:t>GB 37822-2019</w:t>
            </w:r>
            <w:r>
              <w:rPr>
                <w:rFonts w:hint="eastAsia"/>
                <w:lang w:val="en-US" w:eastAsia="zh-CN"/>
              </w:rPr>
              <w:t>）</w:t>
            </w:r>
            <w:r>
              <w:rPr>
                <w:rFonts w:hint="default"/>
                <w:lang w:val="en-US" w:eastAsia="zh-CN"/>
              </w:rPr>
              <w:t>中表A. 1厂区内VOCs无组织排放限值中特别排放限值</w:t>
            </w:r>
            <w:r>
              <w:rPr>
                <w:rFonts w:hint="eastAsia"/>
                <w:lang w:val="en-US" w:eastAsia="zh-CN"/>
              </w:rPr>
              <w:t>要求；本项目蒸汽冷凝工序产生少量废水，可回用于循环冷却工序，无生产废水外排，提高了水资源利用效率。综上所述：本项目符合《新疆生态环境保护“十四五”规划》相关要求。</w:t>
            </w:r>
          </w:p>
          <w:p w14:paraId="23D40407">
            <w:pPr>
              <w:pStyle w:val="4"/>
              <w:numPr>
                <w:ilvl w:val="0"/>
                <w:numId w:val="0"/>
              </w:numPr>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5、与《巴音郭楞蒙古自治州生态环境“十四五”规划》的符合性分析</w:t>
            </w:r>
          </w:p>
          <w:p w14:paraId="386FAD74">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加强重点行业VOCs协同控制。深入实施《自治州重点行业挥发性有机物综合治理方案》，切实推进重点行业VOCs污染治理。重点推进石化、化工、包装印刷、工业涂装等重点行业以及机动车、油品储运销等交通源VOCs污染防治，加强芳香烃、烯烃、炔烃、醛类等活性强的VOCs排放控制，持续削减重点企业VOCs排放量。建立健全以改善环境空气质量为核心的VOCs污染防治管理体系，加强石化、煤化工、表面处理、印刷、油气储罐等重点排放行业的精细化管控，持续实施LARD治理。强化新增污染物排放控制，推进VOCs与NOx等的协同减排，改善环境空气质量</w:t>
            </w:r>
            <w:r>
              <w:rPr>
                <w:rFonts w:hint="eastAsia"/>
                <w:color w:val="auto"/>
                <w:lang w:eastAsia="zh-CN"/>
              </w:rPr>
              <w:t>。</w:t>
            </w:r>
          </w:p>
          <w:p w14:paraId="767FB141">
            <w:pPr>
              <w:keepNext w:val="0"/>
              <w:keepLines w:val="0"/>
              <w:suppressLineNumbers w:val="0"/>
              <w:bidi w:val="0"/>
              <w:spacing w:before="0" w:beforeAutospacing="0" w:after="0" w:afterAutospacing="0"/>
              <w:ind w:left="0" w:right="0"/>
              <w:rPr>
                <w:rFonts w:hint="eastAsia"/>
                <w:color w:val="FF0000"/>
                <w:lang w:val="en-US" w:eastAsia="zh-CN"/>
              </w:rPr>
            </w:pPr>
            <w:r>
              <w:rPr>
                <w:rFonts w:hint="eastAsia"/>
                <w:lang w:val="en-US" w:eastAsia="zh-CN"/>
              </w:rPr>
              <w:t>本项目运营期非甲烷总烃采用三级循环冷凝+冷冻处理，</w:t>
            </w:r>
            <w:r>
              <w:rPr>
                <w:rFonts w:hint="eastAsia"/>
                <w:lang w:eastAsia="zh-CN"/>
              </w:rPr>
              <w:t>排放浓度</w:t>
            </w:r>
            <w:r>
              <w:rPr>
                <w:rFonts w:hint="eastAsia"/>
                <w:lang w:val="en-US" w:eastAsia="zh-CN"/>
              </w:rPr>
              <w:t>满足</w:t>
            </w:r>
            <w:r>
              <w:rPr>
                <w:rFonts w:hint="default"/>
                <w:lang w:val="en-US" w:eastAsia="zh-CN"/>
              </w:rPr>
              <w:t>《大气污染物综合排放标准》</w:t>
            </w:r>
            <w:r>
              <w:rPr>
                <w:rFonts w:hint="eastAsia"/>
                <w:lang w:val="en-US" w:eastAsia="zh-CN"/>
              </w:rPr>
              <w:t>（</w:t>
            </w:r>
            <w:r>
              <w:rPr>
                <w:rFonts w:hint="default"/>
                <w:lang w:val="en-US" w:eastAsia="zh-CN"/>
              </w:rPr>
              <w:t>GB16297- 1996</w:t>
            </w:r>
            <w:r>
              <w:rPr>
                <w:rFonts w:hint="eastAsia"/>
                <w:lang w:val="en-US" w:eastAsia="zh-CN"/>
              </w:rPr>
              <w:t>）</w:t>
            </w:r>
            <w:r>
              <w:rPr>
                <w:rFonts w:hint="default"/>
                <w:lang w:val="en-US" w:eastAsia="zh-CN"/>
              </w:rPr>
              <w:t>表2中</w:t>
            </w:r>
            <w:r>
              <w:rPr>
                <w:rFonts w:hint="eastAsia"/>
                <w:lang w:val="en-US" w:eastAsia="zh-CN"/>
              </w:rPr>
              <w:t>限值要求；车间外</w:t>
            </w:r>
            <w:r>
              <w:rPr>
                <w:rFonts w:hint="default"/>
                <w:lang w:val="en-US" w:eastAsia="zh-CN"/>
              </w:rPr>
              <w:t>非甲烷总烃排放浓度</w:t>
            </w:r>
            <w:r>
              <w:rPr>
                <w:rFonts w:hint="eastAsia"/>
                <w:lang w:val="en-US" w:eastAsia="zh-CN"/>
              </w:rPr>
              <w:t>满足</w:t>
            </w:r>
            <w:r>
              <w:rPr>
                <w:rFonts w:hint="default"/>
                <w:lang w:val="en-US" w:eastAsia="zh-CN"/>
              </w:rPr>
              <w:t>《挥发性有机物无组织排放控制标准》</w:t>
            </w:r>
            <w:r>
              <w:rPr>
                <w:rFonts w:hint="eastAsia"/>
                <w:lang w:val="en-US" w:eastAsia="zh-CN"/>
              </w:rPr>
              <w:t>（</w:t>
            </w:r>
            <w:r>
              <w:rPr>
                <w:rFonts w:hint="default"/>
                <w:lang w:val="en-US" w:eastAsia="zh-CN"/>
              </w:rPr>
              <w:t>GB 37822-2019</w:t>
            </w:r>
            <w:r>
              <w:rPr>
                <w:rFonts w:hint="eastAsia"/>
                <w:lang w:val="en-US" w:eastAsia="zh-CN"/>
              </w:rPr>
              <w:t>）</w:t>
            </w:r>
            <w:r>
              <w:rPr>
                <w:rFonts w:hint="default"/>
                <w:lang w:val="en-US" w:eastAsia="zh-CN"/>
              </w:rPr>
              <w:t>中表A. 1厂区内VOCs无组织排放限值中特别排放限值</w:t>
            </w:r>
            <w:r>
              <w:rPr>
                <w:rFonts w:hint="eastAsia"/>
                <w:lang w:val="en-US" w:eastAsia="zh-CN"/>
              </w:rPr>
              <w:t>要求，符合《巴音郭楞蒙古自治州生态环境“十四五”规划》的要求。</w:t>
            </w:r>
          </w:p>
          <w:p w14:paraId="40D274F8">
            <w:pPr>
              <w:pStyle w:val="4"/>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6、与</w:t>
            </w:r>
            <w:r>
              <w:rPr>
                <w:rFonts w:hint="default"/>
                <w:color w:val="auto"/>
                <w:lang w:val="en-US" w:eastAsia="zh-CN"/>
              </w:rPr>
              <w:t>《</w:t>
            </w:r>
            <w:r>
              <w:rPr>
                <w:rFonts w:hint="eastAsia"/>
                <w:color w:val="auto"/>
                <w:lang w:val="en-US" w:eastAsia="zh-CN"/>
              </w:rPr>
              <w:t>关于深入打好污染防治攻坚战的实施方案</w:t>
            </w:r>
            <w:r>
              <w:rPr>
                <w:rFonts w:hint="default"/>
                <w:color w:val="auto"/>
                <w:lang w:val="en-US" w:eastAsia="zh-CN"/>
              </w:rPr>
              <w:t>》</w:t>
            </w:r>
            <w:r>
              <w:rPr>
                <w:rFonts w:hint="eastAsia"/>
                <w:color w:val="auto"/>
                <w:lang w:val="en-US" w:eastAsia="zh-CN"/>
              </w:rPr>
              <w:t>的符合性分析</w:t>
            </w:r>
          </w:p>
          <w:p w14:paraId="49B044BB">
            <w:pPr>
              <w:pStyle w:val="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表1-4 与《关于深入打好污染防治攻坚战的实施方案》的符合性分析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0"/>
              <w:gridCol w:w="3317"/>
              <w:gridCol w:w="2706"/>
              <w:gridCol w:w="725"/>
            </w:tblGrid>
            <w:tr w14:paraId="295B4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94" w:type="dxa"/>
                  <w:tcBorders>
                    <w:tl2br w:val="nil"/>
                    <w:tr2bl w:val="nil"/>
                  </w:tcBorders>
                  <w:noWrap w:val="0"/>
                  <w:vAlign w:val="center"/>
                </w:tcPr>
                <w:p w14:paraId="6C90016D">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3291" w:type="dxa"/>
                  <w:tcBorders>
                    <w:tl2br w:val="nil"/>
                    <w:tr2bl w:val="nil"/>
                  </w:tcBorders>
                  <w:noWrap w:val="0"/>
                  <w:vAlign w:val="center"/>
                </w:tcPr>
                <w:p w14:paraId="0D78D597">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环境管理政策有关要求</w:t>
                  </w:r>
                </w:p>
              </w:tc>
              <w:tc>
                <w:tcPr>
                  <w:tcW w:w="2685" w:type="dxa"/>
                  <w:tcBorders>
                    <w:tl2br w:val="nil"/>
                    <w:tr2bl w:val="nil"/>
                  </w:tcBorders>
                  <w:noWrap w:val="0"/>
                  <w:vAlign w:val="center"/>
                </w:tcPr>
                <w:p w14:paraId="161C2761">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本项目情况</w:t>
                  </w:r>
                </w:p>
              </w:tc>
              <w:tc>
                <w:tcPr>
                  <w:tcW w:w="719" w:type="dxa"/>
                  <w:tcBorders>
                    <w:tl2br w:val="nil"/>
                    <w:tr2bl w:val="nil"/>
                  </w:tcBorders>
                  <w:noWrap w:val="0"/>
                  <w:vAlign w:val="center"/>
                </w:tcPr>
                <w:p w14:paraId="2F5A6E7C">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符合性</w:t>
                  </w:r>
                </w:p>
              </w:tc>
            </w:tr>
            <w:tr w14:paraId="3816F9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94" w:type="dxa"/>
                  <w:tcBorders>
                    <w:tl2br w:val="nil"/>
                    <w:tr2bl w:val="nil"/>
                  </w:tcBorders>
                  <w:noWrap w:val="0"/>
                  <w:vAlign w:val="center"/>
                </w:tcPr>
                <w:p w14:paraId="5E397917">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3291" w:type="dxa"/>
                  <w:tcBorders>
                    <w:tl2br w:val="nil"/>
                    <w:tr2bl w:val="nil"/>
                  </w:tcBorders>
                  <w:noWrap w:val="0"/>
                  <w:vAlign w:val="center"/>
                </w:tcPr>
                <w:p w14:paraId="79429D55">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强生态环境分区管控。贯彻落实《新疆维吾尔自治区国土空间规划（2021—2035年）》《新疆维吾尔自治区“三线一单”生态环境分区管控方案》相关要求，将生态保护红线、环境质量底线、资源利用上线的硬约束落实到环境管控单元。建立差别化的生态环境准入清单，加强“三线一单”成果在政策制定、环境准入、园区管理、监管执法等方面的应用。</w:t>
                  </w:r>
                </w:p>
              </w:tc>
              <w:tc>
                <w:tcPr>
                  <w:tcW w:w="2685" w:type="dxa"/>
                  <w:tcBorders>
                    <w:tl2br w:val="nil"/>
                    <w:tr2bl w:val="nil"/>
                  </w:tcBorders>
                  <w:noWrap w:val="0"/>
                  <w:vAlign w:val="center"/>
                </w:tcPr>
                <w:p w14:paraId="46925EEC">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根据表1-1、表1-3本项目符合</w:t>
                  </w:r>
                  <w:r>
                    <w:rPr>
                      <w:rFonts w:hint="eastAsia"/>
                      <w:lang w:val="en-US" w:eastAsia="zh-CN"/>
                    </w:rPr>
                    <w:t>《新疆维吾尔自治区生态环境分区管控动态更新成果》（新政发〔2024〕157号）</w:t>
                  </w:r>
                  <w:r>
                    <w:rPr>
                      <w:rFonts w:hint="eastAsia" w:ascii="Times New Roman" w:hAnsi="Times New Roman" w:eastAsia="宋体" w:cs="Times New Roman"/>
                      <w:color w:val="auto"/>
                      <w:lang w:val="en-US" w:eastAsia="zh-CN"/>
                    </w:rPr>
                    <w:t>和</w:t>
                  </w:r>
                  <w:r>
                    <w:rPr>
                      <w:rFonts w:hint="eastAsia"/>
                      <w:color w:val="auto"/>
                    </w:rPr>
                    <w:t>《巴音郭楞蒙古自治州生态环境准入清单</w:t>
                  </w:r>
                  <w:r>
                    <w:rPr>
                      <w:rFonts w:hint="eastAsia" w:cs="Times New Roman"/>
                      <w:color w:val="auto"/>
                      <w:lang w:val="en-US" w:eastAsia="zh-CN"/>
                    </w:rPr>
                    <w:t>》</w:t>
                  </w:r>
                  <w:r>
                    <w:rPr>
                      <w:rFonts w:hint="eastAsia"/>
                      <w:color w:val="auto"/>
                      <w:lang w:eastAsia="zh-CN"/>
                    </w:rPr>
                    <w:t>的</w:t>
                  </w:r>
                  <w:r>
                    <w:rPr>
                      <w:rFonts w:hint="eastAsia" w:ascii="Times New Roman" w:hAnsi="Times New Roman" w:eastAsia="宋体" w:cs="Times New Roman"/>
                      <w:color w:val="auto"/>
                      <w:lang w:val="en-US" w:eastAsia="zh-CN"/>
                    </w:rPr>
                    <w:t>相关要求</w:t>
                  </w:r>
                  <w:r>
                    <w:rPr>
                      <w:rFonts w:hint="eastAsia" w:cs="Times New Roman"/>
                      <w:color w:val="auto"/>
                      <w:lang w:val="en-US" w:eastAsia="zh-CN"/>
                    </w:rPr>
                    <w:t>。</w:t>
                  </w:r>
                </w:p>
              </w:tc>
              <w:tc>
                <w:tcPr>
                  <w:tcW w:w="719" w:type="dxa"/>
                  <w:tcBorders>
                    <w:tl2br w:val="nil"/>
                    <w:tr2bl w:val="nil"/>
                  </w:tcBorders>
                  <w:noWrap w:val="0"/>
                  <w:vAlign w:val="center"/>
                </w:tcPr>
                <w:p w14:paraId="0EBCB90F">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777C4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94" w:type="dxa"/>
                  <w:tcBorders>
                    <w:tl2br w:val="nil"/>
                    <w:tr2bl w:val="nil"/>
                  </w:tcBorders>
                  <w:noWrap w:val="0"/>
                  <w:vAlign w:val="center"/>
                </w:tcPr>
                <w:p w14:paraId="74A9ABE4">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3291" w:type="dxa"/>
                  <w:tcBorders>
                    <w:tl2br w:val="nil"/>
                    <w:tr2bl w:val="nil"/>
                  </w:tcBorders>
                  <w:noWrap w:val="0"/>
                  <w:vAlign w:val="center"/>
                </w:tcPr>
                <w:p w14:paraId="1BBAF8D8">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着力打好重污染天气消除攻坚战。聚焦采暖期重污染天气治理，加大重点区域、重点行业结构调整和污染治理力度。</w:t>
                  </w:r>
                </w:p>
              </w:tc>
              <w:tc>
                <w:tcPr>
                  <w:tcW w:w="2685" w:type="dxa"/>
                  <w:tcBorders>
                    <w:tl2br w:val="nil"/>
                    <w:tr2bl w:val="nil"/>
                  </w:tcBorders>
                  <w:noWrap w:val="0"/>
                  <w:vAlign w:val="center"/>
                </w:tcPr>
                <w:p w14:paraId="7C3F07F6">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color w:val="auto"/>
                      <w:lang w:val="en-US" w:eastAsia="zh-CN"/>
                    </w:rPr>
                    <w:t>本项目运营期颗粒物、非甲烷总烃排放浓度满足《大气污染物综合排放标准》（GB16297- 1996）表2中限值要求；车间外非甲烷总烃排放浓度满足《挥发性有机物无组织排放控制标准》（GB 37822-2019）中表A. 1厂区内VOCs无组织排放限值中特别排放限值要求</w:t>
                  </w:r>
                  <w:r>
                    <w:rPr>
                      <w:rFonts w:hint="eastAsia"/>
                      <w:color w:val="auto"/>
                      <w:lang w:eastAsia="zh-CN"/>
                    </w:rPr>
                    <w:t>。</w:t>
                  </w:r>
                </w:p>
              </w:tc>
              <w:tc>
                <w:tcPr>
                  <w:tcW w:w="719" w:type="dxa"/>
                  <w:tcBorders>
                    <w:tl2br w:val="nil"/>
                    <w:tr2bl w:val="nil"/>
                  </w:tcBorders>
                  <w:noWrap w:val="0"/>
                  <w:vAlign w:val="center"/>
                </w:tcPr>
                <w:p w14:paraId="79E4B270">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152D8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94" w:type="dxa"/>
                  <w:tcBorders>
                    <w:tl2br w:val="nil"/>
                    <w:tr2bl w:val="nil"/>
                  </w:tcBorders>
                  <w:noWrap w:val="0"/>
                  <w:vAlign w:val="center"/>
                </w:tcPr>
                <w:p w14:paraId="556C91F5">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3291" w:type="dxa"/>
                  <w:tcBorders>
                    <w:tl2br w:val="nil"/>
                    <w:tr2bl w:val="nil"/>
                  </w:tcBorders>
                  <w:noWrap w:val="0"/>
                  <w:vAlign w:val="center"/>
                </w:tcPr>
                <w:p w14:paraId="348091CF">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深入实施最严格水资源管理。严守水资源开发利用控制、用水效率控制和水功能区限制纳污“三条红线”，严格实行区域用水总量和强度控制，强化节水约束性指标管理。</w:t>
                  </w:r>
                </w:p>
              </w:tc>
              <w:tc>
                <w:tcPr>
                  <w:tcW w:w="2685" w:type="dxa"/>
                  <w:tcBorders>
                    <w:tl2br w:val="nil"/>
                    <w:tr2bl w:val="nil"/>
                  </w:tcBorders>
                  <w:noWrap w:val="0"/>
                  <w:vAlign w:val="center"/>
                </w:tcPr>
                <w:p w14:paraId="35F35FB0">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本项目蒸汽冷凝工序产生少量废水，可回用于循环冷却</w:t>
                  </w:r>
                  <w:r>
                    <w:rPr>
                      <w:rFonts w:hint="eastAsia" w:cs="Times New Roman"/>
                      <w:color w:val="auto"/>
                      <w:kern w:val="2"/>
                      <w:sz w:val="21"/>
                      <w:szCs w:val="24"/>
                      <w:lang w:val="en-US" w:eastAsia="zh-CN" w:bidi="ar-SA"/>
                    </w:rPr>
                    <w:t>工序</w:t>
                  </w:r>
                  <w:r>
                    <w:rPr>
                      <w:rFonts w:hint="default" w:ascii="Times New Roman" w:hAnsi="Times New Roman" w:eastAsia="宋体" w:cs="Times New Roman"/>
                      <w:color w:val="auto"/>
                      <w:kern w:val="2"/>
                      <w:sz w:val="21"/>
                      <w:szCs w:val="24"/>
                      <w:lang w:val="en-US" w:eastAsia="zh-CN" w:bidi="ar-SA"/>
                    </w:rPr>
                    <w:t>，不外排。</w:t>
                  </w:r>
                </w:p>
              </w:tc>
              <w:tc>
                <w:tcPr>
                  <w:tcW w:w="719" w:type="dxa"/>
                  <w:tcBorders>
                    <w:tl2br w:val="nil"/>
                    <w:tr2bl w:val="nil"/>
                  </w:tcBorders>
                  <w:noWrap w:val="0"/>
                  <w:vAlign w:val="center"/>
                </w:tcPr>
                <w:p w14:paraId="046BCE3A">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符合</w:t>
                  </w:r>
                </w:p>
              </w:tc>
            </w:tr>
          </w:tbl>
          <w:p w14:paraId="540EB945">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综上所述，项目与</w:t>
            </w:r>
            <w:r>
              <w:rPr>
                <w:rFonts w:hint="eastAsia"/>
                <w:color w:val="auto"/>
                <w:lang w:val="en-US" w:eastAsia="zh-CN"/>
              </w:rPr>
              <w:t>《关于深入打好污染防治攻坚战的实施方案》</w:t>
            </w:r>
            <w:r>
              <w:rPr>
                <w:rFonts w:hint="eastAsia"/>
                <w:color w:val="auto"/>
                <w:lang w:eastAsia="zh-CN"/>
              </w:rPr>
              <w:t>相符合。</w:t>
            </w:r>
          </w:p>
          <w:p w14:paraId="35A15A9B">
            <w:pPr>
              <w:pStyle w:val="4"/>
              <w:numPr>
                <w:ilvl w:val="0"/>
                <w:numId w:val="0"/>
              </w:numPr>
              <w:suppressLineNumbers w:val="0"/>
              <w:bidi w:val="0"/>
              <w:spacing w:before="0" w:beforeAutospacing="0" w:after="0" w:afterAutospacing="0"/>
              <w:ind w:left="0" w:leftChars="0" w:right="0" w:rightChars="0"/>
              <w:rPr>
                <w:rFonts w:hint="eastAsia"/>
                <w:color w:val="auto"/>
                <w:lang w:val="en-US" w:eastAsia="zh-CN"/>
              </w:rPr>
            </w:pPr>
            <w:r>
              <w:rPr>
                <w:rFonts w:hint="eastAsia"/>
                <w:color w:val="auto"/>
                <w:lang w:val="en-US" w:eastAsia="zh-CN"/>
              </w:rPr>
              <w:t>7、与</w:t>
            </w:r>
            <w:r>
              <w:rPr>
                <w:rFonts w:hint="default"/>
                <w:color w:val="auto"/>
                <w:lang w:val="en-US" w:eastAsia="zh-CN"/>
              </w:rPr>
              <w:t>《食品安全国家标准食品生产通用卫生规范》（GB14881-2013）</w:t>
            </w:r>
            <w:r>
              <w:rPr>
                <w:rFonts w:hint="eastAsia"/>
                <w:color w:val="auto"/>
                <w:lang w:val="en-US" w:eastAsia="zh-CN"/>
              </w:rPr>
              <w:t>的符合性分析</w:t>
            </w:r>
          </w:p>
          <w:p w14:paraId="553FCE78">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根据</w:t>
            </w:r>
            <w:r>
              <w:rPr>
                <w:rFonts w:hint="default"/>
                <w:color w:val="auto"/>
                <w:lang w:val="en-US" w:eastAsia="zh-CN"/>
              </w:rPr>
              <w:t>《食品安全国家标准食品生产通用卫生规范》（GB14881-2013）</w:t>
            </w:r>
            <w:r>
              <w:rPr>
                <w:rFonts w:hint="eastAsia"/>
                <w:color w:val="auto"/>
                <w:lang w:val="en-US" w:eastAsia="zh-CN"/>
              </w:rPr>
              <w:t>中对食品行业选址要求：①厂区不应选择对食品有显著污染的区域。如某地对食品安全和食品宜食用性存在明显的不利影响，且无法通过采取措施加以改善，应避免在该地址建厂。②厂区不应选择有害废弃物以及粉尘、有害气体、放射性物质和其他扩散性污染源不能有效清除的地址。③厂区不宜择易发生洪涝灾害的地区，难以避开时应设计必要的防范措施。④厂区周围不宜有虫害大量滋生的潜在场所，难以避开时应设计必要的防范措施。</w:t>
            </w:r>
          </w:p>
          <w:p w14:paraId="1D83A103">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本项目位于</w:t>
            </w:r>
            <w:r>
              <w:rPr>
                <w:rFonts w:hint="eastAsia"/>
                <w:color w:val="auto"/>
              </w:rPr>
              <w:t>焉耆县河北巴州生态产业园</w:t>
            </w:r>
            <w:r>
              <w:rPr>
                <w:rFonts w:hint="eastAsia"/>
                <w:color w:val="auto"/>
                <w:lang w:eastAsia="zh-CN"/>
              </w:rPr>
              <w:t>内农副产品精深加工区，符合河北巴州生态产业园产业定位要求，详见附图</w:t>
            </w:r>
            <w:r>
              <w:rPr>
                <w:rFonts w:hint="eastAsia"/>
                <w:color w:val="auto"/>
                <w:lang w:val="en-US" w:eastAsia="zh-CN"/>
              </w:rPr>
              <w:t>5，该区域对食品安全和食品宜食用性无明显的不利影响；厂区原址为空地，无污染物残留；厂区位于</w:t>
            </w:r>
            <w:r>
              <w:rPr>
                <w:rFonts w:hint="eastAsia"/>
                <w:color w:val="auto"/>
                <w:lang w:eastAsia="zh-CN"/>
              </w:rPr>
              <w:t>河北巴州生态产业园产业内，不属于</w:t>
            </w:r>
            <w:r>
              <w:rPr>
                <w:rFonts w:hint="eastAsia"/>
                <w:color w:val="auto"/>
                <w:lang w:val="en-US" w:eastAsia="zh-CN"/>
              </w:rPr>
              <w:t>易发生洪涝灾害的地区；本项目位于工业园区内，不是虫害大量滋生的潜在场所；综上所述，本项目选址符合</w:t>
            </w:r>
            <w:r>
              <w:rPr>
                <w:rFonts w:hint="default"/>
                <w:color w:val="auto"/>
                <w:lang w:val="en-US" w:eastAsia="zh-CN"/>
              </w:rPr>
              <w:t>《食品安全国家标准食品生产通用卫生规范》（GB14881-2013）</w:t>
            </w:r>
            <w:r>
              <w:rPr>
                <w:rFonts w:hint="eastAsia"/>
                <w:color w:val="auto"/>
                <w:lang w:val="en-US" w:eastAsia="zh-CN"/>
              </w:rPr>
              <w:t>中的相关要求。</w:t>
            </w:r>
          </w:p>
          <w:p w14:paraId="6288BF02">
            <w:pPr>
              <w:pStyle w:val="4"/>
              <w:suppressLineNumbers w:val="0"/>
              <w:bidi w:val="0"/>
              <w:spacing w:before="0" w:beforeAutospacing="0" w:after="0" w:afterAutospacing="0"/>
              <w:ind w:left="0" w:right="0"/>
              <w:rPr>
                <w:rFonts w:hint="default"/>
                <w:lang w:val="en-US" w:eastAsia="zh-CN"/>
              </w:rPr>
            </w:pPr>
            <w:r>
              <w:rPr>
                <w:rFonts w:hint="eastAsia"/>
                <w:lang w:val="en-US" w:eastAsia="zh-CN"/>
              </w:rPr>
              <w:t>8、选址合理性分析</w:t>
            </w:r>
          </w:p>
          <w:p w14:paraId="40CD9F0D">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本项目位于</w:t>
            </w:r>
            <w:r>
              <w:rPr>
                <w:rFonts w:hint="eastAsia"/>
              </w:rPr>
              <w:t>新疆维吾尔自治区巴音郭楞蒙古自治州焉耆县河北巴州生态产业园</w:t>
            </w:r>
            <w:r>
              <w:rPr>
                <w:rFonts w:hint="eastAsia"/>
                <w:lang w:eastAsia="zh-CN"/>
              </w:rPr>
              <w:t>内</w:t>
            </w:r>
            <w:r>
              <w:rPr>
                <w:rFonts w:hint="eastAsia"/>
                <w:lang w:val="en-US" w:eastAsia="zh-CN"/>
              </w:rPr>
              <w:t>，于2024年6月取得了建设用地批准用书</w:t>
            </w:r>
            <w:r>
              <w:rPr>
                <w:rFonts w:hint="eastAsia"/>
                <w:lang w:eastAsia="zh-CN"/>
              </w:rPr>
              <w:t>，文号：</w:t>
            </w:r>
            <w:r>
              <w:rPr>
                <w:rFonts w:hint="eastAsia"/>
                <w:lang w:val="en-US" w:eastAsia="zh-CN"/>
              </w:rPr>
              <w:t>新2024</w:t>
            </w:r>
            <w:r>
              <w:rPr>
                <w:rFonts w:hint="eastAsia"/>
                <w:lang w:eastAsia="zh-CN"/>
              </w:rPr>
              <w:t>焉耆县</w:t>
            </w:r>
            <w:r>
              <w:rPr>
                <w:rFonts w:hint="eastAsia"/>
                <w:lang w:val="en-US" w:eastAsia="zh-CN"/>
              </w:rPr>
              <w:t>不动产权</w:t>
            </w:r>
            <w:r>
              <w:rPr>
                <w:rFonts w:hint="eastAsia"/>
                <w:lang w:eastAsia="zh-CN"/>
              </w:rPr>
              <w:t>第</w:t>
            </w:r>
            <w:r>
              <w:rPr>
                <w:rFonts w:hint="eastAsia"/>
                <w:lang w:val="en-US" w:eastAsia="zh-CN"/>
              </w:rPr>
              <w:t>0001359号，用地为工业用地</w:t>
            </w:r>
            <w:r>
              <w:rPr>
                <w:rFonts w:hint="eastAsia"/>
                <w:lang w:eastAsia="zh-CN"/>
              </w:rPr>
              <w:t>，符合国土空间用途管控要求</w:t>
            </w:r>
            <w:r>
              <w:rPr>
                <w:rFonts w:hint="eastAsia"/>
                <w:lang w:val="en-US" w:eastAsia="zh-CN"/>
              </w:rPr>
              <w:t>；符合《</w:t>
            </w:r>
            <w:r>
              <w:rPr>
                <w:rFonts w:hint="default"/>
              </w:rPr>
              <w:t>河北巴州生态产业园总体规划（2017</w:t>
            </w:r>
            <w:r>
              <w:rPr>
                <w:rFonts w:hint="eastAsia"/>
                <w:lang w:eastAsia="zh-CN"/>
              </w:rPr>
              <w:t>—</w:t>
            </w:r>
            <w:r>
              <w:rPr>
                <w:rFonts w:hint="default"/>
              </w:rPr>
              <w:t>203</w:t>
            </w:r>
            <w:r>
              <w:rPr>
                <w:rFonts w:hint="eastAsia"/>
                <w:lang w:val="en-US" w:eastAsia="zh-CN"/>
              </w:rPr>
              <w:t>5</w:t>
            </w:r>
            <w:r>
              <w:rPr>
                <w:rFonts w:hint="default"/>
              </w:rPr>
              <w:t>年）</w:t>
            </w:r>
            <w:r>
              <w:rPr>
                <w:rFonts w:hint="eastAsia"/>
                <w:lang w:eastAsia="zh-CN"/>
              </w:rPr>
              <w:t>》</w:t>
            </w:r>
            <w:r>
              <w:rPr>
                <w:rFonts w:hint="eastAsia"/>
                <w:lang w:val="en-US" w:eastAsia="zh-CN"/>
              </w:rPr>
              <w:t>《</w:t>
            </w:r>
            <w:r>
              <w:rPr>
                <w:rFonts w:hint="default"/>
              </w:rPr>
              <w:t>河北巴州生态产业园总体规划（2017</w:t>
            </w:r>
            <w:r>
              <w:rPr>
                <w:rFonts w:hint="eastAsia"/>
                <w:lang w:eastAsia="zh-CN"/>
              </w:rPr>
              <w:t>—</w:t>
            </w:r>
            <w:r>
              <w:rPr>
                <w:rFonts w:hint="default"/>
              </w:rPr>
              <w:t>2030年）环境影响报告书</w:t>
            </w:r>
            <w:r>
              <w:rPr>
                <w:rFonts w:hint="eastAsia"/>
                <w:lang w:val="en-US" w:eastAsia="zh-CN"/>
              </w:rPr>
              <w:t>》及审查意见、</w:t>
            </w:r>
            <w:r>
              <w:rPr>
                <w:rFonts w:hint="default"/>
              </w:rPr>
              <w:t>《产业结构调整指导目录（20</w:t>
            </w:r>
            <w:r>
              <w:rPr>
                <w:rFonts w:hint="eastAsia"/>
                <w:lang w:val="en-US" w:eastAsia="zh-CN"/>
              </w:rPr>
              <w:t>24</w:t>
            </w:r>
            <w:r>
              <w:rPr>
                <w:rFonts w:hint="default"/>
              </w:rPr>
              <w:t>年本）》</w:t>
            </w:r>
            <w:r>
              <w:rPr>
                <w:rFonts w:hint="default"/>
                <w:color w:val="auto"/>
              </w:rPr>
              <w:t>《巴音郭楞蒙古自治州生态环境准入清单》</w:t>
            </w:r>
            <w:r>
              <w:rPr>
                <w:rFonts w:hint="default"/>
                <w:color w:val="auto"/>
                <w:lang w:val="en-US" w:eastAsia="zh-CN"/>
              </w:rPr>
              <w:t>《食品安全国家标准食品生产通用卫生规范》（GB14881-2013）</w:t>
            </w:r>
            <w:r>
              <w:rPr>
                <w:rFonts w:hint="eastAsia"/>
                <w:color w:val="auto"/>
                <w:lang w:val="en-US" w:eastAsia="zh-CN"/>
              </w:rPr>
              <w:t>，</w:t>
            </w:r>
            <w:r>
              <w:rPr>
                <w:rFonts w:hint="eastAsia"/>
                <w:lang w:val="en-US" w:eastAsia="zh-CN"/>
              </w:rPr>
              <w:t>项目选址周边无自然保护区、水源保护地、风景名胜区等，周边基础设施已完善，周边交通便利；选址符合</w:t>
            </w:r>
            <w:r>
              <w:rPr>
                <w:rFonts w:hint="default"/>
                <w:lang w:val="en-US" w:eastAsia="zh-CN"/>
              </w:rPr>
              <w:t>《食品安全国家标准食品生产通用卫生规范》（GB14881-2013）</w:t>
            </w:r>
            <w:r>
              <w:rPr>
                <w:rFonts w:hint="eastAsia"/>
                <w:lang w:val="en-US" w:eastAsia="zh-CN"/>
              </w:rPr>
              <w:t>中的相关要求；由此判断本项目选址合理。</w:t>
            </w:r>
          </w:p>
          <w:p w14:paraId="62C11546">
            <w:pPr>
              <w:pStyle w:val="46"/>
              <w:keepNext w:val="0"/>
              <w:keepLines w:val="0"/>
              <w:suppressLineNumbers w:val="0"/>
              <w:spacing w:before="0" w:beforeAutospacing="0" w:after="0" w:afterAutospacing="0"/>
              <w:ind w:left="0" w:right="0"/>
              <w:rPr>
                <w:rFonts w:hint="eastAsia"/>
                <w:color w:val="auto"/>
                <w:lang w:val="en-US" w:eastAsia="zh-CN"/>
              </w:rPr>
            </w:pPr>
          </w:p>
          <w:p w14:paraId="53BCD96E">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1BB66034">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3B521435">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31BAA31D">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1ED51B61">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4CF22BBF">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56CA7FDA">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78CA4C87">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739101B5">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6EECF524">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103D600D">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7376C693">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605522AC">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03FF76BC">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287FFBA1">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7992A128">
            <w:pPr>
              <w:keepNext w:val="0"/>
              <w:keepLines w:val="0"/>
              <w:suppressLineNumbers w:val="0"/>
              <w:spacing w:before="0" w:beforeAutospacing="0" w:after="0" w:afterAutospacing="0"/>
              <w:ind w:left="0" w:leftChars="0" w:right="0" w:firstLine="0" w:firstLineChars="0"/>
              <w:rPr>
                <w:rFonts w:hint="eastAsia"/>
                <w:color w:val="auto"/>
                <w:lang w:val="en-US" w:eastAsia="zh-CN"/>
              </w:rPr>
            </w:pPr>
          </w:p>
          <w:p w14:paraId="75C47981">
            <w:pPr>
              <w:keepNext w:val="0"/>
              <w:keepLines w:val="0"/>
              <w:suppressLineNumbers w:val="0"/>
              <w:spacing w:before="0" w:beforeAutospacing="0" w:after="0" w:afterAutospacing="0"/>
              <w:ind w:left="0" w:leftChars="0" w:right="0" w:firstLine="0" w:firstLineChars="0"/>
              <w:rPr>
                <w:rFonts w:hint="eastAsia"/>
                <w:color w:val="auto"/>
                <w:lang w:val="en-US" w:eastAsia="zh-CN"/>
              </w:rPr>
            </w:pPr>
          </w:p>
        </w:tc>
      </w:tr>
    </w:tbl>
    <w:p w14:paraId="51CCAB71">
      <w:pPr>
        <w:spacing w:line="360" w:lineRule="auto"/>
        <w:outlineLvl w:val="0"/>
        <w:rPr>
          <w:rFonts w:eastAsia="黑体"/>
          <w:color w:val="000000" w:themeColor="text1"/>
          <w:sz w:val="30"/>
          <w14:textFill>
            <w14:solidFill>
              <w14:schemeClr w14:val="tx1"/>
            </w14:solidFill>
          </w14:textFill>
        </w:rPr>
        <w:sectPr>
          <w:footerReference r:id="rId7" w:type="default"/>
          <w:pgSz w:w="11906" w:h="16838"/>
          <w:pgMar w:top="1304" w:right="1361" w:bottom="1304" w:left="1361" w:header="851" w:footer="1077" w:gutter="0"/>
          <w:pgBorders>
            <w:top w:val="none" w:sz="0" w:space="0"/>
            <w:left w:val="none" w:sz="0" w:space="0"/>
            <w:bottom w:val="none" w:sz="0" w:space="0"/>
            <w:right w:val="none" w:sz="0" w:space="0"/>
          </w:pgBorders>
          <w:pgNumType w:start="1"/>
          <w:cols w:space="720" w:num="1"/>
          <w:docGrid w:linePitch="312" w:charSpace="0"/>
        </w:sectPr>
      </w:pPr>
    </w:p>
    <w:p w14:paraId="7F7B8405">
      <w:pPr>
        <w:pStyle w:val="25"/>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二、建设项目工程分析</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8300"/>
      </w:tblGrid>
      <w:tr w14:paraId="7AF0A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pct"/>
            <w:tcBorders>
              <w:tl2br w:val="nil"/>
              <w:tr2bl w:val="nil"/>
            </w:tcBorders>
            <w:vAlign w:val="center"/>
          </w:tcPr>
          <w:p w14:paraId="552EC2D4">
            <w:pPr>
              <w:pStyle w:val="11"/>
              <w:keepNext w:val="0"/>
              <w:keepLines w:val="0"/>
              <w:suppressLineNumbers w:val="0"/>
              <w:bidi w:val="0"/>
              <w:spacing w:before="0" w:beforeAutospacing="0" w:after="0" w:afterAutospacing="0"/>
              <w:ind w:left="0" w:right="0"/>
              <w:rPr>
                <w:rFonts w:hint="default"/>
              </w:rPr>
            </w:pPr>
            <w:r>
              <w:rPr>
                <w:rFonts w:hint="eastAsia"/>
              </w:rPr>
              <w:t>建设内容</w:t>
            </w:r>
          </w:p>
        </w:tc>
        <w:tc>
          <w:tcPr>
            <w:tcW w:w="4512" w:type="pct"/>
            <w:tcBorders>
              <w:tl2br w:val="nil"/>
              <w:tr2bl w:val="nil"/>
            </w:tcBorders>
          </w:tcPr>
          <w:p w14:paraId="50914C1E">
            <w:pPr>
              <w:pStyle w:val="4"/>
              <w:suppressLineNumbers w:val="0"/>
              <w:bidi w:val="0"/>
              <w:spacing w:before="0" w:beforeAutospacing="0" w:after="0" w:afterAutospacing="0"/>
              <w:ind w:left="0" w:right="0"/>
              <w:rPr>
                <w:rFonts w:hint="default"/>
                <w:lang w:val="en-US" w:eastAsia="zh-CN"/>
              </w:rPr>
            </w:pPr>
            <w:r>
              <w:rPr>
                <w:rFonts w:hint="eastAsia"/>
                <w:lang w:val="en-US" w:eastAsia="zh-CN"/>
              </w:rPr>
              <w:t>1、建设内容</w:t>
            </w:r>
          </w:p>
          <w:p w14:paraId="5C55860E">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本项目位于</w:t>
            </w:r>
            <w:r>
              <w:rPr>
                <w:rFonts w:hint="eastAsia"/>
              </w:rPr>
              <w:t>新疆维吾尔自治区巴音郭楞蒙古自治州焉耆县河北巴州生态产业园</w:t>
            </w:r>
            <w:r>
              <w:rPr>
                <w:rFonts w:hint="eastAsia"/>
                <w:lang w:eastAsia="zh-CN"/>
              </w:rPr>
              <w:t>晨光生物科技集团焉耆有限公司</w:t>
            </w:r>
            <w:r>
              <w:rPr>
                <w:rFonts w:hint="eastAsia"/>
                <w:lang w:val="en-US" w:eastAsia="zh-CN"/>
              </w:rPr>
              <w:t>，中心地理坐标为东经</w:t>
            </w:r>
            <w:r>
              <w:rPr>
                <w:rFonts w:hint="default"/>
                <w:lang w:val="en-US" w:eastAsia="zh-CN"/>
              </w:rPr>
              <w:t>86°19′11.183″</w:t>
            </w:r>
            <w:r>
              <w:rPr>
                <w:rFonts w:hint="eastAsia"/>
                <w:lang w:eastAsia="zh-CN"/>
              </w:rPr>
              <w:t>，</w:t>
            </w:r>
            <w:r>
              <w:rPr>
                <w:rFonts w:hint="eastAsia"/>
                <w:lang w:val="en-US" w:eastAsia="zh-CN"/>
              </w:rPr>
              <w:t>北纬</w:t>
            </w:r>
            <w:r>
              <w:rPr>
                <w:rFonts w:hint="default"/>
                <w:lang w:val="en-US" w:eastAsia="zh-CN"/>
              </w:rPr>
              <w:t>41°52′22.551″</w:t>
            </w:r>
            <w:r>
              <w:rPr>
                <w:rFonts w:hint="eastAsia"/>
                <w:lang w:val="en-US" w:eastAsia="zh-CN"/>
              </w:rPr>
              <w:t>。地理位置见附图1，项目区西侧、南侧均为空地，西侧隔路为巴州晨光植物蛋白有限公司，北侧隔路为新疆晨番果蔬制品有限公司，周边关系示意图见附图2。</w:t>
            </w:r>
          </w:p>
          <w:p w14:paraId="41DDB177">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本项目为新建项目，总投资</w:t>
            </w:r>
            <w:r>
              <w:rPr>
                <w:rFonts w:hint="eastAsia"/>
                <w:lang w:eastAsia="zh-CN"/>
              </w:rPr>
              <w:t>10183.48</w:t>
            </w:r>
            <w:r>
              <w:rPr>
                <w:rFonts w:hint="eastAsia"/>
                <w:lang w:val="en-US" w:eastAsia="zh-CN"/>
              </w:rPr>
              <w:t>万元，项目总面积33333.5m</w:t>
            </w:r>
            <w:r>
              <w:rPr>
                <w:rFonts w:hint="eastAsia"/>
                <w:vertAlign w:val="superscript"/>
                <w:lang w:val="en-US" w:eastAsia="zh-CN"/>
              </w:rPr>
              <w:t>2</w:t>
            </w:r>
            <w:r>
              <w:rPr>
                <w:rFonts w:hint="eastAsia"/>
                <w:lang w:val="en-US" w:eastAsia="zh-CN"/>
              </w:rPr>
              <w:t>，本项目主要建设内容包括：生产车间、投料车间、辣椒粕车间及其他配套辅助设施。新建一条日加工辣椒颗粒1500吨的萃取生产线。</w:t>
            </w:r>
          </w:p>
          <w:p w14:paraId="1DB2B389">
            <w:pPr>
              <w:keepNext w:val="0"/>
              <w:keepLines w:val="0"/>
              <w:widowControl/>
              <w:suppressLineNumbers w:val="0"/>
              <w:spacing w:before="0" w:beforeAutospacing="0" w:after="0" w:afterAutospacing="0"/>
              <w:ind w:left="0" w:right="0"/>
              <w:jc w:val="both"/>
              <w:rPr>
                <w:rFonts w:hint="default"/>
                <w:lang w:val="en-US" w:eastAsia="zh-CN"/>
              </w:rPr>
            </w:pPr>
            <w:r>
              <w:rPr>
                <w:rFonts w:hint="default"/>
                <w:lang w:eastAsia="zh-CN"/>
              </w:rPr>
              <w:t>主要建设内容详见表</w:t>
            </w:r>
            <w:r>
              <w:rPr>
                <w:rFonts w:hint="eastAsia"/>
                <w:lang w:val="en-US" w:eastAsia="zh-CN"/>
              </w:rPr>
              <w:t>2-</w:t>
            </w:r>
            <w:r>
              <w:rPr>
                <w:rFonts w:hint="default"/>
                <w:lang w:eastAsia="zh-CN"/>
              </w:rPr>
              <w:t>1</w:t>
            </w:r>
            <w:r>
              <w:rPr>
                <w:rFonts w:hint="eastAsia"/>
                <w:lang w:eastAsia="zh-CN"/>
              </w:rPr>
              <w:t>。</w:t>
            </w:r>
          </w:p>
          <w:p w14:paraId="6F818D6F">
            <w:pPr>
              <w:pStyle w:val="6"/>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 xml:space="preserve">2-1                          </w:t>
            </w:r>
            <w:r>
              <w:rPr>
                <w:rFonts w:hint="eastAsia"/>
                <w:lang w:eastAsia="zh-CN"/>
              </w:rPr>
              <w:t>主要工程建设内容</w:t>
            </w:r>
            <w:r>
              <w:rPr>
                <w:rFonts w:hint="default"/>
              </w:rPr>
              <w:t>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190"/>
              <w:gridCol w:w="1101"/>
              <w:gridCol w:w="5117"/>
            </w:tblGrid>
            <w:tr w14:paraId="4A494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tcBorders>
                    <w:tl2br w:val="nil"/>
                    <w:tr2bl w:val="nil"/>
                  </w:tcBorders>
                  <w:noWrap w:val="0"/>
                  <w:vAlign w:val="center"/>
                </w:tcPr>
                <w:p w14:paraId="6952AC6A">
                  <w:pPr>
                    <w:pStyle w:val="8"/>
                    <w:keepNext w:val="0"/>
                    <w:keepLines w:val="0"/>
                    <w:suppressLineNumbers w:val="0"/>
                    <w:bidi w:val="0"/>
                    <w:spacing w:before="0" w:beforeAutospacing="0" w:after="0" w:afterAutospacing="0"/>
                    <w:ind w:left="0" w:right="0"/>
                    <w:rPr>
                      <w:rFonts w:hint="eastAsia"/>
                      <w:sz w:val="21"/>
                      <w:szCs w:val="21"/>
                      <w:lang w:val="en-US" w:eastAsia="zh-CN"/>
                    </w:rPr>
                  </w:pPr>
                  <w:r>
                    <w:rPr>
                      <w:rFonts w:hint="eastAsia"/>
                      <w:sz w:val="21"/>
                      <w:szCs w:val="21"/>
                      <w:lang w:val="en-US" w:eastAsia="zh-CN"/>
                    </w:rPr>
                    <w:t>项目组成</w:t>
                  </w:r>
                </w:p>
              </w:tc>
              <w:tc>
                <w:tcPr>
                  <w:tcW w:w="736" w:type="pct"/>
                  <w:tcBorders>
                    <w:tl2br w:val="nil"/>
                    <w:tr2bl w:val="nil"/>
                  </w:tcBorders>
                  <w:noWrap w:val="0"/>
                  <w:vAlign w:val="center"/>
                </w:tcPr>
                <w:p w14:paraId="25EECCB4">
                  <w:pPr>
                    <w:pStyle w:val="8"/>
                    <w:keepNext w:val="0"/>
                    <w:keepLines w:val="0"/>
                    <w:suppressLineNumbers w:val="0"/>
                    <w:bidi w:val="0"/>
                    <w:spacing w:before="0" w:beforeAutospacing="0" w:after="0" w:afterAutospacing="0"/>
                    <w:ind w:left="0" w:right="0"/>
                    <w:rPr>
                      <w:rFonts w:hint="eastAsia"/>
                      <w:sz w:val="21"/>
                      <w:szCs w:val="21"/>
                      <w:lang w:val="en-US" w:eastAsia="zh-CN"/>
                    </w:rPr>
                  </w:pPr>
                  <w:r>
                    <w:rPr>
                      <w:rFonts w:hint="eastAsia"/>
                      <w:sz w:val="21"/>
                      <w:szCs w:val="21"/>
                      <w:lang w:val="en-US" w:eastAsia="zh-CN"/>
                    </w:rPr>
                    <w:t>项目</w:t>
                  </w:r>
                </w:p>
              </w:tc>
              <w:tc>
                <w:tcPr>
                  <w:tcW w:w="3846" w:type="pct"/>
                  <w:gridSpan w:val="2"/>
                  <w:tcBorders>
                    <w:tl2br w:val="nil"/>
                    <w:tr2bl w:val="nil"/>
                  </w:tcBorders>
                  <w:noWrap w:val="0"/>
                  <w:vAlign w:val="center"/>
                </w:tcPr>
                <w:p w14:paraId="794FBC0A">
                  <w:pPr>
                    <w:pStyle w:val="8"/>
                    <w:keepNext w:val="0"/>
                    <w:keepLines w:val="0"/>
                    <w:suppressLineNumbers w:val="0"/>
                    <w:bidi w:val="0"/>
                    <w:spacing w:before="0" w:beforeAutospacing="0" w:after="0" w:afterAutospacing="0"/>
                    <w:ind w:left="0" w:right="0"/>
                    <w:rPr>
                      <w:rFonts w:hint="eastAsia"/>
                      <w:sz w:val="21"/>
                      <w:szCs w:val="21"/>
                      <w:lang w:val="en-US" w:eastAsia="zh-CN"/>
                    </w:rPr>
                  </w:pPr>
                  <w:r>
                    <w:rPr>
                      <w:rFonts w:hint="eastAsia"/>
                      <w:sz w:val="21"/>
                      <w:szCs w:val="21"/>
                      <w:lang w:val="en-US" w:eastAsia="zh-CN"/>
                    </w:rPr>
                    <w:t>建设内容</w:t>
                  </w:r>
                </w:p>
              </w:tc>
            </w:tr>
            <w:tr w14:paraId="71AAA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restart"/>
                  <w:tcBorders>
                    <w:tl2br w:val="nil"/>
                    <w:tr2bl w:val="nil"/>
                  </w:tcBorders>
                  <w:noWrap w:val="0"/>
                  <w:vAlign w:val="center"/>
                </w:tcPr>
                <w:p w14:paraId="0DB8B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主体工程</w:t>
                  </w:r>
                </w:p>
              </w:tc>
              <w:tc>
                <w:tcPr>
                  <w:tcW w:w="736" w:type="pct"/>
                  <w:tcBorders>
                    <w:tl2br w:val="nil"/>
                    <w:tr2bl w:val="nil"/>
                  </w:tcBorders>
                  <w:noWrap w:val="0"/>
                  <w:vAlign w:val="center"/>
                </w:tcPr>
                <w:p w14:paraId="48B735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颗粒植物提取生产车间</w:t>
                  </w:r>
                </w:p>
              </w:tc>
              <w:tc>
                <w:tcPr>
                  <w:tcW w:w="3846" w:type="pct"/>
                  <w:gridSpan w:val="2"/>
                  <w:tcBorders>
                    <w:tl2br w:val="nil"/>
                    <w:tr2bl w:val="nil"/>
                  </w:tcBorders>
                  <w:noWrap w:val="0"/>
                  <w:vAlign w:val="center"/>
                </w:tcPr>
                <w:p w14:paraId="2D3DE7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钢架结构，占地面积1944m</w:t>
                  </w:r>
                  <w:r>
                    <w:rPr>
                      <w:rFonts w:hint="eastAsia" w:cs="Times New Roman"/>
                      <w:sz w:val="21"/>
                      <w:szCs w:val="21"/>
                      <w:vertAlign w:val="superscript"/>
                      <w:lang w:val="en-US" w:eastAsia="zh-CN"/>
                    </w:rPr>
                    <w:t>2</w:t>
                  </w:r>
                  <w:r>
                    <w:rPr>
                      <w:rFonts w:hint="eastAsia" w:cs="Times New Roman"/>
                      <w:sz w:val="21"/>
                      <w:szCs w:val="21"/>
                      <w:vertAlign w:val="baseline"/>
                      <w:lang w:val="en-US" w:eastAsia="zh-CN"/>
                    </w:rPr>
                    <w:t>，一条日</w:t>
                  </w:r>
                  <w:r>
                    <w:rPr>
                      <w:rFonts w:hint="eastAsia" w:ascii="Times New Roman" w:hAnsi="Times New Roman" w:eastAsia="宋体" w:cs="Times New Roman"/>
                      <w:color w:val="auto"/>
                      <w:kern w:val="2"/>
                      <w:sz w:val="21"/>
                      <w:szCs w:val="21"/>
                      <w:vertAlign w:val="baseline"/>
                      <w:lang w:val="en-US" w:eastAsia="zh-CN" w:bidi="ar-SA"/>
                    </w:rPr>
                    <w:t>加工辣椒颗粒1500吨的萃取生产线</w:t>
                  </w:r>
                  <w:r>
                    <w:rPr>
                      <w:rFonts w:hint="eastAsia"/>
                      <w:lang w:val="en-US" w:eastAsia="zh-CN"/>
                    </w:rPr>
                    <w:t>。</w:t>
                  </w:r>
                </w:p>
              </w:tc>
            </w:tr>
            <w:tr w14:paraId="52A41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40826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p>
              </w:tc>
              <w:tc>
                <w:tcPr>
                  <w:tcW w:w="736" w:type="pct"/>
                  <w:tcBorders>
                    <w:tl2br w:val="nil"/>
                    <w:tr2bl w:val="nil"/>
                  </w:tcBorders>
                  <w:shd w:val="clear" w:color="auto" w:fill="auto"/>
                  <w:noWrap w:val="0"/>
                  <w:vAlign w:val="center"/>
                </w:tcPr>
                <w:p w14:paraId="1C075EF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投料车间</w:t>
                  </w:r>
                </w:p>
              </w:tc>
              <w:tc>
                <w:tcPr>
                  <w:tcW w:w="3846" w:type="pct"/>
                  <w:gridSpan w:val="2"/>
                  <w:tcBorders>
                    <w:tl2br w:val="nil"/>
                    <w:tr2bl w:val="nil"/>
                  </w:tcBorders>
                  <w:shd w:val="clear" w:color="auto" w:fill="auto"/>
                  <w:noWrap w:val="0"/>
                  <w:vAlign w:val="center"/>
                </w:tcPr>
                <w:p w14:paraId="164286E4">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钢架结构，占地面积900m</w:t>
                  </w:r>
                  <w:r>
                    <w:rPr>
                      <w:rFonts w:hint="eastAsia" w:cs="Times New Roman"/>
                      <w:sz w:val="21"/>
                      <w:szCs w:val="21"/>
                      <w:vertAlign w:val="superscript"/>
                      <w:lang w:val="en-US" w:eastAsia="zh-CN"/>
                    </w:rPr>
                    <w:t>2</w:t>
                  </w:r>
                  <w:r>
                    <w:rPr>
                      <w:rFonts w:hint="eastAsia" w:cs="Times New Roman"/>
                      <w:sz w:val="21"/>
                      <w:szCs w:val="21"/>
                      <w:vertAlign w:val="baseline"/>
                      <w:lang w:val="en-US" w:eastAsia="zh-CN"/>
                    </w:rPr>
                    <w:t>，全封闭车间，辣椒颗粒的存储与进料。</w:t>
                  </w:r>
                </w:p>
              </w:tc>
            </w:tr>
            <w:tr w14:paraId="32CE9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322CB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p>
              </w:tc>
              <w:tc>
                <w:tcPr>
                  <w:tcW w:w="736" w:type="pct"/>
                  <w:tcBorders>
                    <w:tl2br w:val="nil"/>
                    <w:tr2bl w:val="nil"/>
                  </w:tcBorders>
                  <w:shd w:val="clear" w:color="auto" w:fill="auto"/>
                  <w:noWrap w:val="0"/>
                  <w:vAlign w:val="center"/>
                </w:tcPr>
                <w:p w14:paraId="320B32F4">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lang w:val="en-US" w:eastAsia="zh-CN"/>
                    </w:rPr>
                    <w:t>辣椒粕车间</w:t>
                  </w:r>
                </w:p>
              </w:tc>
              <w:tc>
                <w:tcPr>
                  <w:tcW w:w="3846" w:type="pct"/>
                  <w:gridSpan w:val="2"/>
                  <w:tcBorders>
                    <w:tl2br w:val="nil"/>
                    <w:tr2bl w:val="nil"/>
                  </w:tcBorders>
                  <w:shd w:val="clear" w:color="auto" w:fill="auto"/>
                  <w:noWrap w:val="0"/>
                  <w:vAlign w:val="center"/>
                </w:tcPr>
                <w:p w14:paraId="6DB5B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sz w:val="21"/>
                      <w:szCs w:val="21"/>
                      <w:lang w:val="en-US" w:eastAsia="zh-CN"/>
                    </w:rPr>
                    <w:t>钢架结构，占地面积720m</w:t>
                  </w:r>
                  <w:r>
                    <w:rPr>
                      <w:rFonts w:hint="eastAsia" w:cs="Times New Roman"/>
                      <w:sz w:val="21"/>
                      <w:szCs w:val="21"/>
                      <w:vertAlign w:val="superscript"/>
                      <w:lang w:val="en-US" w:eastAsia="zh-CN"/>
                    </w:rPr>
                    <w:t>2</w:t>
                  </w:r>
                  <w:r>
                    <w:rPr>
                      <w:rFonts w:hint="eastAsia" w:cs="Times New Roman"/>
                      <w:sz w:val="21"/>
                      <w:szCs w:val="21"/>
                      <w:vertAlign w:val="baseline"/>
                      <w:lang w:val="en-US" w:eastAsia="zh-CN"/>
                    </w:rPr>
                    <w:t>，全封闭车间，辣椒粕的储存与转运。</w:t>
                  </w:r>
                </w:p>
              </w:tc>
            </w:tr>
            <w:tr w14:paraId="41E6E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restart"/>
                  <w:tcBorders>
                    <w:tl2br w:val="nil"/>
                    <w:tr2bl w:val="nil"/>
                  </w:tcBorders>
                  <w:noWrap w:val="0"/>
                  <w:vAlign w:val="center"/>
                </w:tcPr>
                <w:p w14:paraId="22F30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储运工程</w:t>
                  </w:r>
                </w:p>
              </w:tc>
              <w:tc>
                <w:tcPr>
                  <w:tcW w:w="736" w:type="pct"/>
                  <w:tcBorders>
                    <w:tl2br w:val="nil"/>
                    <w:tr2bl w:val="nil"/>
                  </w:tcBorders>
                  <w:shd w:val="clear" w:color="auto" w:fill="auto"/>
                  <w:noWrap w:val="0"/>
                  <w:vAlign w:val="center"/>
                </w:tcPr>
                <w:p w14:paraId="50B7F6D9">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正己烷储罐</w:t>
                  </w:r>
                </w:p>
              </w:tc>
              <w:tc>
                <w:tcPr>
                  <w:tcW w:w="3846" w:type="pct"/>
                  <w:gridSpan w:val="2"/>
                  <w:tcBorders>
                    <w:tl2br w:val="nil"/>
                    <w:tr2bl w:val="nil"/>
                  </w:tcBorders>
                  <w:shd w:val="clear" w:color="auto" w:fill="auto"/>
                  <w:noWrap w:val="0"/>
                  <w:vAlign w:val="center"/>
                </w:tcPr>
                <w:p w14:paraId="3353751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地埋式正己烷储罐6个，每个储罐50m</w:t>
                  </w:r>
                  <w:r>
                    <w:rPr>
                      <w:rFonts w:hint="eastAsia" w:cs="Times New Roman"/>
                      <w:sz w:val="21"/>
                      <w:szCs w:val="21"/>
                      <w:vertAlign w:val="superscript"/>
                      <w:lang w:val="en-US" w:eastAsia="zh-CN"/>
                    </w:rPr>
                    <w:t>3</w:t>
                  </w:r>
                </w:p>
              </w:tc>
            </w:tr>
            <w:tr w14:paraId="717D4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1FF5B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p>
              </w:tc>
              <w:tc>
                <w:tcPr>
                  <w:tcW w:w="736" w:type="pct"/>
                  <w:tcBorders>
                    <w:tl2br w:val="nil"/>
                    <w:tr2bl w:val="nil"/>
                  </w:tcBorders>
                  <w:shd w:val="clear" w:color="auto" w:fill="auto"/>
                  <w:noWrap w:val="0"/>
                  <w:vAlign w:val="center"/>
                </w:tcPr>
                <w:p w14:paraId="1A0FE997">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危险废物贮存库</w:t>
                  </w:r>
                </w:p>
              </w:tc>
              <w:tc>
                <w:tcPr>
                  <w:tcW w:w="3846" w:type="pct"/>
                  <w:gridSpan w:val="2"/>
                  <w:tcBorders>
                    <w:tl2br w:val="nil"/>
                    <w:tr2bl w:val="nil"/>
                  </w:tcBorders>
                  <w:shd w:val="clear" w:color="auto" w:fill="auto"/>
                  <w:noWrap w:val="0"/>
                  <w:vAlign w:val="center"/>
                </w:tcPr>
                <w:p w14:paraId="59ECF382">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混砖结构，1F，</w:t>
                  </w:r>
                  <w:r>
                    <w:rPr>
                      <w:rFonts w:hint="eastAsia" w:cs="Times New Roman"/>
                      <w:sz w:val="21"/>
                      <w:szCs w:val="21"/>
                      <w:lang w:val="en-US" w:eastAsia="zh-CN"/>
                    </w:rPr>
                    <w:t>20m</w:t>
                  </w:r>
                  <w:r>
                    <w:rPr>
                      <w:rFonts w:hint="eastAsia" w:cs="Times New Roman"/>
                      <w:sz w:val="21"/>
                      <w:szCs w:val="21"/>
                      <w:vertAlign w:val="superscript"/>
                      <w:lang w:val="en-US" w:eastAsia="zh-CN"/>
                    </w:rPr>
                    <w:t>2</w:t>
                  </w:r>
                </w:p>
              </w:tc>
            </w:tr>
            <w:tr w14:paraId="02F97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417" w:type="pct"/>
                  <w:vMerge w:val="restart"/>
                  <w:tcBorders>
                    <w:tl2br w:val="nil"/>
                    <w:tr2bl w:val="nil"/>
                  </w:tcBorders>
                  <w:noWrap w:val="0"/>
                  <w:vAlign w:val="center"/>
                </w:tcPr>
                <w:p w14:paraId="57BA9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辅助工程</w:t>
                  </w:r>
                </w:p>
              </w:tc>
              <w:tc>
                <w:tcPr>
                  <w:tcW w:w="736" w:type="pct"/>
                  <w:tcBorders>
                    <w:tl2br w:val="nil"/>
                    <w:tr2bl w:val="nil"/>
                  </w:tcBorders>
                  <w:shd w:val="clear" w:color="auto" w:fill="auto"/>
                  <w:noWrap w:val="0"/>
                  <w:vAlign w:val="center"/>
                </w:tcPr>
                <w:p w14:paraId="484C1921">
                  <w:pPr>
                    <w:pStyle w:val="8"/>
                    <w:keepNext w:val="0"/>
                    <w:keepLines w:val="0"/>
                    <w:suppressLineNumbers w:val="0"/>
                    <w:bidi w:val="0"/>
                    <w:spacing w:before="0" w:beforeAutospacing="0" w:after="0" w:afterAutospacing="0"/>
                    <w:ind w:left="0" w:leftChars="0" w:right="0" w:rightChars="0" w:firstLine="0" w:firstLineChars="0"/>
                    <w:rPr>
                      <w:rFonts w:hint="default" w:cs="Times New Roman"/>
                      <w:sz w:val="21"/>
                      <w:szCs w:val="21"/>
                      <w:lang w:val="en-US" w:eastAsia="zh-CN"/>
                    </w:rPr>
                  </w:pPr>
                  <w:r>
                    <w:rPr>
                      <w:rFonts w:hint="eastAsia" w:cs="Times New Roman"/>
                      <w:sz w:val="21"/>
                      <w:szCs w:val="21"/>
                      <w:lang w:val="en-US" w:eastAsia="zh-CN"/>
                    </w:rPr>
                    <w:t>冷却水塔</w:t>
                  </w:r>
                </w:p>
              </w:tc>
              <w:tc>
                <w:tcPr>
                  <w:tcW w:w="3846" w:type="pct"/>
                  <w:gridSpan w:val="2"/>
                  <w:tcBorders>
                    <w:tl2br w:val="nil"/>
                    <w:tr2bl w:val="nil"/>
                  </w:tcBorders>
                  <w:shd w:val="clear" w:color="auto" w:fill="auto"/>
                  <w:noWrap w:val="0"/>
                  <w:vAlign w:val="center"/>
                </w:tcPr>
                <w:p w14:paraId="05DB0F1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占地面积300m</w:t>
                  </w:r>
                  <w:r>
                    <w:rPr>
                      <w:rFonts w:hint="eastAsia" w:ascii="Times New Roman" w:hAnsi="Times New Roman" w:eastAsia="宋体" w:cs="Times New Roman"/>
                      <w:kern w:val="2"/>
                      <w:sz w:val="21"/>
                      <w:szCs w:val="21"/>
                      <w:vertAlign w:val="superscript"/>
                      <w:lang w:val="en-US" w:eastAsia="zh-CN" w:bidi="ar-SA"/>
                    </w:rPr>
                    <w:t>2</w:t>
                  </w:r>
                </w:p>
              </w:tc>
            </w:tr>
            <w:tr w14:paraId="5A425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17" w:type="pct"/>
                  <w:vMerge w:val="continue"/>
                  <w:tcBorders>
                    <w:tl2br w:val="nil"/>
                    <w:tr2bl w:val="nil"/>
                  </w:tcBorders>
                  <w:noWrap w:val="0"/>
                  <w:vAlign w:val="center"/>
                </w:tcPr>
                <w:p w14:paraId="20BDD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p>
              </w:tc>
              <w:tc>
                <w:tcPr>
                  <w:tcW w:w="736" w:type="pct"/>
                  <w:tcBorders>
                    <w:tl2br w:val="nil"/>
                    <w:tr2bl w:val="nil"/>
                  </w:tcBorders>
                  <w:shd w:val="clear" w:color="auto" w:fill="auto"/>
                  <w:noWrap w:val="0"/>
                  <w:vAlign w:val="center"/>
                </w:tcPr>
                <w:p w14:paraId="7B472284">
                  <w:pPr>
                    <w:pStyle w:val="8"/>
                    <w:keepNext w:val="0"/>
                    <w:keepLines w:val="0"/>
                    <w:suppressLineNumbers w:val="0"/>
                    <w:bidi w:val="0"/>
                    <w:spacing w:before="0" w:beforeAutospacing="0" w:after="0" w:afterAutospacing="0"/>
                    <w:ind w:left="0" w:leftChars="0" w:right="0" w:rightChars="0" w:firstLine="0" w:firstLineChars="0"/>
                    <w:rPr>
                      <w:rFonts w:hint="default" w:cs="Times New Roman"/>
                      <w:sz w:val="21"/>
                      <w:szCs w:val="21"/>
                      <w:lang w:val="en-US" w:eastAsia="zh-CN"/>
                    </w:rPr>
                  </w:pPr>
                  <w:r>
                    <w:rPr>
                      <w:rFonts w:hint="eastAsia" w:cs="Times New Roman"/>
                      <w:sz w:val="21"/>
                      <w:szCs w:val="21"/>
                      <w:lang w:val="en-US" w:eastAsia="zh-CN"/>
                    </w:rPr>
                    <w:t>高压室</w:t>
                  </w:r>
                </w:p>
              </w:tc>
              <w:tc>
                <w:tcPr>
                  <w:tcW w:w="3846" w:type="pct"/>
                  <w:gridSpan w:val="2"/>
                  <w:tcBorders>
                    <w:tl2br w:val="nil"/>
                    <w:tr2bl w:val="nil"/>
                  </w:tcBorders>
                  <w:shd w:val="clear" w:color="auto" w:fill="auto"/>
                  <w:noWrap w:val="0"/>
                  <w:vAlign w:val="center"/>
                </w:tcPr>
                <w:p w14:paraId="7999CD6C">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占地面积97.95m</w:t>
                  </w:r>
                  <w:r>
                    <w:rPr>
                      <w:rFonts w:hint="eastAsia" w:ascii="Times New Roman" w:hAnsi="Times New Roman" w:eastAsia="宋体" w:cs="Times New Roman"/>
                      <w:kern w:val="2"/>
                      <w:sz w:val="21"/>
                      <w:szCs w:val="21"/>
                      <w:vertAlign w:val="superscript"/>
                      <w:lang w:val="en-US" w:eastAsia="zh-CN" w:bidi="ar-SA"/>
                    </w:rPr>
                    <w:t>2</w:t>
                  </w:r>
                </w:p>
              </w:tc>
            </w:tr>
            <w:tr w14:paraId="5DA4D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restart"/>
                  <w:tcBorders>
                    <w:tl2br w:val="nil"/>
                    <w:tr2bl w:val="nil"/>
                  </w:tcBorders>
                  <w:noWrap w:val="0"/>
                  <w:vAlign w:val="center"/>
                </w:tcPr>
                <w:p w14:paraId="59700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sz w:val="21"/>
                      <w:szCs w:val="21"/>
                      <w:lang w:val="en-US" w:eastAsia="zh-CN"/>
                    </w:rPr>
                  </w:pPr>
                  <w:r>
                    <w:rPr>
                      <w:rFonts w:hint="eastAsia" w:cs="Times New Roman"/>
                      <w:color w:val="auto"/>
                      <w:sz w:val="21"/>
                      <w:szCs w:val="21"/>
                      <w:lang w:val="en-US" w:eastAsia="zh-CN"/>
                    </w:rPr>
                    <w:t>依托工程</w:t>
                  </w:r>
                </w:p>
              </w:tc>
              <w:tc>
                <w:tcPr>
                  <w:tcW w:w="736" w:type="pct"/>
                  <w:tcBorders>
                    <w:tl2br w:val="nil"/>
                    <w:tr2bl w:val="nil"/>
                  </w:tcBorders>
                  <w:shd w:val="clear" w:color="auto" w:fill="auto"/>
                  <w:noWrap w:val="0"/>
                  <w:vAlign w:val="center"/>
                </w:tcPr>
                <w:p w14:paraId="16935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办公生活区</w:t>
                  </w:r>
                </w:p>
              </w:tc>
              <w:tc>
                <w:tcPr>
                  <w:tcW w:w="3846" w:type="pct"/>
                  <w:gridSpan w:val="2"/>
                  <w:tcBorders>
                    <w:tl2br w:val="nil"/>
                    <w:tr2bl w:val="nil"/>
                  </w:tcBorders>
                  <w:shd w:val="clear" w:color="auto" w:fill="auto"/>
                  <w:noWrap w:val="0"/>
                  <w:vAlign w:val="center"/>
                </w:tcPr>
                <w:p w14:paraId="4B9D26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依托</w:t>
                  </w:r>
                  <w:r>
                    <w:rPr>
                      <w:rFonts w:hint="eastAsia" w:ascii="Times New Roman" w:hAnsi="Times New Roman" w:eastAsia="宋体" w:cs="Times New Roman"/>
                      <w:kern w:val="2"/>
                      <w:sz w:val="21"/>
                      <w:szCs w:val="21"/>
                      <w:lang w:val="en-US" w:eastAsia="zh-CN" w:bidi="ar-SA"/>
                    </w:rPr>
                    <w:t>晨光生物科技集团焉耆有限公司现有</w:t>
                  </w:r>
                  <w:r>
                    <w:rPr>
                      <w:rFonts w:hint="eastAsia" w:cs="Times New Roman"/>
                      <w:color w:val="auto"/>
                      <w:sz w:val="21"/>
                      <w:szCs w:val="21"/>
                      <w:lang w:val="en-US" w:eastAsia="zh-CN"/>
                    </w:rPr>
                    <w:t>宿舍楼</w:t>
                  </w:r>
                  <w:r>
                    <w:rPr>
                      <w:rFonts w:hint="eastAsia" w:ascii="Times New Roman" w:hAnsi="Times New Roman" w:eastAsia="宋体" w:cs="Times New Roman"/>
                      <w:kern w:val="2"/>
                      <w:sz w:val="21"/>
                      <w:szCs w:val="21"/>
                      <w:lang w:val="en-US" w:eastAsia="zh-CN" w:bidi="ar-SA"/>
                    </w:rPr>
                    <w:t>，位于本项目区西南侧</w:t>
                  </w:r>
                  <w:r>
                    <w:rPr>
                      <w:rFonts w:hint="eastAsia" w:cs="Times New Roman"/>
                      <w:sz w:val="21"/>
                      <w:szCs w:val="21"/>
                      <w:lang w:val="en-US" w:eastAsia="zh-CN"/>
                    </w:rPr>
                    <w:t>，混砖结构，3F，建筑面积1200m</w:t>
                  </w:r>
                  <w:r>
                    <w:rPr>
                      <w:rFonts w:hint="eastAsia" w:cs="Times New Roman"/>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p>
              </w:tc>
            </w:tr>
            <w:tr w14:paraId="7A29F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5D3C84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p>
              </w:tc>
              <w:tc>
                <w:tcPr>
                  <w:tcW w:w="736" w:type="pct"/>
                  <w:tcBorders>
                    <w:tl2br w:val="nil"/>
                    <w:tr2bl w:val="nil"/>
                  </w:tcBorders>
                  <w:shd w:val="clear" w:color="auto" w:fill="auto"/>
                  <w:noWrap w:val="0"/>
                  <w:vAlign w:val="center"/>
                </w:tcPr>
                <w:p w14:paraId="7735C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供热</w:t>
                  </w:r>
                </w:p>
              </w:tc>
              <w:tc>
                <w:tcPr>
                  <w:tcW w:w="3846" w:type="pct"/>
                  <w:gridSpan w:val="2"/>
                  <w:tcBorders>
                    <w:tl2br w:val="nil"/>
                    <w:tr2bl w:val="nil"/>
                  </w:tcBorders>
                  <w:shd w:val="clear" w:color="auto" w:fill="auto"/>
                  <w:noWrap w:val="0"/>
                  <w:vAlign w:val="center"/>
                </w:tcPr>
                <w:p w14:paraId="1DBF90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颗粒植物提取生产车间供热</w:t>
                  </w:r>
                  <w:r>
                    <w:rPr>
                      <w:rFonts w:hint="eastAsia" w:cs="Times New Roman"/>
                      <w:color w:val="auto"/>
                      <w:sz w:val="21"/>
                      <w:szCs w:val="21"/>
                      <w:lang w:val="en-US" w:eastAsia="zh-CN"/>
                    </w:rPr>
                    <w:t>外购</w:t>
                  </w:r>
                  <w:r>
                    <w:rPr>
                      <w:rFonts w:hint="eastAsia" w:ascii="Times New Roman" w:hAnsi="Times New Roman" w:eastAsia="宋体" w:cs="Times New Roman"/>
                      <w:kern w:val="2"/>
                      <w:sz w:val="21"/>
                      <w:szCs w:val="21"/>
                      <w:lang w:val="en-US" w:eastAsia="zh-CN" w:bidi="ar-SA"/>
                    </w:rPr>
                    <w:t>巴州晨光植物蛋白有限公司</w:t>
                  </w:r>
                  <w:r>
                    <w:rPr>
                      <w:rFonts w:hint="eastAsia" w:cs="Times New Roman"/>
                      <w:color w:val="auto"/>
                      <w:sz w:val="21"/>
                      <w:szCs w:val="21"/>
                      <w:lang w:val="en-US" w:eastAsia="zh-CN"/>
                    </w:rPr>
                    <w:t>蒸汽</w:t>
                  </w:r>
                  <w:r>
                    <w:rPr>
                      <w:rFonts w:hint="eastAsia" w:ascii="Times New Roman" w:hAnsi="Times New Roman" w:eastAsia="宋体" w:cs="Times New Roman"/>
                      <w:color w:val="auto"/>
                      <w:sz w:val="21"/>
                      <w:szCs w:val="21"/>
                      <w:lang w:val="en-US" w:eastAsia="zh-CN"/>
                    </w:rPr>
                    <w:t>；</w:t>
                  </w:r>
                </w:p>
              </w:tc>
            </w:tr>
            <w:tr w14:paraId="7B5E1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restart"/>
                  <w:tcBorders>
                    <w:tl2br w:val="nil"/>
                    <w:tr2bl w:val="nil"/>
                  </w:tcBorders>
                  <w:noWrap w:val="0"/>
                  <w:vAlign w:val="center"/>
                </w:tcPr>
                <w:p w14:paraId="64BAE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公用工程</w:t>
                  </w:r>
                </w:p>
              </w:tc>
              <w:tc>
                <w:tcPr>
                  <w:tcW w:w="736" w:type="pct"/>
                  <w:tcBorders>
                    <w:tl2br w:val="nil"/>
                    <w:tr2bl w:val="nil"/>
                  </w:tcBorders>
                  <w:shd w:val="clear" w:color="auto" w:fill="auto"/>
                  <w:noWrap w:val="0"/>
                  <w:vAlign w:val="center"/>
                </w:tcPr>
                <w:p w14:paraId="0E5AB121">
                  <w:pPr>
                    <w:pStyle w:val="1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olor w:val="000000"/>
                      <w:sz w:val="21"/>
                      <w:szCs w:val="21"/>
                    </w:rPr>
                    <w:t>供水</w:t>
                  </w:r>
                </w:p>
              </w:tc>
              <w:tc>
                <w:tcPr>
                  <w:tcW w:w="3846" w:type="pct"/>
                  <w:gridSpan w:val="2"/>
                  <w:tcBorders>
                    <w:tl2br w:val="nil"/>
                    <w:tr2bl w:val="nil"/>
                  </w:tcBorders>
                  <w:shd w:val="clear" w:color="auto" w:fill="auto"/>
                  <w:noWrap w:val="0"/>
                  <w:vAlign w:val="center"/>
                </w:tcPr>
                <w:p w14:paraId="57405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厂区</w:t>
                  </w:r>
                  <w:r>
                    <w:rPr>
                      <w:rFonts w:hint="eastAsia" w:eastAsia="宋体"/>
                      <w:color w:val="000000"/>
                      <w:sz w:val="21"/>
                      <w:szCs w:val="21"/>
                      <w:lang w:val="en-US" w:eastAsia="zh-CN"/>
                    </w:rPr>
                    <w:t>供水管网</w:t>
                  </w:r>
                </w:p>
              </w:tc>
            </w:tr>
            <w:tr w14:paraId="09DDF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78C654D2">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tcBorders>
                    <w:tl2br w:val="nil"/>
                    <w:tr2bl w:val="nil"/>
                  </w:tcBorders>
                  <w:shd w:val="clear" w:color="auto" w:fill="auto"/>
                  <w:noWrap w:val="0"/>
                  <w:vAlign w:val="center"/>
                </w:tcPr>
                <w:p w14:paraId="030BF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供电</w:t>
                  </w:r>
                </w:p>
              </w:tc>
              <w:tc>
                <w:tcPr>
                  <w:tcW w:w="3846" w:type="pct"/>
                  <w:gridSpan w:val="2"/>
                  <w:tcBorders>
                    <w:tl2br w:val="nil"/>
                    <w:tr2bl w:val="nil"/>
                  </w:tcBorders>
                  <w:shd w:val="clear" w:color="auto" w:fill="auto"/>
                  <w:noWrap w:val="0"/>
                  <w:vAlign w:val="center"/>
                </w:tcPr>
                <w:p w14:paraId="05D3C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国家电网</w:t>
                  </w:r>
                </w:p>
              </w:tc>
            </w:tr>
            <w:tr w14:paraId="31C14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16D860FB">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tcBorders>
                    <w:tl2br w:val="nil"/>
                    <w:tr2bl w:val="nil"/>
                  </w:tcBorders>
                  <w:shd w:val="clear" w:color="auto" w:fill="auto"/>
                  <w:noWrap w:val="0"/>
                  <w:vAlign w:val="center"/>
                </w:tcPr>
                <w:p w14:paraId="4F4A6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供暖</w:t>
                  </w:r>
                </w:p>
              </w:tc>
              <w:tc>
                <w:tcPr>
                  <w:tcW w:w="3846" w:type="pct"/>
                  <w:gridSpan w:val="2"/>
                  <w:tcBorders>
                    <w:tl2br w:val="nil"/>
                    <w:tr2bl w:val="nil"/>
                  </w:tcBorders>
                  <w:shd w:val="clear" w:color="auto" w:fill="auto"/>
                  <w:noWrap w:val="0"/>
                  <w:vAlign w:val="center"/>
                </w:tcPr>
                <w:p w14:paraId="62F42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车间内无需供暖</w:t>
                  </w:r>
                </w:p>
              </w:tc>
            </w:tr>
            <w:tr w14:paraId="06ADA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restart"/>
                  <w:tcBorders>
                    <w:tl2br w:val="nil"/>
                    <w:tr2bl w:val="nil"/>
                  </w:tcBorders>
                  <w:noWrap w:val="0"/>
                  <w:vAlign w:val="center"/>
                </w:tcPr>
                <w:p w14:paraId="4B1BA166">
                  <w:pPr>
                    <w:pStyle w:val="8"/>
                    <w:keepNext w:val="0"/>
                    <w:keepLines w:val="0"/>
                    <w:suppressLineNumbers w:val="0"/>
                    <w:bidi w:val="0"/>
                    <w:spacing w:before="0" w:beforeAutospacing="0" w:after="0" w:afterAutospacing="0"/>
                    <w:ind w:left="0" w:right="0"/>
                    <w:rPr>
                      <w:rFonts w:hint="eastAsia"/>
                      <w:sz w:val="21"/>
                      <w:szCs w:val="21"/>
                      <w:lang w:val="en-US" w:eastAsia="zh-CN"/>
                    </w:rPr>
                  </w:pPr>
                  <w:r>
                    <w:rPr>
                      <w:rFonts w:hint="eastAsia"/>
                      <w:sz w:val="21"/>
                      <w:szCs w:val="21"/>
                      <w:lang w:val="en-US" w:eastAsia="zh-CN"/>
                    </w:rPr>
                    <w:t>环保工程</w:t>
                  </w:r>
                </w:p>
              </w:tc>
              <w:tc>
                <w:tcPr>
                  <w:tcW w:w="736" w:type="pct"/>
                  <w:vMerge w:val="restart"/>
                  <w:tcBorders>
                    <w:tl2br w:val="nil"/>
                    <w:tr2bl w:val="nil"/>
                  </w:tcBorders>
                  <w:noWrap w:val="0"/>
                  <w:vAlign w:val="center"/>
                </w:tcPr>
                <w:p w14:paraId="2EDA5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废气处理</w:t>
                  </w:r>
                </w:p>
              </w:tc>
              <w:tc>
                <w:tcPr>
                  <w:tcW w:w="681" w:type="pct"/>
                  <w:tcBorders>
                    <w:tl2br w:val="nil"/>
                    <w:tr2bl w:val="nil"/>
                  </w:tcBorders>
                  <w:noWrap w:val="0"/>
                  <w:vAlign w:val="center"/>
                </w:tcPr>
                <w:p w14:paraId="0862C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烘干降温废气</w:t>
                  </w:r>
                </w:p>
              </w:tc>
              <w:tc>
                <w:tcPr>
                  <w:tcW w:w="3164" w:type="pct"/>
                  <w:tcBorders>
                    <w:tl2br w:val="nil"/>
                    <w:tr2bl w:val="nil"/>
                  </w:tcBorders>
                  <w:noWrap w:val="0"/>
                  <w:vAlign w:val="center"/>
                </w:tcPr>
                <w:p w14:paraId="660CA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sz w:val="21"/>
                      <w:szCs w:val="21"/>
                      <w:lang w:val="en-US" w:eastAsia="zh-CN"/>
                    </w:rPr>
                    <w:t>烘干废气经过</w:t>
                  </w:r>
                  <w:r>
                    <w:rPr>
                      <w:rFonts w:hint="eastAsia" w:ascii="Times New Roman" w:hAnsi="Times New Roman" w:eastAsia="宋体" w:cs="Times New Roman"/>
                      <w:color w:val="auto"/>
                      <w:sz w:val="21"/>
                      <w:szCs w:val="21"/>
                      <w:lang w:val="en-US" w:eastAsia="zh-CN"/>
                    </w:rPr>
                    <w:t>二级旋风除尘</w:t>
                  </w:r>
                  <w:r>
                    <w:rPr>
                      <w:rFonts w:hint="eastAsia" w:cs="Times New Roman"/>
                      <w:color w:val="auto"/>
                      <w:sz w:val="21"/>
                      <w:szCs w:val="21"/>
                      <w:lang w:val="en-US" w:eastAsia="zh-CN"/>
                    </w:rPr>
                    <w:t>+布袋除尘</w:t>
                  </w:r>
                  <w:r>
                    <w:rPr>
                      <w:rFonts w:hint="eastAsia" w:ascii="Times New Roman" w:hAnsi="Times New Roman" w:eastAsia="宋体" w:cs="Times New Roman"/>
                      <w:color w:val="auto"/>
                      <w:sz w:val="21"/>
                      <w:szCs w:val="21"/>
                      <w:lang w:val="en-US" w:eastAsia="zh-CN"/>
                    </w:rPr>
                    <w:t>器</w:t>
                  </w:r>
                  <w:r>
                    <w:rPr>
                      <w:rFonts w:hint="eastAsia" w:ascii="Times New Roman" w:hAnsi="Times New Roman" w:cs="Times New Roman"/>
                      <w:color w:val="auto"/>
                      <w:sz w:val="21"/>
                      <w:szCs w:val="21"/>
                      <w:lang w:val="en-US" w:eastAsia="zh-CN"/>
                    </w:rPr>
                    <w:t>处理后，</w:t>
                  </w:r>
                  <w:r>
                    <w:rPr>
                      <w:rFonts w:hint="eastAsia" w:ascii="Times New Roman" w:hAnsi="Times New Roman" w:eastAsia="宋体" w:cs="Times New Roman"/>
                      <w:color w:val="auto"/>
                      <w:sz w:val="21"/>
                      <w:szCs w:val="21"/>
                      <w:lang w:val="en-US" w:eastAsia="zh-CN"/>
                    </w:rPr>
                    <w:t>经</w:t>
                  </w:r>
                  <w:r>
                    <w:rPr>
                      <w:rFonts w:hint="eastAsia" w:cs="Times New Roman"/>
                      <w:color w:val="auto"/>
                      <w:sz w:val="21"/>
                      <w:szCs w:val="21"/>
                      <w:lang w:val="en-US" w:eastAsia="zh-CN"/>
                    </w:rPr>
                    <w:t>1个</w:t>
                  </w:r>
                  <w:r>
                    <w:rPr>
                      <w:rFonts w:hint="eastAsia" w:ascii="Times New Roman" w:hAnsi="Times New Roman" w:eastAsia="宋体" w:cs="Times New Roman"/>
                      <w:color w:val="auto"/>
                      <w:sz w:val="21"/>
                      <w:szCs w:val="21"/>
                      <w:lang w:val="en-US" w:eastAsia="zh-CN"/>
                    </w:rPr>
                    <w:t>15m高排气筒排放</w:t>
                  </w:r>
                </w:p>
              </w:tc>
            </w:tr>
            <w:tr w14:paraId="1B4FC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noWrap w:val="0"/>
                  <w:vAlign w:val="center"/>
                </w:tcPr>
                <w:p w14:paraId="47188718">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vMerge w:val="continue"/>
                  <w:tcBorders>
                    <w:tl2br w:val="nil"/>
                    <w:tr2bl w:val="nil"/>
                  </w:tcBorders>
                  <w:noWrap w:val="0"/>
                  <w:vAlign w:val="center"/>
                </w:tcPr>
                <w:p w14:paraId="2B9FDF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highlight w:val="none"/>
                      <w:lang w:val="en-US" w:eastAsia="zh-CN"/>
                    </w:rPr>
                  </w:pPr>
                </w:p>
              </w:tc>
              <w:tc>
                <w:tcPr>
                  <w:tcW w:w="681" w:type="pct"/>
                  <w:tcBorders>
                    <w:tl2br w:val="nil"/>
                    <w:tr2bl w:val="nil"/>
                  </w:tcBorders>
                  <w:noWrap w:val="0"/>
                  <w:vAlign w:val="center"/>
                </w:tcPr>
                <w:p w14:paraId="03F45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蒸汽冷凝尾气</w:t>
                  </w:r>
                </w:p>
              </w:tc>
              <w:tc>
                <w:tcPr>
                  <w:tcW w:w="3164" w:type="pct"/>
                  <w:tcBorders>
                    <w:tl2br w:val="nil"/>
                    <w:tr2bl w:val="nil"/>
                  </w:tcBorders>
                  <w:noWrap w:val="0"/>
                  <w:vAlign w:val="center"/>
                </w:tcPr>
                <w:p w14:paraId="5E75E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不凝尾气经</w:t>
                  </w:r>
                  <w:r>
                    <w:rPr>
                      <w:rFonts w:hint="eastAsia" w:eastAsia="宋体" w:cs="Times New Roman"/>
                      <w:color w:val="auto"/>
                      <w:sz w:val="21"/>
                      <w:szCs w:val="21"/>
                      <w:lang w:val="en-US" w:eastAsia="zh-CN"/>
                    </w:rPr>
                    <w:t>三级循环水冷凝+冷冻</w:t>
                  </w:r>
                  <w:r>
                    <w:rPr>
                      <w:rFonts w:hint="eastAsia" w:cs="Times New Roman"/>
                      <w:color w:val="auto"/>
                      <w:sz w:val="21"/>
                      <w:szCs w:val="21"/>
                      <w:lang w:val="en-US" w:eastAsia="zh-CN"/>
                    </w:rPr>
                    <w:t>回收处理后</w:t>
                  </w:r>
                  <w:r>
                    <w:rPr>
                      <w:rFonts w:hint="eastAsia" w:ascii="Times New Roman" w:hAnsi="Times New Roman" w:eastAsia="宋体" w:cs="Times New Roman"/>
                      <w:color w:val="auto"/>
                      <w:sz w:val="21"/>
                      <w:szCs w:val="21"/>
                      <w:lang w:val="en-US" w:eastAsia="zh-CN"/>
                    </w:rPr>
                    <w:t>经15m高排气筒排放</w:t>
                  </w:r>
                </w:p>
              </w:tc>
            </w:tr>
            <w:tr w14:paraId="25416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tcPr>
                <w:p w14:paraId="0848F76F">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tcBorders>
                    <w:tl2br w:val="nil"/>
                    <w:tr2bl w:val="nil"/>
                  </w:tcBorders>
                  <w:vAlign w:val="center"/>
                </w:tcPr>
                <w:p w14:paraId="6FB477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废水处理</w:t>
                  </w:r>
                </w:p>
              </w:tc>
              <w:tc>
                <w:tcPr>
                  <w:tcW w:w="3846" w:type="pct"/>
                  <w:gridSpan w:val="2"/>
                  <w:tcBorders>
                    <w:tl2br w:val="nil"/>
                    <w:tr2bl w:val="nil"/>
                  </w:tcBorders>
                  <w:vAlign w:val="center"/>
                </w:tcPr>
                <w:p w14:paraId="1974A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冷却水循环使用，不外排，生活污水排入园区管网</w:t>
                  </w:r>
                </w:p>
              </w:tc>
            </w:tr>
            <w:tr w14:paraId="087B0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tcPr>
                <w:p w14:paraId="565318E8">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tcBorders>
                    <w:tl2br w:val="nil"/>
                    <w:tr2bl w:val="nil"/>
                  </w:tcBorders>
                  <w:vAlign w:val="center"/>
                </w:tcPr>
                <w:p w14:paraId="40C9F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rPr>
                    <w:t>噪声处理</w:t>
                  </w:r>
                </w:p>
              </w:tc>
              <w:tc>
                <w:tcPr>
                  <w:tcW w:w="3846" w:type="pct"/>
                  <w:gridSpan w:val="2"/>
                  <w:tcBorders>
                    <w:tl2br w:val="nil"/>
                    <w:tr2bl w:val="nil"/>
                  </w:tcBorders>
                  <w:vAlign w:val="center"/>
                </w:tcPr>
                <w:p w14:paraId="5A561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合理布局，采取减振、隔音、消音的措施，有效降低噪声产生</w:t>
                  </w:r>
                </w:p>
              </w:tc>
            </w:tr>
            <w:tr w14:paraId="129FC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tcPr>
                <w:p w14:paraId="4E4A73CF">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vMerge w:val="restart"/>
                  <w:tcBorders>
                    <w:tl2br w:val="nil"/>
                    <w:tr2bl w:val="nil"/>
                  </w:tcBorders>
                  <w:vAlign w:val="center"/>
                </w:tcPr>
                <w:p w14:paraId="7D9CF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rPr>
                    <w:t>固废处理</w:t>
                  </w:r>
                </w:p>
              </w:tc>
              <w:tc>
                <w:tcPr>
                  <w:tcW w:w="681" w:type="pct"/>
                  <w:tcBorders>
                    <w:tl2br w:val="nil"/>
                    <w:tr2bl w:val="nil"/>
                  </w:tcBorders>
                  <w:vAlign w:val="center"/>
                </w:tcPr>
                <w:p w14:paraId="3E036B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一般固废</w:t>
                  </w:r>
                </w:p>
              </w:tc>
              <w:tc>
                <w:tcPr>
                  <w:tcW w:w="3164" w:type="pct"/>
                  <w:tcBorders>
                    <w:tl2br w:val="nil"/>
                    <w:tr2bl w:val="nil"/>
                  </w:tcBorders>
                </w:tcPr>
                <w:p w14:paraId="72305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辣椒粕可外售饲料厂</w:t>
                  </w:r>
                </w:p>
              </w:tc>
            </w:tr>
            <w:tr w14:paraId="24215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tcPr>
                <w:p w14:paraId="41241F16">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vMerge w:val="continue"/>
                  <w:tcBorders>
                    <w:tl2br w:val="nil"/>
                    <w:tr2bl w:val="nil"/>
                  </w:tcBorders>
                  <w:vAlign w:val="center"/>
                </w:tcPr>
                <w:p w14:paraId="7A1D47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000000"/>
                      <w:sz w:val="21"/>
                      <w:szCs w:val="21"/>
                    </w:rPr>
                  </w:pPr>
                </w:p>
              </w:tc>
              <w:tc>
                <w:tcPr>
                  <w:tcW w:w="681" w:type="pct"/>
                  <w:tcBorders>
                    <w:tl2br w:val="nil"/>
                    <w:tr2bl w:val="nil"/>
                  </w:tcBorders>
                  <w:vAlign w:val="center"/>
                </w:tcPr>
                <w:p w14:paraId="0D319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危险废物</w:t>
                  </w:r>
                </w:p>
              </w:tc>
              <w:tc>
                <w:tcPr>
                  <w:tcW w:w="3164" w:type="pct"/>
                  <w:tcBorders>
                    <w:tl2br w:val="nil"/>
                    <w:tr2bl w:val="nil"/>
                  </w:tcBorders>
                  <w:vAlign w:val="top"/>
                </w:tcPr>
                <w:p w14:paraId="51ECD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危险废物集中收集至危险废物贮存库，建筑面积20m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，定期委托有资质单位定期处理</w:t>
                  </w:r>
                </w:p>
              </w:tc>
            </w:tr>
            <w:tr w14:paraId="68C21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7" w:type="pct"/>
                  <w:vMerge w:val="continue"/>
                  <w:tcBorders>
                    <w:tl2br w:val="nil"/>
                    <w:tr2bl w:val="nil"/>
                  </w:tcBorders>
                </w:tcPr>
                <w:p w14:paraId="491A4973">
                  <w:pPr>
                    <w:pStyle w:val="8"/>
                    <w:keepNext w:val="0"/>
                    <w:keepLines w:val="0"/>
                    <w:suppressLineNumbers w:val="0"/>
                    <w:bidi w:val="0"/>
                    <w:spacing w:before="0" w:beforeAutospacing="0" w:after="0" w:afterAutospacing="0"/>
                    <w:ind w:left="0" w:right="0"/>
                    <w:rPr>
                      <w:rFonts w:hint="eastAsia"/>
                      <w:sz w:val="21"/>
                      <w:szCs w:val="21"/>
                      <w:lang w:val="en-US" w:eastAsia="zh-CN"/>
                    </w:rPr>
                  </w:pPr>
                </w:p>
              </w:tc>
              <w:tc>
                <w:tcPr>
                  <w:tcW w:w="736" w:type="pct"/>
                  <w:tcBorders>
                    <w:tl2br w:val="nil"/>
                    <w:tr2bl w:val="nil"/>
                  </w:tcBorders>
                  <w:vAlign w:val="center"/>
                </w:tcPr>
                <w:p w14:paraId="53921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风险</w:t>
                  </w:r>
                </w:p>
              </w:tc>
              <w:tc>
                <w:tcPr>
                  <w:tcW w:w="3846" w:type="pct"/>
                  <w:gridSpan w:val="2"/>
                  <w:tcBorders>
                    <w:tl2br w:val="nil"/>
                    <w:tr2bl w:val="nil"/>
                  </w:tcBorders>
                  <w:vAlign w:val="center"/>
                </w:tcPr>
                <w:p w14:paraId="6440D248">
                  <w:pPr>
                    <w:pStyle w:val="8"/>
                    <w:keepNext w:val="0"/>
                    <w:keepLines w:val="0"/>
                    <w:suppressLineNumbers w:val="0"/>
                    <w:bidi w:val="0"/>
                    <w:spacing w:before="0" w:beforeAutospacing="0" w:after="0" w:afterAutospacing="0"/>
                    <w:ind w:left="0" w:right="0"/>
                    <w:rPr>
                      <w:rFonts w:hint="default" w:cs="Times New Roman"/>
                      <w:color w:val="auto"/>
                      <w:szCs w:val="21"/>
                      <w:highlight w:val="none"/>
                      <w:lang w:val="en-US" w:eastAsia="zh-CN"/>
                    </w:rPr>
                  </w:pPr>
                  <w:r>
                    <w:rPr>
                      <w:rFonts w:hint="eastAsia"/>
                      <w:lang w:val="en-US" w:eastAsia="zh-CN"/>
                    </w:rPr>
                    <w:t>罐区、车间设有可燃气体报警仪；设置火灾报警器、监控，应编制应急预案，储备应急物资。</w:t>
                  </w:r>
                </w:p>
              </w:tc>
            </w:tr>
          </w:tbl>
          <w:p w14:paraId="51317FF1">
            <w:pPr>
              <w:pStyle w:val="4"/>
              <w:numPr>
                <w:ilvl w:val="0"/>
                <w:numId w:val="2"/>
              </w:numPr>
              <w:suppressLineNumbers w:val="0"/>
              <w:bidi w:val="0"/>
              <w:spacing w:before="0" w:beforeAutospacing="0" w:after="0" w:afterAutospacing="0"/>
              <w:ind w:left="0" w:right="0"/>
              <w:rPr>
                <w:rFonts w:hint="eastAsia"/>
                <w:lang w:val="en-US" w:eastAsia="zh-CN"/>
              </w:rPr>
            </w:pPr>
            <w:r>
              <w:rPr>
                <w:rFonts w:hint="eastAsia"/>
                <w:lang w:val="en-US" w:eastAsia="zh-CN"/>
              </w:rPr>
              <w:t>主要产品产能</w:t>
            </w:r>
          </w:p>
          <w:p w14:paraId="12E01FF0">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新建一条日加工辣椒颗粒1500吨的萃取生产线，年处理辣椒颗粒4.5万吨，年产红辣素2700吨。</w:t>
            </w:r>
          </w:p>
          <w:p w14:paraId="664F5457">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表2-2                     主要产品产能表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167"/>
              <w:gridCol w:w="928"/>
              <w:gridCol w:w="834"/>
              <w:gridCol w:w="1554"/>
              <w:gridCol w:w="2909"/>
            </w:tblGrid>
            <w:tr w14:paraId="1A2B2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6" w:type="pct"/>
                  <w:tcBorders>
                    <w:tl2br w:val="nil"/>
                    <w:tr2bl w:val="nil"/>
                  </w:tcBorders>
                  <w:noWrap w:val="0"/>
                  <w:vAlign w:val="center"/>
                </w:tcPr>
                <w:p w14:paraId="797408D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序号</w:t>
                  </w:r>
                </w:p>
              </w:tc>
              <w:tc>
                <w:tcPr>
                  <w:tcW w:w="722" w:type="pct"/>
                  <w:tcBorders>
                    <w:tl2br w:val="nil"/>
                    <w:tr2bl w:val="nil"/>
                  </w:tcBorders>
                  <w:noWrap w:val="0"/>
                  <w:vAlign w:val="center"/>
                </w:tcPr>
                <w:p w14:paraId="04587E8F">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名称</w:t>
                  </w:r>
                </w:p>
              </w:tc>
              <w:tc>
                <w:tcPr>
                  <w:tcW w:w="574" w:type="pct"/>
                  <w:tcBorders>
                    <w:tl2br w:val="nil"/>
                    <w:tr2bl w:val="nil"/>
                  </w:tcBorders>
                  <w:noWrap w:val="0"/>
                  <w:vAlign w:val="center"/>
                </w:tcPr>
                <w:p w14:paraId="4DC3D7E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单位</w:t>
                  </w:r>
                </w:p>
              </w:tc>
              <w:tc>
                <w:tcPr>
                  <w:tcW w:w="516" w:type="pct"/>
                  <w:tcBorders>
                    <w:tl2br w:val="nil"/>
                    <w:tr2bl w:val="nil"/>
                  </w:tcBorders>
                  <w:noWrap w:val="0"/>
                  <w:vAlign w:val="center"/>
                </w:tcPr>
                <w:p w14:paraId="75F8A340">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产量</w:t>
                  </w:r>
                </w:p>
              </w:tc>
              <w:tc>
                <w:tcPr>
                  <w:tcW w:w="961" w:type="pct"/>
                  <w:tcBorders>
                    <w:tl2br w:val="nil"/>
                    <w:tr2bl w:val="nil"/>
                  </w:tcBorders>
                  <w:noWrap w:val="0"/>
                  <w:vAlign w:val="center"/>
                </w:tcPr>
                <w:p w14:paraId="6DCF9AFA">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去向</w:t>
                  </w:r>
                </w:p>
              </w:tc>
              <w:tc>
                <w:tcPr>
                  <w:tcW w:w="1799" w:type="pct"/>
                  <w:tcBorders>
                    <w:tl2br w:val="nil"/>
                    <w:tr2bl w:val="nil"/>
                  </w:tcBorders>
                  <w:noWrap w:val="0"/>
                  <w:vAlign w:val="center"/>
                </w:tcPr>
                <w:p w14:paraId="62F7846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产品参考要求</w:t>
                  </w:r>
                </w:p>
              </w:tc>
            </w:tr>
            <w:tr w14:paraId="3DFB0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6" w:type="pct"/>
                  <w:tcBorders>
                    <w:tl2br w:val="nil"/>
                    <w:tr2bl w:val="nil"/>
                  </w:tcBorders>
                  <w:noWrap w:val="0"/>
                  <w:vAlign w:val="center"/>
                </w:tcPr>
                <w:p w14:paraId="4054344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722" w:type="pct"/>
                  <w:tcBorders>
                    <w:tl2br w:val="nil"/>
                    <w:tr2bl w:val="nil"/>
                  </w:tcBorders>
                  <w:shd w:val="clear" w:color="auto" w:fill="auto"/>
                  <w:noWrap w:val="0"/>
                  <w:vAlign w:val="center"/>
                </w:tcPr>
                <w:p w14:paraId="4F6D0743">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红辣素</w:t>
                  </w:r>
                </w:p>
              </w:tc>
              <w:tc>
                <w:tcPr>
                  <w:tcW w:w="574" w:type="pct"/>
                  <w:tcBorders>
                    <w:tl2br w:val="nil"/>
                    <w:tr2bl w:val="nil"/>
                  </w:tcBorders>
                  <w:shd w:val="clear" w:color="auto" w:fill="auto"/>
                  <w:noWrap w:val="0"/>
                  <w:vAlign w:val="center"/>
                </w:tcPr>
                <w:p w14:paraId="449BD72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t/a</w:t>
                  </w:r>
                </w:p>
              </w:tc>
              <w:tc>
                <w:tcPr>
                  <w:tcW w:w="516" w:type="pct"/>
                  <w:tcBorders>
                    <w:tl2br w:val="nil"/>
                    <w:tr2bl w:val="nil"/>
                  </w:tcBorders>
                  <w:shd w:val="clear" w:color="auto" w:fill="auto"/>
                  <w:noWrap w:val="0"/>
                  <w:vAlign w:val="center"/>
                </w:tcPr>
                <w:p w14:paraId="52149A8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2700</w:t>
                  </w:r>
                </w:p>
              </w:tc>
              <w:tc>
                <w:tcPr>
                  <w:tcW w:w="961" w:type="pct"/>
                  <w:tcBorders>
                    <w:tl2br w:val="nil"/>
                    <w:tr2bl w:val="nil"/>
                  </w:tcBorders>
                  <w:shd w:val="clear" w:color="auto" w:fill="auto"/>
                  <w:noWrap w:val="0"/>
                  <w:vAlign w:val="center"/>
                </w:tcPr>
                <w:p w14:paraId="3CAB2489">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红辣素进入精制车间</w:t>
                  </w:r>
                </w:p>
              </w:tc>
              <w:tc>
                <w:tcPr>
                  <w:tcW w:w="1799" w:type="pct"/>
                  <w:tcBorders>
                    <w:tl2br w:val="nil"/>
                    <w:tr2bl w:val="nil"/>
                  </w:tcBorders>
                  <w:shd w:val="clear" w:color="auto" w:fill="auto"/>
                  <w:noWrap w:val="0"/>
                  <w:vAlign w:val="center"/>
                </w:tcPr>
                <w:p w14:paraId="7F2A9FEB">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《食品安全国家标准 食品添加剂 辣椒红》（GB1886.34-2015）</w:t>
                  </w:r>
                </w:p>
              </w:tc>
            </w:tr>
            <w:tr w14:paraId="19293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6" w:type="pct"/>
                  <w:tcBorders>
                    <w:tl2br w:val="nil"/>
                    <w:tr2bl w:val="nil"/>
                  </w:tcBorders>
                  <w:noWrap w:val="0"/>
                  <w:vAlign w:val="center"/>
                </w:tcPr>
                <w:p w14:paraId="3E714A1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722" w:type="pct"/>
                  <w:tcBorders>
                    <w:tl2br w:val="nil"/>
                    <w:tr2bl w:val="nil"/>
                  </w:tcBorders>
                  <w:shd w:val="clear" w:color="auto" w:fill="auto"/>
                  <w:noWrap w:val="0"/>
                  <w:vAlign w:val="center"/>
                </w:tcPr>
                <w:p w14:paraId="14570DE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胶质水</w:t>
                  </w:r>
                </w:p>
              </w:tc>
              <w:tc>
                <w:tcPr>
                  <w:tcW w:w="574" w:type="pct"/>
                  <w:tcBorders>
                    <w:tl2br w:val="nil"/>
                    <w:tr2bl w:val="nil"/>
                  </w:tcBorders>
                  <w:shd w:val="clear" w:color="auto" w:fill="auto"/>
                  <w:noWrap w:val="0"/>
                  <w:vAlign w:val="center"/>
                </w:tcPr>
                <w:p w14:paraId="79A7897B">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t/a</w:t>
                  </w:r>
                </w:p>
              </w:tc>
              <w:tc>
                <w:tcPr>
                  <w:tcW w:w="516" w:type="pct"/>
                  <w:tcBorders>
                    <w:tl2br w:val="nil"/>
                    <w:tr2bl w:val="nil"/>
                  </w:tcBorders>
                  <w:shd w:val="clear" w:color="auto" w:fill="auto"/>
                  <w:noWrap w:val="0"/>
                  <w:vAlign w:val="center"/>
                </w:tcPr>
                <w:p w14:paraId="2D78A77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3000</w:t>
                  </w:r>
                </w:p>
              </w:tc>
              <w:tc>
                <w:tcPr>
                  <w:tcW w:w="961" w:type="pct"/>
                  <w:tcBorders>
                    <w:tl2br w:val="nil"/>
                    <w:tr2bl w:val="nil"/>
                  </w:tcBorders>
                  <w:shd w:val="clear" w:color="auto" w:fill="auto"/>
                  <w:noWrap w:val="0"/>
                  <w:vAlign w:val="center"/>
                </w:tcPr>
                <w:p w14:paraId="3EAB67EA">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lang w:val="en-US" w:eastAsia="zh-CN"/>
                    </w:rPr>
                    <w:t>焉耆晨晓农业科技有限公司</w:t>
                  </w:r>
                </w:p>
              </w:tc>
              <w:tc>
                <w:tcPr>
                  <w:tcW w:w="1799" w:type="pct"/>
                  <w:tcBorders>
                    <w:tl2br w:val="nil"/>
                    <w:tr2bl w:val="nil"/>
                  </w:tcBorders>
                  <w:shd w:val="clear" w:color="auto" w:fill="auto"/>
                  <w:noWrap w:val="0"/>
                  <w:vAlign w:val="center"/>
                </w:tcPr>
                <w:p w14:paraId="188FE41E">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《肥料原料 辣椒胶质水》（Q/HCG 40—2024）</w:t>
                  </w:r>
                </w:p>
              </w:tc>
            </w:tr>
          </w:tbl>
          <w:p w14:paraId="71A6DE93">
            <w:pPr>
              <w:pStyle w:val="4"/>
              <w:suppressLineNumbers w:val="0"/>
              <w:bidi w:val="0"/>
              <w:spacing w:before="0" w:beforeAutospacing="0" w:after="0" w:afterAutospacing="0"/>
              <w:ind w:left="0" w:right="0"/>
              <w:rPr>
                <w:rFonts w:hint="default"/>
                <w:lang w:val="en-US" w:eastAsia="zh-CN"/>
              </w:rPr>
            </w:pPr>
            <w:r>
              <w:rPr>
                <w:rFonts w:hint="eastAsia"/>
                <w:lang w:val="en-US" w:eastAsia="zh-CN"/>
              </w:rPr>
              <w:t>3、</w:t>
            </w:r>
            <w:r>
              <w:rPr>
                <w:rFonts w:hint="default"/>
                <w:lang w:val="en-US" w:eastAsia="zh-CN"/>
              </w:rPr>
              <w:t>主要</w:t>
            </w:r>
            <w:r>
              <w:rPr>
                <w:rFonts w:hint="eastAsia"/>
                <w:lang w:val="en-US" w:eastAsia="zh-CN"/>
              </w:rPr>
              <w:t>原辅材料消耗</w:t>
            </w:r>
          </w:p>
          <w:p w14:paraId="359AD179">
            <w:pPr>
              <w:keepNext w:val="0"/>
              <w:keepLines w:val="0"/>
              <w:suppressLineNumbers w:val="0"/>
              <w:bidi w:val="0"/>
              <w:spacing w:before="0" w:beforeAutospacing="0" w:after="0" w:afterAutospacing="0"/>
              <w:ind w:left="0" w:right="0"/>
              <w:rPr>
                <w:rFonts w:hint="default"/>
              </w:rPr>
            </w:pPr>
            <w:r>
              <w:rPr>
                <w:rFonts w:hint="default"/>
              </w:rPr>
              <w:t>本项目具体</w:t>
            </w:r>
            <w:r>
              <w:rPr>
                <w:rFonts w:hint="eastAsia"/>
                <w:lang w:eastAsia="zh-CN"/>
              </w:rPr>
              <w:t>原辅材料</w:t>
            </w:r>
            <w:r>
              <w:rPr>
                <w:rFonts w:hint="default"/>
              </w:rPr>
              <w:t>消耗情况见表</w:t>
            </w:r>
            <w:r>
              <w:rPr>
                <w:rFonts w:hint="eastAsia"/>
                <w:lang w:val="en-US" w:eastAsia="zh-CN"/>
              </w:rPr>
              <w:t>2-3</w:t>
            </w:r>
            <w:r>
              <w:rPr>
                <w:rFonts w:hint="default"/>
              </w:rPr>
              <w:t>。</w:t>
            </w:r>
          </w:p>
          <w:p w14:paraId="118CB09B">
            <w:pPr>
              <w:pStyle w:val="6"/>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w:t>
            </w:r>
            <w:r>
              <w:rPr>
                <w:rFonts w:hint="eastAsia"/>
                <w:lang w:val="en-US" w:eastAsia="zh-CN"/>
              </w:rPr>
              <w:t xml:space="preserve">2-3                      </w:t>
            </w:r>
            <w:r>
              <w:rPr>
                <w:rFonts w:hint="default"/>
                <w:lang w:val="en-US" w:eastAsia="zh-CN"/>
              </w:rPr>
              <w:t>主要原辅材料一览表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146"/>
              <w:gridCol w:w="1531"/>
              <w:gridCol w:w="1224"/>
              <w:gridCol w:w="2590"/>
            </w:tblGrid>
            <w:tr w14:paraId="11EC0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tcBorders>
                    <w:tl2br w:val="nil"/>
                    <w:tr2bl w:val="nil"/>
                  </w:tcBorders>
                  <w:noWrap w:val="0"/>
                  <w:vAlign w:val="center"/>
                </w:tcPr>
                <w:p w14:paraId="178C1F78">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w:t>
                  </w:r>
                </w:p>
              </w:tc>
              <w:tc>
                <w:tcPr>
                  <w:tcW w:w="1327" w:type="pct"/>
                  <w:tcBorders>
                    <w:tl2br w:val="nil"/>
                    <w:tr2bl w:val="nil"/>
                  </w:tcBorders>
                  <w:noWrap w:val="0"/>
                  <w:vAlign w:val="center"/>
                </w:tcPr>
                <w:p w14:paraId="268EAF0E">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名称</w:t>
                  </w:r>
                </w:p>
              </w:tc>
              <w:tc>
                <w:tcPr>
                  <w:tcW w:w="947" w:type="pct"/>
                  <w:tcBorders>
                    <w:tl2br w:val="nil"/>
                    <w:tr2bl w:val="nil"/>
                  </w:tcBorders>
                  <w:noWrap w:val="0"/>
                  <w:vAlign w:val="center"/>
                </w:tcPr>
                <w:p w14:paraId="636619EC">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w:t>
                  </w:r>
                </w:p>
              </w:tc>
              <w:tc>
                <w:tcPr>
                  <w:tcW w:w="757" w:type="pct"/>
                  <w:tcBorders>
                    <w:tl2br w:val="nil"/>
                    <w:tr2bl w:val="nil"/>
                  </w:tcBorders>
                  <w:noWrap w:val="0"/>
                  <w:vAlign w:val="center"/>
                </w:tcPr>
                <w:p w14:paraId="52166F05">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用量</w:t>
                  </w:r>
                </w:p>
              </w:tc>
              <w:tc>
                <w:tcPr>
                  <w:tcW w:w="1601" w:type="pct"/>
                  <w:tcBorders>
                    <w:tl2br w:val="nil"/>
                    <w:tr2bl w:val="nil"/>
                  </w:tcBorders>
                  <w:noWrap w:val="0"/>
                  <w:vAlign w:val="center"/>
                </w:tcPr>
                <w:p w14:paraId="504D8A19">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备注</w:t>
                  </w:r>
                </w:p>
              </w:tc>
            </w:tr>
            <w:tr w14:paraId="2C970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65" w:type="pct"/>
                  <w:vMerge w:val="restart"/>
                  <w:tcBorders>
                    <w:tl2br w:val="nil"/>
                    <w:tr2bl w:val="nil"/>
                  </w:tcBorders>
                  <w:noWrap w:val="0"/>
                  <w:vAlign w:val="center"/>
                </w:tcPr>
                <w:p w14:paraId="756BB41A">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原辅料</w:t>
                  </w:r>
                </w:p>
              </w:tc>
              <w:tc>
                <w:tcPr>
                  <w:tcW w:w="1327" w:type="pct"/>
                  <w:tcBorders>
                    <w:tl2br w:val="nil"/>
                    <w:tr2bl w:val="nil"/>
                  </w:tcBorders>
                  <w:noWrap w:val="0"/>
                  <w:vAlign w:val="center"/>
                </w:tcPr>
                <w:p w14:paraId="33DE33D4">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干辣椒颗粒</w:t>
                  </w:r>
                </w:p>
              </w:tc>
              <w:tc>
                <w:tcPr>
                  <w:tcW w:w="947" w:type="pct"/>
                  <w:tcBorders>
                    <w:tl2br w:val="nil"/>
                    <w:tr2bl w:val="nil"/>
                  </w:tcBorders>
                  <w:noWrap w:val="0"/>
                  <w:vAlign w:val="center"/>
                </w:tcPr>
                <w:p w14:paraId="646CA07B">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t/a</w:t>
                  </w:r>
                </w:p>
              </w:tc>
              <w:tc>
                <w:tcPr>
                  <w:tcW w:w="757" w:type="pct"/>
                  <w:tcBorders>
                    <w:tl2br w:val="nil"/>
                    <w:tr2bl w:val="nil"/>
                  </w:tcBorders>
                  <w:noWrap w:val="0"/>
                  <w:vAlign w:val="center"/>
                </w:tcPr>
                <w:p w14:paraId="2881625E">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45000</w:t>
                  </w:r>
                </w:p>
              </w:tc>
              <w:tc>
                <w:tcPr>
                  <w:tcW w:w="1601" w:type="pct"/>
                  <w:tcBorders>
                    <w:tl2br w:val="nil"/>
                    <w:tr2bl w:val="nil"/>
                  </w:tcBorders>
                  <w:noWrap w:val="0"/>
                  <w:vAlign w:val="center"/>
                </w:tcPr>
                <w:p w14:paraId="6F30672F">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外购</w:t>
                  </w:r>
                </w:p>
              </w:tc>
            </w:tr>
            <w:tr w14:paraId="7A7F0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14:paraId="5A98DEEB">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p>
              </w:tc>
              <w:tc>
                <w:tcPr>
                  <w:tcW w:w="1327" w:type="pct"/>
                  <w:tcBorders>
                    <w:tl2br w:val="nil"/>
                    <w:tr2bl w:val="nil"/>
                  </w:tcBorders>
                  <w:noWrap w:val="0"/>
                  <w:vAlign w:val="center"/>
                </w:tcPr>
                <w:p w14:paraId="78635F84">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正己烷</w:t>
                  </w:r>
                </w:p>
              </w:tc>
              <w:tc>
                <w:tcPr>
                  <w:tcW w:w="947" w:type="pct"/>
                  <w:tcBorders>
                    <w:tl2br w:val="nil"/>
                    <w:tr2bl w:val="nil"/>
                  </w:tcBorders>
                  <w:noWrap w:val="0"/>
                  <w:vAlign w:val="center"/>
                </w:tcPr>
                <w:p w14:paraId="55879906">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t/a</w:t>
                  </w:r>
                </w:p>
              </w:tc>
              <w:tc>
                <w:tcPr>
                  <w:tcW w:w="757" w:type="pct"/>
                  <w:tcBorders>
                    <w:tl2br w:val="nil"/>
                    <w:tr2bl w:val="nil"/>
                  </w:tcBorders>
                  <w:noWrap w:val="0"/>
                  <w:vAlign w:val="center"/>
                </w:tcPr>
                <w:p w14:paraId="03BD6385">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47.138</w:t>
                  </w:r>
                </w:p>
              </w:tc>
              <w:tc>
                <w:tcPr>
                  <w:tcW w:w="1601" w:type="pct"/>
                  <w:tcBorders>
                    <w:tl2br w:val="nil"/>
                    <w:tr2bl w:val="nil"/>
                  </w:tcBorders>
                  <w:noWrap w:val="0"/>
                  <w:vAlign w:val="center"/>
                </w:tcPr>
                <w:p w14:paraId="45010A72">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外购</w:t>
                  </w:r>
                  <w:r>
                    <w:rPr>
                      <w:rFonts w:hint="eastAsia" w:cs="Times New Roman"/>
                      <w:lang w:val="en-US" w:eastAsia="zh-CN"/>
                    </w:rPr>
                    <w:t>，第一次生产投入量为177.93t，每年消耗定期补充约47.138t/a</w:t>
                  </w:r>
                </w:p>
              </w:tc>
            </w:tr>
            <w:tr w14:paraId="68AFD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restart"/>
                  <w:tcBorders>
                    <w:tl2br w:val="nil"/>
                    <w:tr2bl w:val="nil"/>
                  </w:tcBorders>
                  <w:noWrap w:val="0"/>
                  <w:vAlign w:val="center"/>
                </w:tcPr>
                <w:p w14:paraId="622EAB2E">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能源</w:t>
                  </w:r>
                </w:p>
              </w:tc>
              <w:tc>
                <w:tcPr>
                  <w:tcW w:w="1327" w:type="pct"/>
                  <w:tcBorders>
                    <w:tl2br w:val="nil"/>
                    <w:tr2bl w:val="nil"/>
                  </w:tcBorders>
                  <w:noWrap w:val="0"/>
                  <w:vAlign w:val="center"/>
                </w:tcPr>
                <w:p w14:paraId="342C32FC">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用</w:t>
                  </w:r>
                  <w:r>
                    <w:rPr>
                      <w:rFonts w:hint="default" w:ascii="Times New Roman" w:hAnsi="Times New Roman" w:eastAsia="宋体" w:cs="Times New Roman"/>
                      <w:lang w:val="en-US" w:eastAsia="zh-CN"/>
                    </w:rPr>
                    <w:t>水</w:t>
                  </w:r>
                </w:p>
              </w:tc>
              <w:tc>
                <w:tcPr>
                  <w:tcW w:w="947" w:type="pct"/>
                  <w:tcBorders>
                    <w:tl2br w:val="nil"/>
                    <w:tr2bl w:val="nil"/>
                  </w:tcBorders>
                  <w:noWrap w:val="0"/>
                  <w:vAlign w:val="center"/>
                </w:tcPr>
                <w:p w14:paraId="594C6E86">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w:t>
                  </w:r>
                </w:p>
              </w:tc>
              <w:tc>
                <w:tcPr>
                  <w:tcW w:w="757" w:type="pct"/>
                  <w:tcBorders>
                    <w:tl2br w:val="nil"/>
                    <w:tr2bl w:val="nil"/>
                  </w:tcBorders>
                  <w:noWrap w:val="0"/>
                  <w:vAlign w:val="center"/>
                </w:tcPr>
                <w:p w14:paraId="787AC95A">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lang w:val="en-US" w:eastAsia="zh-CN"/>
                    </w:rPr>
                    <w:t>3500</w:t>
                  </w:r>
                </w:p>
              </w:tc>
              <w:tc>
                <w:tcPr>
                  <w:tcW w:w="1601" w:type="pct"/>
                  <w:tcBorders>
                    <w:tl2br w:val="nil"/>
                    <w:tr2bl w:val="nil"/>
                  </w:tcBorders>
                  <w:noWrap w:val="0"/>
                  <w:vAlign w:val="center"/>
                </w:tcPr>
                <w:p w14:paraId="1D431064">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园区供水管网</w:t>
                  </w:r>
                </w:p>
              </w:tc>
            </w:tr>
            <w:tr w14:paraId="6E9B7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14:paraId="5A6D4AF8">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p>
              </w:tc>
              <w:tc>
                <w:tcPr>
                  <w:tcW w:w="1327" w:type="pct"/>
                  <w:tcBorders>
                    <w:tl2br w:val="nil"/>
                    <w:tr2bl w:val="nil"/>
                  </w:tcBorders>
                  <w:noWrap w:val="0"/>
                  <w:vAlign w:val="center"/>
                </w:tcPr>
                <w:p w14:paraId="52418677">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w:t>
                  </w:r>
                </w:p>
              </w:tc>
              <w:tc>
                <w:tcPr>
                  <w:tcW w:w="947" w:type="pct"/>
                  <w:tcBorders>
                    <w:tl2br w:val="nil"/>
                    <w:tr2bl w:val="nil"/>
                  </w:tcBorders>
                  <w:noWrap w:val="0"/>
                  <w:vAlign w:val="center"/>
                </w:tcPr>
                <w:p w14:paraId="35150EBA">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万</w:t>
                  </w:r>
                  <w:r>
                    <w:rPr>
                      <w:rFonts w:hint="eastAsia" w:cs="Times New Roman"/>
                      <w:lang w:val="en-US" w:eastAsia="zh-CN"/>
                    </w:rPr>
                    <w:t>kW</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h</w:t>
                  </w:r>
                  <w:r>
                    <w:rPr>
                      <w:rFonts w:hint="eastAsia" w:ascii="Times New Roman" w:hAnsi="Times New Roman" w:eastAsia="宋体" w:cs="Times New Roman"/>
                      <w:lang w:val="en-US" w:eastAsia="zh-CN"/>
                    </w:rPr>
                    <w:t>/a</w:t>
                  </w:r>
                </w:p>
              </w:tc>
              <w:tc>
                <w:tcPr>
                  <w:tcW w:w="757" w:type="pct"/>
                  <w:tcBorders>
                    <w:tl2br w:val="nil"/>
                    <w:tr2bl w:val="nil"/>
                  </w:tcBorders>
                  <w:noWrap w:val="0"/>
                  <w:vAlign w:val="center"/>
                </w:tcPr>
                <w:p w14:paraId="61CC1BC7">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103.05</w:t>
                  </w:r>
                </w:p>
              </w:tc>
              <w:tc>
                <w:tcPr>
                  <w:tcW w:w="1601" w:type="pct"/>
                  <w:tcBorders>
                    <w:tl2br w:val="nil"/>
                    <w:tr2bl w:val="nil"/>
                  </w:tcBorders>
                  <w:noWrap w:val="0"/>
                  <w:vAlign w:val="center"/>
                </w:tcPr>
                <w:p w14:paraId="1423D5F0">
                  <w:pPr>
                    <w:pStyle w:val="8"/>
                    <w:keepNext w:val="0"/>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园区电网供应</w:t>
                  </w:r>
                </w:p>
              </w:tc>
            </w:tr>
          </w:tbl>
          <w:p w14:paraId="268D6600">
            <w:pPr>
              <w:pStyle w:val="4"/>
              <w:numPr>
                <w:ilvl w:val="0"/>
                <w:numId w:val="3"/>
              </w:numPr>
              <w:suppressLineNumbers w:val="0"/>
              <w:bidi w:val="0"/>
              <w:spacing w:before="0" w:beforeAutospacing="0" w:after="0" w:afterAutospacing="0"/>
              <w:ind w:left="0" w:right="0"/>
              <w:rPr>
                <w:rFonts w:hint="default"/>
                <w:lang w:val="en-US" w:eastAsia="zh-CN"/>
              </w:rPr>
            </w:pPr>
            <w:r>
              <w:rPr>
                <w:rFonts w:hint="eastAsia"/>
                <w:lang w:val="en-US" w:eastAsia="zh-CN"/>
              </w:rPr>
              <w:t>物料平衡</w:t>
            </w:r>
          </w:p>
          <w:p w14:paraId="7EB3C668">
            <w:pPr>
              <w:keepNext w:val="0"/>
              <w:keepLines w:val="0"/>
              <w:suppressLineNumbers w:val="0"/>
              <w:bidi w:val="0"/>
              <w:spacing w:before="0" w:beforeAutospacing="0" w:after="0" w:afterAutospacing="0"/>
              <w:ind w:left="0" w:right="0"/>
              <w:rPr>
                <w:rFonts w:hint="eastAsia" w:eastAsia="宋体"/>
                <w:lang w:val="en-US" w:eastAsia="zh-CN"/>
              </w:rPr>
            </w:pPr>
            <w:r>
              <w:rPr>
                <w:rFonts w:hint="eastAsia"/>
                <w:lang w:val="en-US" w:eastAsia="zh-CN"/>
              </w:rPr>
              <w:t>物料平衡表，详见表2-5。</w:t>
            </w:r>
          </w:p>
          <w:tbl>
            <w:tblPr>
              <w:tblStyle w:val="31"/>
              <w:tblpPr w:leftFromText="180" w:rightFromText="180" w:vertAnchor="text" w:horzAnchor="page" w:tblpX="95" w:tblpY="272"/>
              <w:tblOverlap w:val="never"/>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45"/>
              <w:gridCol w:w="1132"/>
              <w:gridCol w:w="1211"/>
              <w:gridCol w:w="1725"/>
              <w:gridCol w:w="2064"/>
            </w:tblGrid>
            <w:tr w14:paraId="287AA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06" w:type="pct"/>
                  <w:gridSpan w:val="3"/>
                  <w:noWrap w:val="0"/>
                  <w:vAlign w:val="center"/>
                </w:tcPr>
                <w:p w14:paraId="256D2F69">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bookmarkStart w:id="1" w:name="OLE_LINK2"/>
                  <w:r>
                    <w:rPr>
                      <w:rFonts w:hint="eastAsia" w:ascii="Times New Roman" w:hAnsi="Times New Roman" w:cs="Times New Roman"/>
                      <w:lang w:val="en-US" w:eastAsia="zh-CN"/>
                    </w:rPr>
                    <w:t>投入</w:t>
                  </w:r>
                </w:p>
              </w:tc>
              <w:tc>
                <w:tcPr>
                  <w:tcW w:w="1816" w:type="pct"/>
                  <w:gridSpan w:val="2"/>
                  <w:noWrap w:val="0"/>
                  <w:vAlign w:val="center"/>
                </w:tcPr>
                <w:p w14:paraId="41DE8389">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cs="Times New Roman"/>
                      <w:lang w:val="en-US" w:eastAsia="zh-CN"/>
                    </w:rPr>
                    <w:t>产出</w:t>
                  </w:r>
                </w:p>
              </w:tc>
              <w:tc>
                <w:tcPr>
                  <w:tcW w:w="1277" w:type="pct"/>
                  <w:noWrap w:val="0"/>
                  <w:vAlign w:val="center"/>
                </w:tcPr>
                <w:p w14:paraId="0040C2E5">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cs="Times New Roman"/>
                      <w:lang w:val="en-US" w:eastAsia="zh-CN"/>
                    </w:rPr>
                    <w:t>备注</w:t>
                  </w:r>
                </w:p>
              </w:tc>
            </w:tr>
            <w:tr w14:paraId="47DF8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8" w:type="pct"/>
                  <w:vMerge w:val="restart"/>
                  <w:noWrap w:val="0"/>
                  <w:vAlign w:val="center"/>
                </w:tcPr>
                <w:p w14:paraId="06016784">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eastAsia="宋体" w:cs="Times New Roman"/>
                      <w:b w:val="0"/>
                      <w:bCs/>
                      <w:color w:val="auto"/>
                      <w:sz w:val="21"/>
                      <w:szCs w:val="21"/>
                      <w:highlight w:val="none"/>
                      <w:lang w:val="en-US" w:eastAsia="zh-CN"/>
                    </w:rPr>
                    <w:t>辣椒色素生产线</w:t>
                  </w:r>
                </w:p>
              </w:tc>
              <w:tc>
                <w:tcPr>
                  <w:tcW w:w="708" w:type="pct"/>
                  <w:noWrap w:val="0"/>
                  <w:vAlign w:val="center"/>
                </w:tcPr>
                <w:p w14:paraId="516762A4">
                  <w:pPr>
                    <w:pStyle w:val="8"/>
                    <w:keepNext w:val="0"/>
                    <w:keepLines w:val="0"/>
                    <w:suppressLineNumbers w:val="0"/>
                    <w:bidi w:val="0"/>
                    <w:spacing w:before="0" w:beforeAutospacing="0" w:after="0" w:afterAutospacing="0"/>
                    <w:ind w:left="0" w:right="0"/>
                    <w:jc w:val="center"/>
                    <w:rPr>
                      <w:rFonts w:hint="eastAsia" w:ascii="Times New Roman" w:hAnsi="Times New Roman" w:cs="Times New Roman"/>
                      <w:lang w:val="en-US" w:eastAsia="zh-CN"/>
                    </w:rPr>
                  </w:pPr>
                  <w:r>
                    <w:rPr>
                      <w:rFonts w:hint="eastAsia" w:ascii="Times New Roman" w:hAnsi="Times New Roman" w:cs="Times New Roman"/>
                      <w:lang w:val="en-US" w:eastAsia="zh-CN"/>
                    </w:rPr>
                    <w:t>原料</w:t>
                  </w:r>
                </w:p>
              </w:tc>
              <w:tc>
                <w:tcPr>
                  <w:tcW w:w="699" w:type="pct"/>
                  <w:noWrap w:val="0"/>
                  <w:vAlign w:val="center"/>
                </w:tcPr>
                <w:p w14:paraId="11494486">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cs="Times New Roman"/>
                      <w:lang w:val="en-US" w:eastAsia="zh-CN"/>
                    </w:rPr>
                    <w:t>用量</w:t>
                  </w:r>
                  <w:r>
                    <w:rPr>
                      <w:rFonts w:hint="eastAsia" w:cs="Times New Roman"/>
                      <w:lang w:val="en-US" w:eastAsia="zh-CN"/>
                    </w:rPr>
                    <w:t>（t/a）</w:t>
                  </w:r>
                </w:p>
              </w:tc>
              <w:tc>
                <w:tcPr>
                  <w:tcW w:w="749" w:type="pct"/>
                  <w:noWrap w:val="0"/>
                  <w:vAlign w:val="center"/>
                </w:tcPr>
                <w:p w14:paraId="7FF0F22C">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产品种类</w:t>
                  </w:r>
                </w:p>
              </w:tc>
              <w:tc>
                <w:tcPr>
                  <w:tcW w:w="1067" w:type="pct"/>
                  <w:noWrap w:val="0"/>
                  <w:vAlign w:val="center"/>
                </w:tcPr>
                <w:p w14:paraId="23C90C9E">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产量</w:t>
                  </w:r>
                  <w:r>
                    <w:rPr>
                      <w:rFonts w:hint="eastAsia" w:cs="Times New Roman"/>
                      <w:lang w:val="en-US" w:eastAsia="zh-CN"/>
                    </w:rPr>
                    <w:t>（t/a）</w:t>
                  </w:r>
                </w:p>
              </w:tc>
              <w:tc>
                <w:tcPr>
                  <w:tcW w:w="1277" w:type="pct"/>
                  <w:noWrap w:val="0"/>
                  <w:vAlign w:val="center"/>
                </w:tcPr>
                <w:p w14:paraId="73B0EDF1">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r>
            <w:tr w14:paraId="66619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8" w:type="pct"/>
                  <w:vMerge w:val="continue"/>
                  <w:noWrap w:val="0"/>
                  <w:vAlign w:val="center"/>
                </w:tcPr>
                <w:p w14:paraId="77537B15">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bookmarkStart w:id="2" w:name="OLE_LINK1" w:colFirst="4" w:colLast="4"/>
                </w:p>
              </w:tc>
              <w:tc>
                <w:tcPr>
                  <w:tcW w:w="708" w:type="pct"/>
                  <w:noWrap w:val="0"/>
                  <w:vAlign w:val="center"/>
                </w:tcPr>
                <w:p w14:paraId="4D3E9299">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cs="Times New Roman"/>
                      <w:lang w:val="en-US" w:eastAsia="zh-CN"/>
                    </w:rPr>
                    <w:t>辣椒颗粒</w:t>
                  </w:r>
                </w:p>
              </w:tc>
              <w:tc>
                <w:tcPr>
                  <w:tcW w:w="699" w:type="pct"/>
                  <w:noWrap w:val="0"/>
                  <w:vAlign w:val="center"/>
                </w:tcPr>
                <w:p w14:paraId="1735B993">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lang w:val="en-US" w:eastAsia="zh-CN"/>
                    </w:rPr>
                    <w:t>45000</w:t>
                  </w:r>
                </w:p>
              </w:tc>
              <w:tc>
                <w:tcPr>
                  <w:tcW w:w="749" w:type="pct"/>
                  <w:noWrap w:val="0"/>
                  <w:vAlign w:val="center"/>
                </w:tcPr>
                <w:p w14:paraId="5E3BA36E">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cs="Times New Roman"/>
                      <w:lang w:val="en-US" w:eastAsia="zh-CN"/>
                    </w:rPr>
                    <w:t>辣椒素</w:t>
                  </w:r>
                </w:p>
              </w:tc>
              <w:tc>
                <w:tcPr>
                  <w:tcW w:w="1725" w:type="dxa"/>
                  <w:noWrap w:val="0"/>
                  <w:vAlign w:val="center"/>
                </w:tcPr>
                <w:p w14:paraId="66895A6D">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2700</w:t>
                  </w:r>
                </w:p>
              </w:tc>
              <w:tc>
                <w:tcPr>
                  <w:tcW w:w="1277" w:type="pct"/>
                  <w:noWrap w:val="0"/>
                  <w:vAlign w:val="center"/>
                </w:tcPr>
                <w:p w14:paraId="4C0FC7B2">
                  <w:pPr>
                    <w:pStyle w:val="8"/>
                    <w:keepNext w:val="0"/>
                    <w:keepLines w:val="0"/>
                    <w:suppressLineNumbers w:val="0"/>
                    <w:bidi w:val="0"/>
                    <w:spacing w:before="0" w:beforeAutospacing="0" w:after="0" w:afterAutospacing="0"/>
                    <w:ind w:left="0" w:right="0"/>
                    <w:rPr>
                      <w:rFonts w:hint="default"/>
                      <w:lang w:val="en-US" w:eastAsia="zh-CN"/>
                    </w:rPr>
                  </w:pPr>
                  <w:r>
                    <w:rPr>
                      <w:rFonts w:hint="eastAsia" w:cs="Times New Roman"/>
                      <w:lang w:val="en-US" w:eastAsia="zh-CN"/>
                    </w:rPr>
                    <w:t>有机溶剂残留量3000ppm，正己烷含量约8.1t/a</w:t>
                  </w:r>
                </w:p>
              </w:tc>
            </w:tr>
            <w:tr w14:paraId="218C9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8" w:type="pct"/>
                  <w:vMerge w:val="continue"/>
                  <w:noWrap w:val="0"/>
                  <w:vAlign w:val="center"/>
                </w:tcPr>
                <w:p w14:paraId="40CB3D61">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08" w:type="pct"/>
                  <w:noWrap w:val="0"/>
                  <w:vAlign w:val="center"/>
                </w:tcPr>
                <w:p w14:paraId="5E5D8DDB">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lang w:val="en-US" w:eastAsia="zh-CN"/>
                    </w:rPr>
                    <w:t>正己烷</w:t>
                  </w:r>
                </w:p>
              </w:tc>
              <w:tc>
                <w:tcPr>
                  <w:tcW w:w="699" w:type="pct"/>
                  <w:noWrap w:val="0"/>
                  <w:vAlign w:val="center"/>
                </w:tcPr>
                <w:p w14:paraId="5D575F20">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lang w:val="en-US" w:eastAsia="zh-CN"/>
                    </w:rPr>
                    <w:t>47.138</w:t>
                  </w:r>
                </w:p>
              </w:tc>
              <w:tc>
                <w:tcPr>
                  <w:tcW w:w="749" w:type="pct"/>
                  <w:noWrap w:val="0"/>
                  <w:vAlign w:val="center"/>
                </w:tcPr>
                <w:p w14:paraId="7C9255CE">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胶质水</w:t>
                  </w:r>
                </w:p>
              </w:tc>
              <w:tc>
                <w:tcPr>
                  <w:tcW w:w="1725" w:type="dxa"/>
                  <w:noWrap w:val="0"/>
                  <w:vAlign w:val="center"/>
                </w:tcPr>
                <w:p w14:paraId="56377B1F">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3000</w:t>
                  </w:r>
                </w:p>
              </w:tc>
              <w:tc>
                <w:tcPr>
                  <w:tcW w:w="1277" w:type="pct"/>
                  <w:noWrap w:val="0"/>
                  <w:vAlign w:val="center"/>
                </w:tcPr>
                <w:p w14:paraId="4EC826B6">
                  <w:pPr>
                    <w:pStyle w:val="8"/>
                    <w:keepNext w:val="0"/>
                    <w:keepLines w:val="0"/>
                    <w:suppressLineNumbers w:val="0"/>
                    <w:bidi w:val="0"/>
                    <w:spacing w:before="0" w:beforeAutospacing="0" w:after="0" w:afterAutospacing="0"/>
                    <w:ind w:left="0" w:right="0"/>
                    <w:rPr>
                      <w:rFonts w:hint="default"/>
                      <w:lang w:val="en-US" w:eastAsia="zh-CN"/>
                    </w:rPr>
                  </w:pPr>
                </w:p>
              </w:tc>
            </w:tr>
            <w:tr w14:paraId="555AD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vMerge w:val="continue"/>
                  <w:noWrap w:val="0"/>
                  <w:vAlign w:val="center"/>
                </w:tcPr>
                <w:p w14:paraId="435A15B1">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08" w:type="pct"/>
                  <w:noWrap w:val="0"/>
                  <w:vAlign w:val="center"/>
                </w:tcPr>
                <w:p w14:paraId="7CD65AE9">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lang w:val="en-US" w:eastAsia="zh-CN"/>
                    </w:rPr>
                  </w:pPr>
                </w:p>
              </w:tc>
              <w:tc>
                <w:tcPr>
                  <w:tcW w:w="699" w:type="pct"/>
                  <w:noWrap w:val="0"/>
                  <w:vAlign w:val="center"/>
                </w:tcPr>
                <w:p w14:paraId="441816C7">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lang w:val="en-US" w:eastAsia="zh-CN"/>
                    </w:rPr>
                  </w:pPr>
                </w:p>
              </w:tc>
              <w:tc>
                <w:tcPr>
                  <w:tcW w:w="749" w:type="pct"/>
                  <w:noWrap w:val="0"/>
                  <w:vAlign w:val="center"/>
                </w:tcPr>
                <w:p w14:paraId="326EF404">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cs="Times New Roman"/>
                      <w:lang w:val="en-US" w:eastAsia="zh-CN"/>
                    </w:rPr>
                  </w:pPr>
                  <w:r>
                    <w:rPr>
                      <w:rFonts w:hint="eastAsia" w:ascii="Times New Roman" w:hAnsi="Times New Roman" w:cs="Times New Roman"/>
                      <w:lang w:val="en-US" w:eastAsia="zh-CN"/>
                    </w:rPr>
                    <w:t>辣椒粕</w:t>
                  </w:r>
                </w:p>
              </w:tc>
              <w:tc>
                <w:tcPr>
                  <w:tcW w:w="1725" w:type="dxa"/>
                  <w:noWrap w:val="0"/>
                  <w:vAlign w:val="center"/>
                </w:tcPr>
                <w:p w14:paraId="3C06F16D">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39345.324</w:t>
                  </w:r>
                </w:p>
              </w:tc>
              <w:tc>
                <w:tcPr>
                  <w:tcW w:w="1277" w:type="pct"/>
                  <w:noWrap w:val="0"/>
                  <w:vAlign w:val="center"/>
                </w:tcPr>
                <w:p w14:paraId="43273029">
                  <w:pPr>
                    <w:pStyle w:val="8"/>
                    <w:keepNext w:val="0"/>
                    <w:keepLines w:val="0"/>
                    <w:suppressLineNumbers w:val="0"/>
                    <w:bidi w:val="0"/>
                    <w:spacing w:before="0" w:beforeAutospacing="0" w:after="0" w:afterAutospacing="0"/>
                    <w:ind w:left="0" w:right="0"/>
                    <w:rPr>
                      <w:rFonts w:hint="default"/>
                      <w:lang w:val="en-US" w:eastAsia="zh-CN"/>
                    </w:rPr>
                  </w:pPr>
                  <w:r>
                    <w:rPr>
                      <w:rFonts w:hint="eastAsia" w:cs="Times New Roman"/>
                      <w:lang w:val="en-US" w:eastAsia="zh-CN"/>
                    </w:rPr>
                    <w:t>有机溶剂残留量300-1000ppm，正己烷含量约39t/a</w:t>
                  </w:r>
                </w:p>
              </w:tc>
            </w:tr>
            <w:tr w14:paraId="18471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vMerge w:val="continue"/>
                  <w:noWrap w:val="0"/>
                  <w:vAlign w:val="center"/>
                </w:tcPr>
                <w:p w14:paraId="5C47E22C">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08" w:type="pct"/>
                  <w:noWrap w:val="0"/>
                  <w:vAlign w:val="center"/>
                </w:tcPr>
                <w:p w14:paraId="23DAE55A">
                  <w:pPr>
                    <w:pStyle w:val="8"/>
                    <w:keepNext w:val="0"/>
                    <w:keepLines w:val="0"/>
                    <w:suppressLineNumbers w:val="0"/>
                    <w:bidi w:val="0"/>
                    <w:spacing w:before="0" w:beforeAutospacing="0" w:after="0" w:afterAutospacing="0"/>
                    <w:ind w:left="0" w:right="0"/>
                    <w:jc w:val="center"/>
                    <w:rPr>
                      <w:rFonts w:hint="eastAsia" w:cs="Times New Roman"/>
                      <w:lang w:val="en-US" w:eastAsia="zh-CN"/>
                    </w:rPr>
                  </w:pPr>
                </w:p>
              </w:tc>
              <w:tc>
                <w:tcPr>
                  <w:tcW w:w="699" w:type="pct"/>
                  <w:noWrap w:val="0"/>
                  <w:vAlign w:val="center"/>
                </w:tcPr>
                <w:p w14:paraId="009959D5">
                  <w:pPr>
                    <w:pStyle w:val="8"/>
                    <w:keepNext w:val="0"/>
                    <w:keepLines w:val="0"/>
                    <w:suppressLineNumbers w:val="0"/>
                    <w:bidi w:val="0"/>
                    <w:spacing w:before="0" w:beforeAutospacing="0" w:after="0" w:afterAutospacing="0"/>
                    <w:ind w:left="0" w:right="0"/>
                    <w:jc w:val="center"/>
                    <w:rPr>
                      <w:rFonts w:hint="default" w:cs="Times New Roman"/>
                      <w:lang w:val="en-US" w:eastAsia="zh-CN"/>
                    </w:rPr>
                  </w:pPr>
                </w:p>
              </w:tc>
              <w:tc>
                <w:tcPr>
                  <w:tcW w:w="749" w:type="pct"/>
                  <w:noWrap w:val="0"/>
                  <w:vAlign w:val="center"/>
                </w:tcPr>
                <w:p w14:paraId="01D7DD9C">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非甲烷总烃</w:t>
                  </w:r>
                </w:p>
              </w:tc>
              <w:tc>
                <w:tcPr>
                  <w:tcW w:w="1725" w:type="dxa"/>
                  <w:noWrap w:val="0"/>
                  <w:vAlign w:val="center"/>
                </w:tcPr>
                <w:p w14:paraId="0D3B7E98">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0.038</w:t>
                  </w:r>
                </w:p>
              </w:tc>
              <w:tc>
                <w:tcPr>
                  <w:tcW w:w="1277" w:type="pct"/>
                  <w:noWrap w:val="0"/>
                  <w:vAlign w:val="center"/>
                </w:tcPr>
                <w:p w14:paraId="483D797C">
                  <w:pPr>
                    <w:pStyle w:val="8"/>
                    <w:keepNext w:val="0"/>
                    <w:keepLines w:val="0"/>
                    <w:suppressLineNumbers w:val="0"/>
                    <w:bidi w:val="0"/>
                    <w:spacing w:before="0" w:beforeAutospacing="0" w:after="0" w:afterAutospacing="0"/>
                    <w:ind w:left="0" w:right="0"/>
                    <w:rPr>
                      <w:rFonts w:hint="default"/>
                      <w:lang w:val="en-US" w:eastAsia="zh-CN"/>
                    </w:rPr>
                  </w:pPr>
                </w:p>
              </w:tc>
            </w:tr>
            <w:tr w14:paraId="3FBA5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8" w:type="pct"/>
                  <w:vMerge w:val="continue"/>
                  <w:noWrap w:val="0"/>
                  <w:vAlign w:val="center"/>
                </w:tcPr>
                <w:p w14:paraId="6C322A1A">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08" w:type="pct"/>
                  <w:noWrap w:val="0"/>
                  <w:vAlign w:val="center"/>
                </w:tcPr>
                <w:p w14:paraId="00584D62">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699" w:type="pct"/>
                  <w:noWrap w:val="0"/>
                  <w:vAlign w:val="center"/>
                </w:tcPr>
                <w:p w14:paraId="20006EEA">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749" w:type="pct"/>
                  <w:shd w:val="clear" w:color="auto" w:fill="auto"/>
                  <w:noWrap w:val="0"/>
                  <w:vAlign w:val="center"/>
                </w:tcPr>
                <w:p w14:paraId="1D3D172D">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lang w:val="en-US" w:eastAsia="zh-CN"/>
                    </w:rPr>
                    <w:t>颗粒物</w:t>
                  </w:r>
                </w:p>
              </w:tc>
              <w:tc>
                <w:tcPr>
                  <w:tcW w:w="1725" w:type="dxa"/>
                  <w:shd w:val="clear" w:color="auto" w:fill="auto"/>
                  <w:noWrap w:val="0"/>
                  <w:vAlign w:val="center"/>
                </w:tcPr>
                <w:p w14:paraId="38D9F081">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1.776</w:t>
                  </w:r>
                </w:p>
              </w:tc>
              <w:tc>
                <w:tcPr>
                  <w:tcW w:w="1277" w:type="pct"/>
                  <w:shd w:val="clear" w:color="auto" w:fill="auto"/>
                  <w:noWrap w:val="0"/>
                  <w:vAlign w:val="center"/>
                </w:tcPr>
                <w:p w14:paraId="3339A758">
                  <w:pPr>
                    <w:pStyle w:val="8"/>
                    <w:keepNext w:val="0"/>
                    <w:keepLines w:val="0"/>
                    <w:suppressLineNumbers w:val="0"/>
                    <w:bidi w:val="0"/>
                    <w:spacing w:before="0" w:beforeAutospacing="0" w:after="0" w:afterAutospacing="0"/>
                    <w:ind w:left="0" w:right="0"/>
                    <w:rPr>
                      <w:rFonts w:hint="default"/>
                      <w:lang w:val="en-US" w:eastAsia="zh-CN"/>
                    </w:rPr>
                  </w:pPr>
                </w:p>
              </w:tc>
            </w:tr>
            <w:bookmarkEnd w:id="2"/>
            <w:tr w14:paraId="38919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8" w:type="pct"/>
                  <w:noWrap w:val="0"/>
                  <w:vAlign w:val="center"/>
                </w:tcPr>
                <w:p w14:paraId="17AF023C">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cs="Times New Roman"/>
                      <w:lang w:val="en-US" w:eastAsia="zh-CN"/>
                    </w:rPr>
                    <w:t>合计</w:t>
                  </w:r>
                </w:p>
              </w:tc>
              <w:tc>
                <w:tcPr>
                  <w:tcW w:w="708" w:type="pct"/>
                  <w:noWrap w:val="0"/>
                  <w:vAlign w:val="center"/>
                </w:tcPr>
                <w:p w14:paraId="77D02B8C">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p>
              </w:tc>
              <w:tc>
                <w:tcPr>
                  <w:tcW w:w="699" w:type="pct"/>
                  <w:noWrap w:val="0"/>
                  <w:vAlign w:val="center"/>
                </w:tcPr>
                <w:p w14:paraId="636AEFA0">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cs="Times New Roman"/>
                      <w:lang w:val="en-US" w:eastAsia="zh-CN"/>
                    </w:rPr>
                    <w:t>45047.138</w:t>
                  </w:r>
                </w:p>
              </w:tc>
              <w:tc>
                <w:tcPr>
                  <w:tcW w:w="749" w:type="pct"/>
                  <w:noWrap w:val="0"/>
                  <w:vAlign w:val="center"/>
                </w:tcPr>
                <w:p w14:paraId="1816994B">
                  <w:pPr>
                    <w:pStyle w:val="8"/>
                    <w:keepNext w:val="0"/>
                    <w:keepLines w:val="0"/>
                    <w:suppressLineNumbers w:val="0"/>
                    <w:bidi w:val="0"/>
                    <w:spacing w:before="0" w:beforeAutospacing="0" w:after="0" w:afterAutospacing="0"/>
                    <w:ind w:left="0" w:right="0"/>
                    <w:jc w:val="center"/>
                    <w:rPr>
                      <w:rFonts w:hint="eastAsia" w:ascii="Times New Roman" w:hAnsi="Times New Roman" w:cs="Times New Roman"/>
                      <w:lang w:val="en-US" w:eastAsia="zh-CN"/>
                    </w:rPr>
                  </w:pPr>
                  <w:r>
                    <w:rPr>
                      <w:rFonts w:hint="eastAsia" w:ascii="Times New Roman" w:hAnsi="Times New Roman" w:cs="Times New Roman"/>
                      <w:sz w:val="21"/>
                      <w:szCs w:val="21"/>
                      <w:lang w:val="en-US" w:eastAsia="zh-CN"/>
                    </w:rPr>
                    <w:t>合计</w:t>
                  </w:r>
                </w:p>
              </w:tc>
              <w:tc>
                <w:tcPr>
                  <w:tcW w:w="1067" w:type="pct"/>
                  <w:noWrap w:val="0"/>
                  <w:vAlign w:val="center"/>
                </w:tcPr>
                <w:p w14:paraId="5605A11E">
                  <w:pPr>
                    <w:pStyle w:val="8"/>
                    <w:keepNext w:val="0"/>
                    <w:keepLines w:val="0"/>
                    <w:suppressLineNumbers w:val="0"/>
                    <w:bidi w:val="0"/>
                    <w:spacing w:before="0" w:beforeAutospacing="0" w:after="0" w:afterAutospacing="0"/>
                    <w:ind w:left="0" w:right="0"/>
                    <w:jc w:val="center"/>
                    <w:rPr>
                      <w:rFonts w:hint="default" w:ascii="Times New Roman" w:hAnsi="Times New Roman" w:cs="Times New Roman"/>
                      <w:lang w:val="en-US" w:eastAsia="zh-CN"/>
                    </w:rPr>
                  </w:pPr>
                  <w:r>
                    <w:rPr>
                      <w:rFonts w:hint="eastAsia" w:cs="Times New Roman"/>
                      <w:lang w:val="en-US" w:eastAsia="zh-CN"/>
                    </w:rPr>
                    <w:t>45047.138</w:t>
                  </w:r>
                </w:p>
              </w:tc>
              <w:tc>
                <w:tcPr>
                  <w:tcW w:w="1277" w:type="pct"/>
                  <w:noWrap w:val="0"/>
                  <w:vAlign w:val="center"/>
                </w:tcPr>
                <w:p w14:paraId="6C744A87">
                  <w:pPr>
                    <w:pStyle w:val="8"/>
                    <w:keepNext w:val="0"/>
                    <w:keepLines w:val="0"/>
                    <w:suppressLineNumbers w:val="0"/>
                    <w:bidi w:val="0"/>
                    <w:spacing w:before="0" w:beforeAutospacing="0" w:after="0" w:afterAutospacing="0"/>
                    <w:ind w:left="0" w:right="0"/>
                    <w:jc w:val="center"/>
                    <w:rPr>
                      <w:rFonts w:hint="eastAsia" w:cs="Times New Roman"/>
                      <w:lang w:val="en-US" w:eastAsia="zh-CN"/>
                    </w:rPr>
                  </w:pPr>
                </w:p>
              </w:tc>
            </w:tr>
            <w:bookmarkEnd w:id="1"/>
          </w:tbl>
          <w:p w14:paraId="6A7258A3">
            <w:pPr>
              <w:pStyle w:val="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表2-5                   物料平衡一览表</w:t>
            </w:r>
          </w:p>
          <w:p w14:paraId="1A3F95F1">
            <w:pPr>
              <w:pStyle w:val="4"/>
              <w:numPr>
                <w:ilvl w:val="0"/>
                <w:numId w:val="3"/>
              </w:numPr>
              <w:suppressLineNumbers w:val="0"/>
              <w:bidi w:val="0"/>
              <w:spacing w:before="0" w:beforeAutospacing="0" w:after="0" w:afterAutospacing="0"/>
              <w:ind w:left="0" w:right="0"/>
              <w:rPr>
                <w:rFonts w:hint="default"/>
                <w:lang w:val="en-US" w:eastAsia="zh-CN"/>
              </w:rPr>
            </w:pPr>
            <w:r>
              <w:rPr>
                <w:rFonts w:hint="eastAsia"/>
                <w:lang w:val="en-US" w:eastAsia="zh-CN"/>
              </w:rPr>
              <w:t>主</w:t>
            </w:r>
            <w:r>
              <w:rPr>
                <w:rFonts w:hint="default"/>
                <w:lang w:val="en-US" w:eastAsia="zh-CN"/>
              </w:rPr>
              <w:t>要生产设备</w:t>
            </w:r>
          </w:p>
          <w:p w14:paraId="214612CD">
            <w:pPr>
              <w:keepNext w:val="0"/>
              <w:keepLines w:val="0"/>
              <w:suppressLineNumbers w:val="0"/>
              <w:adjustRightInd w:val="0"/>
              <w:snapToGrid w:val="0"/>
              <w:spacing w:before="0" w:beforeAutospacing="0" w:after="0" w:afterAutospacing="0" w:line="360" w:lineRule="auto"/>
              <w:ind w:left="0" w:right="0" w:firstLine="480" w:firstLineChars="200"/>
              <w:rPr>
                <w:rFonts w:hint="eastAsia"/>
                <w:lang w:val="en-US" w:eastAsia="zh-CN"/>
              </w:rPr>
            </w:pPr>
            <w:r>
              <w:rPr>
                <w:rFonts w:hint="eastAsia"/>
                <w:sz w:val="24"/>
              </w:rPr>
              <w:t>本项目主要设备详见下表</w:t>
            </w:r>
            <w:r>
              <w:rPr>
                <w:rFonts w:hint="eastAsia"/>
                <w:sz w:val="24"/>
                <w:lang w:val="en-US" w:eastAsia="zh-CN"/>
              </w:rPr>
              <w:t>2-6</w:t>
            </w:r>
            <w:r>
              <w:rPr>
                <w:rFonts w:hint="eastAsia"/>
                <w:lang w:val="en-US" w:eastAsia="zh-CN"/>
              </w:rPr>
              <w:t>：</w:t>
            </w:r>
          </w:p>
          <w:p w14:paraId="7E597EF2">
            <w:pPr>
              <w:pStyle w:val="6"/>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w:t>
            </w:r>
            <w:r>
              <w:rPr>
                <w:rFonts w:hint="eastAsia"/>
                <w:lang w:val="en-US" w:eastAsia="zh-CN"/>
              </w:rPr>
              <w:t xml:space="preserve">2-6                      </w:t>
            </w:r>
            <w:r>
              <w:rPr>
                <w:rFonts w:hint="default"/>
                <w:lang w:val="en-US" w:eastAsia="zh-CN"/>
              </w:rPr>
              <w:t>主要生产设备</w:t>
            </w:r>
          </w:p>
          <w:tbl>
            <w:tblPr>
              <w:tblStyle w:val="3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97"/>
              <w:gridCol w:w="2902"/>
              <w:gridCol w:w="686"/>
              <w:gridCol w:w="1298"/>
              <w:gridCol w:w="2398"/>
            </w:tblGrid>
            <w:tr w14:paraId="097066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jc w:val="center"/>
              </w:trPr>
              <w:tc>
                <w:tcPr>
                  <w:tcW w:w="493" w:type="pct"/>
                  <w:vMerge w:val="restart"/>
                  <w:tcBorders>
                    <w:tl2br w:val="nil"/>
                    <w:tr2bl w:val="nil"/>
                  </w:tcBorders>
                  <w:shd w:val="clear" w:color="auto" w:fill="auto"/>
                  <w:vAlign w:val="center"/>
                </w:tcPr>
                <w:p w14:paraId="2C876283">
                  <w:pPr>
                    <w:pStyle w:val="8"/>
                    <w:keepNext w:val="0"/>
                    <w:keepLines w:val="0"/>
                    <w:suppressLineNumbers w:val="0"/>
                    <w:bidi w:val="0"/>
                    <w:spacing w:before="0" w:beforeAutospacing="0" w:after="0" w:afterAutospacing="0"/>
                    <w:ind w:left="0" w:right="0"/>
                    <w:rPr>
                      <w:rFonts w:hint="default"/>
                    </w:rPr>
                  </w:pPr>
                  <w:r>
                    <w:rPr>
                      <w:rFonts w:hint="eastAsia"/>
                    </w:rPr>
                    <w:t>序号</w:t>
                  </w:r>
                </w:p>
              </w:tc>
              <w:tc>
                <w:tcPr>
                  <w:tcW w:w="1795" w:type="pct"/>
                  <w:vMerge w:val="restart"/>
                  <w:tcBorders>
                    <w:tl2br w:val="nil"/>
                    <w:tr2bl w:val="nil"/>
                  </w:tcBorders>
                  <w:shd w:val="clear" w:color="auto" w:fill="auto"/>
                  <w:vAlign w:val="center"/>
                </w:tcPr>
                <w:p w14:paraId="19862C31">
                  <w:pPr>
                    <w:pStyle w:val="8"/>
                    <w:keepNext w:val="0"/>
                    <w:keepLines w:val="0"/>
                    <w:suppressLineNumbers w:val="0"/>
                    <w:bidi w:val="0"/>
                    <w:spacing w:before="0" w:beforeAutospacing="0" w:after="0" w:afterAutospacing="0"/>
                    <w:ind w:left="0" w:right="0"/>
                    <w:rPr>
                      <w:rFonts w:hint="default"/>
                    </w:rPr>
                  </w:pPr>
                  <w:r>
                    <w:rPr>
                      <w:rFonts w:hint="eastAsia"/>
                    </w:rPr>
                    <w:t>名称</w:t>
                  </w:r>
                </w:p>
              </w:tc>
              <w:tc>
                <w:tcPr>
                  <w:tcW w:w="424" w:type="pct"/>
                  <w:vMerge w:val="restart"/>
                  <w:tcBorders>
                    <w:tl2br w:val="nil"/>
                    <w:tr2bl w:val="nil"/>
                  </w:tcBorders>
                  <w:shd w:val="clear" w:color="auto" w:fill="auto"/>
                  <w:vAlign w:val="center"/>
                </w:tcPr>
                <w:p w14:paraId="48BBF124">
                  <w:pPr>
                    <w:pStyle w:val="8"/>
                    <w:keepNext w:val="0"/>
                    <w:keepLines w:val="0"/>
                    <w:suppressLineNumbers w:val="0"/>
                    <w:bidi w:val="0"/>
                    <w:spacing w:before="0" w:beforeAutospacing="0" w:after="0" w:afterAutospacing="0"/>
                    <w:ind w:left="0" w:right="0"/>
                    <w:rPr>
                      <w:rFonts w:hint="default"/>
                    </w:rPr>
                  </w:pPr>
                  <w:r>
                    <w:rPr>
                      <w:rFonts w:hint="eastAsia"/>
                    </w:rPr>
                    <w:t>单位</w:t>
                  </w:r>
                </w:p>
              </w:tc>
              <w:tc>
                <w:tcPr>
                  <w:tcW w:w="803" w:type="pct"/>
                  <w:vMerge w:val="restart"/>
                  <w:tcBorders>
                    <w:tl2br w:val="nil"/>
                    <w:tr2bl w:val="nil"/>
                  </w:tcBorders>
                  <w:shd w:val="clear" w:color="auto" w:fill="auto"/>
                  <w:vAlign w:val="center"/>
                </w:tcPr>
                <w:p w14:paraId="56D4919F">
                  <w:pPr>
                    <w:pStyle w:val="8"/>
                    <w:keepNext w:val="0"/>
                    <w:keepLines w:val="0"/>
                    <w:suppressLineNumbers w:val="0"/>
                    <w:bidi w:val="0"/>
                    <w:spacing w:before="0" w:beforeAutospacing="0" w:after="0" w:afterAutospacing="0"/>
                    <w:ind w:left="0" w:right="0"/>
                    <w:rPr>
                      <w:rFonts w:hint="default"/>
                    </w:rPr>
                  </w:pPr>
                  <w:r>
                    <w:rPr>
                      <w:rFonts w:hint="eastAsia"/>
                    </w:rPr>
                    <w:t>数量</w:t>
                  </w:r>
                </w:p>
              </w:tc>
              <w:tc>
                <w:tcPr>
                  <w:tcW w:w="1483" w:type="pct"/>
                  <w:vMerge w:val="restart"/>
                  <w:tcBorders>
                    <w:tl2br w:val="nil"/>
                    <w:tr2bl w:val="nil"/>
                  </w:tcBorders>
                  <w:shd w:val="clear" w:color="auto" w:fill="auto"/>
                  <w:vAlign w:val="center"/>
                </w:tcPr>
                <w:p w14:paraId="71276917">
                  <w:pPr>
                    <w:pStyle w:val="8"/>
                    <w:keepNext w:val="0"/>
                    <w:keepLines w:val="0"/>
                    <w:suppressLineNumbers w:val="0"/>
                    <w:bidi w:val="0"/>
                    <w:spacing w:before="0" w:beforeAutospacing="0" w:after="0" w:afterAutospacing="0"/>
                    <w:ind w:left="0" w:right="0"/>
                    <w:rPr>
                      <w:rFonts w:hint="default"/>
                    </w:rPr>
                  </w:pPr>
                  <w:r>
                    <w:rPr>
                      <w:rFonts w:hint="eastAsia"/>
                    </w:rPr>
                    <w:t>规格型号</w:t>
                  </w:r>
                </w:p>
              </w:tc>
            </w:tr>
            <w:tr w14:paraId="35568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93" w:type="pct"/>
                  <w:vMerge w:val="continue"/>
                  <w:tcBorders>
                    <w:tl2br w:val="nil"/>
                    <w:tr2bl w:val="nil"/>
                  </w:tcBorders>
                  <w:shd w:val="clear" w:color="auto" w:fill="auto"/>
                  <w:vAlign w:val="center"/>
                </w:tcPr>
                <w:p w14:paraId="0DC4A615">
                  <w:pPr>
                    <w:pStyle w:val="8"/>
                    <w:keepNext w:val="0"/>
                    <w:keepLines w:val="0"/>
                    <w:suppressLineNumbers w:val="0"/>
                    <w:bidi w:val="0"/>
                    <w:spacing w:before="0" w:beforeAutospacing="0" w:after="0" w:afterAutospacing="0"/>
                    <w:ind w:left="0" w:right="0"/>
                    <w:rPr>
                      <w:rFonts w:hint="default"/>
                    </w:rPr>
                  </w:pPr>
                </w:p>
              </w:tc>
              <w:tc>
                <w:tcPr>
                  <w:tcW w:w="1795" w:type="pct"/>
                  <w:vMerge w:val="continue"/>
                  <w:tcBorders>
                    <w:tl2br w:val="nil"/>
                    <w:tr2bl w:val="nil"/>
                  </w:tcBorders>
                  <w:shd w:val="clear" w:color="auto" w:fill="auto"/>
                  <w:vAlign w:val="center"/>
                </w:tcPr>
                <w:p w14:paraId="2D8820DD">
                  <w:pPr>
                    <w:pStyle w:val="8"/>
                    <w:keepNext w:val="0"/>
                    <w:keepLines w:val="0"/>
                    <w:suppressLineNumbers w:val="0"/>
                    <w:bidi w:val="0"/>
                    <w:spacing w:before="0" w:beforeAutospacing="0" w:after="0" w:afterAutospacing="0"/>
                    <w:ind w:left="0" w:right="0"/>
                    <w:rPr>
                      <w:rFonts w:hint="default"/>
                    </w:rPr>
                  </w:pPr>
                </w:p>
              </w:tc>
              <w:tc>
                <w:tcPr>
                  <w:tcW w:w="424" w:type="pct"/>
                  <w:vMerge w:val="continue"/>
                  <w:tcBorders>
                    <w:tl2br w:val="nil"/>
                    <w:tr2bl w:val="nil"/>
                  </w:tcBorders>
                  <w:shd w:val="clear" w:color="auto" w:fill="auto"/>
                  <w:vAlign w:val="center"/>
                </w:tcPr>
                <w:p w14:paraId="4E6797C0">
                  <w:pPr>
                    <w:pStyle w:val="8"/>
                    <w:keepNext w:val="0"/>
                    <w:keepLines w:val="0"/>
                    <w:suppressLineNumbers w:val="0"/>
                    <w:bidi w:val="0"/>
                    <w:spacing w:before="0" w:beforeAutospacing="0" w:after="0" w:afterAutospacing="0"/>
                    <w:ind w:left="0" w:right="0"/>
                    <w:rPr>
                      <w:rFonts w:hint="default"/>
                    </w:rPr>
                  </w:pPr>
                </w:p>
              </w:tc>
              <w:tc>
                <w:tcPr>
                  <w:tcW w:w="803" w:type="pct"/>
                  <w:vMerge w:val="continue"/>
                  <w:tcBorders>
                    <w:tl2br w:val="nil"/>
                    <w:tr2bl w:val="nil"/>
                  </w:tcBorders>
                  <w:shd w:val="clear" w:color="auto" w:fill="auto"/>
                  <w:vAlign w:val="center"/>
                </w:tcPr>
                <w:p w14:paraId="41C3731F">
                  <w:pPr>
                    <w:pStyle w:val="8"/>
                    <w:keepNext w:val="0"/>
                    <w:keepLines w:val="0"/>
                    <w:suppressLineNumbers w:val="0"/>
                    <w:bidi w:val="0"/>
                    <w:spacing w:before="0" w:beforeAutospacing="0" w:after="0" w:afterAutospacing="0"/>
                    <w:ind w:left="0" w:right="0"/>
                    <w:rPr>
                      <w:rFonts w:hint="default"/>
                    </w:rPr>
                  </w:pPr>
                </w:p>
              </w:tc>
              <w:tc>
                <w:tcPr>
                  <w:tcW w:w="1483" w:type="pct"/>
                  <w:vMerge w:val="continue"/>
                  <w:tcBorders>
                    <w:tl2br w:val="nil"/>
                    <w:tr2bl w:val="nil"/>
                  </w:tcBorders>
                  <w:shd w:val="clear" w:color="auto" w:fill="auto"/>
                  <w:vAlign w:val="center"/>
                </w:tcPr>
                <w:p w14:paraId="26259AF2">
                  <w:pPr>
                    <w:pStyle w:val="8"/>
                    <w:keepNext w:val="0"/>
                    <w:keepLines w:val="0"/>
                    <w:suppressLineNumbers w:val="0"/>
                    <w:bidi w:val="0"/>
                    <w:spacing w:before="0" w:beforeAutospacing="0" w:after="0" w:afterAutospacing="0"/>
                    <w:ind w:left="0" w:right="0"/>
                    <w:rPr>
                      <w:rFonts w:hint="default"/>
                    </w:rPr>
                  </w:pPr>
                </w:p>
              </w:tc>
            </w:tr>
            <w:tr w14:paraId="1E4F1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047164D9">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w:t>
                  </w:r>
                </w:p>
              </w:tc>
              <w:tc>
                <w:tcPr>
                  <w:tcW w:w="1795" w:type="pct"/>
                  <w:tcBorders>
                    <w:tl2br w:val="nil"/>
                    <w:tr2bl w:val="nil"/>
                  </w:tcBorders>
                  <w:shd w:val="clear" w:color="auto" w:fill="auto"/>
                  <w:vAlign w:val="center"/>
                </w:tcPr>
                <w:p w14:paraId="4D7DF8CC">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投料斗</w:t>
                  </w:r>
                </w:p>
              </w:tc>
              <w:tc>
                <w:tcPr>
                  <w:tcW w:w="424" w:type="pct"/>
                  <w:tcBorders>
                    <w:tl2br w:val="nil"/>
                    <w:tr2bl w:val="nil"/>
                  </w:tcBorders>
                  <w:shd w:val="clear" w:color="auto" w:fill="auto"/>
                  <w:vAlign w:val="center"/>
                </w:tcPr>
                <w:p w14:paraId="43A38CE7">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台</w:t>
                  </w:r>
                </w:p>
              </w:tc>
              <w:tc>
                <w:tcPr>
                  <w:tcW w:w="803" w:type="pct"/>
                  <w:tcBorders>
                    <w:tl2br w:val="nil"/>
                    <w:tr2bl w:val="nil"/>
                  </w:tcBorders>
                  <w:shd w:val="clear" w:color="auto" w:fill="auto"/>
                  <w:vAlign w:val="center"/>
                </w:tcPr>
                <w:p w14:paraId="09581F36">
                  <w:pPr>
                    <w:pStyle w:val="8"/>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4</w:t>
                  </w:r>
                </w:p>
              </w:tc>
              <w:tc>
                <w:tcPr>
                  <w:tcW w:w="1483" w:type="pct"/>
                  <w:tcBorders>
                    <w:tl2br w:val="nil"/>
                    <w:tr2bl w:val="nil"/>
                  </w:tcBorders>
                  <w:shd w:val="clear" w:color="auto" w:fill="auto"/>
                  <w:vAlign w:val="center"/>
                </w:tcPr>
                <w:p w14:paraId="6FE19D74">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TLD250</w:t>
                  </w:r>
                </w:p>
              </w:tc>
            </w:tr>
            <w:tr w14:paraId="2F5785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06142666">
                  <w:pPr>
                    <w:pStyle w:val="8"/>
                    <w:keepNext w:val="0"/>
                    <w:keepLines w:val="0"/>
                    <w:suppressLineNumbers w:val="0"/>
                    <w:bidi w:val="0"/>
                    <w:spacing w:before="0" w:beforeAutospacing="0" w:after="0" w:afterAutospacing="0"/>
                    <w:ind w:left="0" w:right="0"/>
                    <w:rPr>
                      <w:rFonts w:hint="default"/>
                    </w:rPr>
                  </w:pPr>
                  <w:r>
                    <w:rPr>
                      <w:rFonts w:hint="eastAsia"/>
                      <w:lang w:val="en-US" w:eastAsia="zh-CN"/>
                    </w:rPr>
                    <w:t>2</w:t>
                  </w:r>
                </w:p>
              </w:tc>
              <w:tc>
                <w:tcPr>
                  <w:tcW w:w="1795" w:type="pct"/>
                  <w:tcBorders>
                    <w:tl2br w:val="nil"/>
                    <w:tr2bl w:val="nil"/>
                  </w:tcBorders>
                  <w:shd w:val="clear" w:color="auto" w:fill="auto"/>
                  <w:vAlign w:val="center"/>
                </w:tcPr>
                <w:p w14:paraId="236545DA">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浸出器</w:t>
                  </w:r>
                </w:p>
              </w:tc>
              <w:tc>
                <w:tcPr>
                  <w:tcW w:w="424" w:type="pct"/>
                  <w:tcBorders>
                    <w:tl2br w:val="nil"/>
                    <w:tr2bl w:val="nil"/>
                  </w:tcBorders>
                  <w:shd w:val="clear" w:color="auto" w:fill="auto"/>
                  <w:vAlign w:val="center"/>
                </w:tcPr>
                <w:p w14:paraId="7566F3E2">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台</w:t>
                  </w:r>
                </w:p>
              </w:tc>
              <w:tc>
                <w:tcPr>
                  <w:tcW w:w="803" w:type="pct"/>
                  <w:tcBorders>
                    <w:tl2br w:val="nil"/>
                    <w:tr2bl w:val="nil"/>
                  </w:tcBorders>
                  <w:shd w:val="clear" w:color="auto" w:fill="auto"/>
                  <w:vAlign w:val="center"/>
                </w:tcPr>
                <w:p w14:paraId="7867256D">
                  <w:pPr>
                    <w:pStyle w:val="8"/>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3</w:t>
                  </w:r>
                </w:p>
              </w:tc>
              <w:tc>
                <w:tcPr>
                  <w:tcW w:w="1483" w:type="pct"/>
                  <w:tcBorders>
                    <w:tl2br w:val="nil"/>
                    <w:tr2bl w:val="nil"/>
                  </w:tcBorders>
                  <w:shd w:val="clear" w:color="auto" w:fill="auto"/>
                  <w:vAlign w:val="center"/>
                </w:tcPr>
                <w:p w14:paraId="598F4EDD">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JP125-400</w:t>
                  </w:r>
                </w:p>
              </w:tc>
            </w:tr>
            <w:tr w14:paraId="28B2A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5F5F33F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3</w:t>
                  </w:r>
                </w:p>
              </w:tc>
              <w:tc>
                <w:tcPr>
                  <w:tcW w:w="1795" w:type="pct"/>
                  <w:tcBorders>
                    <w:tl2br w:val="nil"/>
                    <w:tr2bl w:val="nil"/>
                  </w:tcBorders>
                  <w:shd w:val="clear" w:color="auto" w:fill="auto"/>
                  <w:vAlign w:val="center"/>
                </w:tcPr>
                <w:p w14:paraId="7073B28A">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蒸脱机</w:t>
                  </w:r>
                </w:p>
              </w:tc>
              <w:tc>
                <w:tcPr>
                  <w:tcW w:w="424" w:type="pct"/>
                  <w:tcBorders>
                    <w:tl2br w:val="nil"/>
                    <w:tr2bl w:val="nil"/>
                  </w:tcBorders>
                  <w:shd w:val="clear" w:color="auto" w:fill="auto"/>
                  <w:vAlign w:val="center"/>
                </w:tcPr>
                <w:p w14:paraId="796B5C5D">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台</w:t>
                  </w:r>
                </w:p>
              </w:tc>
              <w:tc>
                <w:tcPr>
                  <w:tcW w:w="803" w:type="pct"/>
                  <w:tcBorders>
                    <w:tl2br w:val="nil"/>
                    <w:tr2bl w:val="nil"/>
                  </w:tcBorders>
                  <w:shd w:val="clear" w:color="auto" w:fill="auto"/>
                  <w:vAlign w:val="center"/>
                </w:tcPr>
                <w:p w14:paraId="21D17C87">
                  <w:pPr>
                    <w:pStyle w:val="8"/>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p>
              </w:tc>
              <w:tc>
                <w:tcPr>
                  <w:tcW w:w="1483" w:type="pct"/>
                  <w:tcBorders>
                    <w:tl2br w:val="nil"/>
                    <w:tr2bl w:val="nil"/>
                  </w:tcBorders>
                  <w:shd w:val="clear" w:color="auto" w:fill="auto"/>
                  <w:vAlign w:val="center"/>
                </w:tcPr>
                <w:p w14:paraId="1392E226">
                  <w:pPr>
                    <w:pStyle w:val="8"/>
                    <w:keepNext w:val="0"/>
                    <w:keepLines w:val="0"/>
                    <w:suppressLineNumbers w:val="0"/>
                    <w:bidi w:val="0"/>
                    <w:spacing w:before="0" w:beforeAutospacing="0" w:after="0" w:afterAutospacing="0"/>
                    <w:ind w:left="0" w:right="0"/>
                    <w:rPr>
                      <w:rFonts w:hint="default"/>
                      <w:color w:val="auto"/>
                    </w:rPr>
                  </w:pPr>
                  <w:r>
                    <w:rPr>
                      <w:rFonts w:hint="default"/>
                      <w:color w:val="auto"/>
                    </w:rPr>
                    <w:t>DTC500-8</w:t>
                  </w:r>
                </w:p>
              </w:tc>
            </w:tr>
            <w:tr w14:paraId="139F3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1ACF5D1E">
                  <w:pPr>
                    <w:pStyle w:val="8"/>
                    <w:keepNext w:val="0"/>
                    <w:keepLines w:val="0"/>
                    <w:suppressLineNumbers w:val="0"/>
                    <w:bidi w:val="0"/>
                    <w:spacing w:before="0" w:beforeAutospacing="0" w:after="0" w:afterAutospacing="0"/>
                    <w:ind w:left="0" w:right="0"/>
                    <w:rPr>
                      <w:rFonts w:hint="default"/>
                    </w:rPr>
                  </w:pPr>
                  <w:r>
                    <w:rPr>
                      <w:rFonts w:hint="eastAsia"/>
                      <w:lang w:val="en-US" w:eastAsia="zh-CN"/>
                    </w:rPr>
                    <w:t>4</w:t>
                  </w:r>
                </w:p>
              </w:tc>
              <w:tc>
                <w:tcPr>
                  <w:tcW w:w="1795" w:type="pct"/>
                  <w:tcBorders>
                    <w:tl2br w:val="nil"/>
                    <w:tr2bl w:val="nil"/>
                  </w:tcBorders>
                  <w:shd w:val="clear" w:color="auto" w:fill="auto"/>
                  <w:vAlign w:val="center"/>
                </w:tcPr>
                <w:p w14:paraId="03669CF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过滤机</w:t>
                  </w:r>
                </w:p>
              </w:tc>
              <w:tc>
                <w:tcPr>
                  <w:tcW w:w="424" w:type="pct"/>
                  <w:tcBorders>
                    <w:tl2br w:val="nil"/>
                    <w:tr2bl w:val="nil"/>
                  </w:tcBorders>
                  <w:shd w:val="clear" w:color="auto" w:fill="auto"/>
                  <w:vAlign w:val="center"/>
                </w:tcPr>
                <w:p w14:paraId="521EBE1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486862AC">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6</w:t>
                  </w:r>
                </w:p>
              </w:tc>
              <w:tc>
                <w:tcPr>
                  <w:tcW w:w="1483" w:type="pct"/>
                  <w:tcBorders>
                    <w:tl2br w:val="nil"/>
                    <w:tr2bl w:val="nil"/>
                  </w:tcBorders>
                  <w:shd w:val="clear" w:color="auto" w:fill="auto"/>
                  <w:vAlign w:val="center"/>
                </w:tcPr>
                <w:p w14:paraId="7FADB17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HYGL20A</w:t>
                  </w:r>
                </w:p>
              </w:tc>
            </w:tr>
            <w:tr w14:paraId="5B98AE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4A12B059">
                  <w:pPr>
                    <w:pStyle w:val="8"/>
                    <w:keepNext w:val="0"/>
                    <w:keepLines w:val="0"/>
                    <w:suppressLineNumbers w:val="0"/>
                    <w:bidi w:val="0"/>
                    <w:spacing w:before="0" w:beforeAutospacing="0" w:after="0" w:afterAutospacing="0"/>
                    <w:ind w:left="0" w:right="0"/>
                    <w:rPr>
                      <w:rFonts w:hint="default"/>
                    </w:rPr>
                  </w:pPr>
                  <w:r>
                    <w:rPr>
                      <w:rFonts w:hint="eastAsia"/>
                      <w:lang w:val="en-US" w:eastAsia="zh-CN"/>
                    </w:rPr>
                    <w:t>5</w:t>
                  </w:r>
                </w:p>
              </w:tc>
              <w:tc>
                <w:tcPr>
                  <w:tcW w:w="1795" w:type="pct"/>
                  <w:tcBorders>
                    <w:tl2br w:val="nil"/>
                    <w:tr2bl w:val="nil"/>
                  </w:tcBorders>
                  <w:shd w:val="clear" w:color="auto" w:fill="auto"/>
                  <w:vAlign w:val="center"/>
                </w:tcPr>
                <w:p w14:paraId="21D19AAA">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蒸发器</w:t>
                  </w:r>
                </w:p>
              </w:tc>
              <w:tc>
                <w:tcPr>
                  <w:tcW w:w="424" w:type="pct"/>
                  <w:tcBorders>
                    <w:tl2br w:val="nil"/>
                    <w:tr2bl w:val="nil"/>
                  </w:tcBorders>
                  <w:shd w:val="clear" w:color="auto" w:fill="auto"/>
                  <w:vAlign w:val="center"/>
                </w:tcPr>
                <w:p w14:paraId="7B1A3F02">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3B6E5F53">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1483" w:type="pct"/>
                  <w:tcBorders>
                    <w:tl2br w:val="nil"/>
                    <w:tr2bl w:val="nil"/>
                  </w:tcBorders>
                  <w:shd w:val="clear" w:color="auto" w:fill="auto"/>
                  <w:vAlign w:val="center"/>
                </w:tcPr>
                <w:p w14:paraId="7C40DF3F">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ZFI-900</w:t>
                  </w:r>
                </w:p>
              </w:tc>
            </w:tr>
            <w:tr w14:paraId="465AD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5FD5428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6</w:t>
                  </w:r>
                </w:p>
              </w:tc>
              <w:tc>
                <w:tcPr>
                  <w:tcW w:w="1795" w:type="pct"/>
                  <w:tcBorders>
                    <w:tl2br w:val="nil"/>
                    <w:tr2bl w:val="nil"/>
                  </w:tcBorders>
                  <w:shd w:val="clear" w:color="auto" w:fill="auto"/>
                  <w:vAlign w:val="center"/>
                </w:tcPr>
                <w:p w14:paraId="2B14251B">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冷凝器</w:t>
                  </w:r>
                </w:p>
              </w:tc>
              <w:tc>
                <w:tcPr>
                  <w:tcW w:w="424" w:type="pct"/>
                  <w:tcBorders>
                    <w:tl2br w:val="nil"/>
                    <w:tr2bl w:val="nil"/>
                  </w:tcBorders>
                  <w:shd w:val="clear" w:color="auto" w:fill="auto"/>
                  <w:vAlign w:val="center"/>
                </w:tcPr>
                <w:p w14:paraId="37C0BC0B">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台</w:t>
                  </w:r>
                </w:p>
              </w:tc>
              <w:tc>
                <w:tcPr>
                  <w:tcW w:w="803" w:type="pct"/>
                  <w:tcBorders>
                    <w:tl2br w:val="nil"/>
                    <w:tr2bl w:val="nil"/>
                  </w:tcBorders>
                  <w:shd w:val="clear" w:color="auto" w:fill="auto"/>
                  <w:vAlign w:val="center"/>
                </w:tcPr>
                <w:p w14:paraId="0B039833">
                  <w:pPr>
                    <w:pStyle w:val="8"/>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14</w:t>
                  </w:r>
                </w:p>
              </w:tc>
              <w:tc>
                <w:tcPr>
                  <w:tcW w:w="1483" w:type="pct"/>
                  <w:tcBorders>
                    <w:tl2br w:val="nil"/>
                    <w:tr2bl w:val="nil"/>
                  </w:tcBorders>
                  <w:shd w:val="clear" w:color="auto" w:fill="auto"/>
                  <w:vAlign w:val="center"/>
                </w:tcPr>
                <w:p w14:paraId="66D15F5C">
                  <w:pPr>
                    <w:pStyle w:val="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745EB4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78AAF60D">
                  <w:pPr>
                    <w:pStyle w:val="8"/>
                    <w:keepNext w:val="0"/>
                    <w:keepLines w:val="0"/>
                    <w:suppressLineNumbers w:val="0"/>
                    <w:bidi w:val="0"/>
                    <w:spacing w:before="0" w:beforeAutospacing="0" w:after="0" w:afterAutospacing="0"/>
                    <w:ind w:left="0" w:right="0"/>
                    <w:rPr>
                      <w:rFonts w:hint="default"/>
                    </w:rPr>
                  </w:pPr>
                  <w:r>
                    <w:rPr>
                      <w:rFonts w:hint="eastAsia"/>
                      <w:lang w:val="en-US" w:eastAsia="zh-CN"/>
                    </w:rPr>
                    <w:t>7</w:t>
                  </w:r>
                </w:p>
              </w:tc>
              <w:tc>
                <w:tcPr>
                  <w:tcW w:w="1795" w:type="pct"/>
                  <w:tcBorders>
                    <w:tl2br w:val="nil"/>
                    <w:tr2bl w:val="nil"/>
                  </w:tcBorders>
                  <w:shd w:val="clear" w:color="auto" w:fill="auto"/>
                  <w:vAlign w:val="center"/>
                </w:tcPr>
                <w:p w14:paraId="4AE359CF">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闪发器</w:t>
                  </w:r>
                </w:p>
              </w:tc>
              <w:tc>
                <w:tcPr>
                  <w:tcW w:w="424" w:type="pct"/>
                  <w:tcBorders>
                    <w:tl2br w:val="nil"/>
                    <w:tr2bl w:val="nil"/>
                  </w:tcBorders>
                  <w:shd w:val="clear" w:color="auto" w:fill="auto"/>
                  <w:vAlign w:val="center"/>
                </w:tcPr>
                <w:p w14:paraId="7FE24357">
                  <w:pPr>
                    <w:pStyle w:val="8"/>
                    <w:keepNext w:val="0"/>
                    <w:keepLines w:val="0"/>
                    <w:suppressLineNumbers w:val="0"/>
                    <w:bidi w:val="0"/>
                    <w:spacing w:before="0" w:beforeAutospacing="0" w:after="0" w:afterAutospacing="0"/>
                    <w:ind w:left="0" w:right="0"/>
                    <w:rPr>
                      <w:rFonts w:hint="default"/>
                      <w:color w:val="auto"/>
                    </w:rPr>
                  </w:pPr>
                </w:p>
              </w:tc>
              <w:tc>
                <w:tcPr>
                  <w:tcW w:w="803" w:type="pct"/>
                  <w:tcBorders>
                    <w:tl2br w:val="nil"/>
                    <w:tr2bl w:val="nil"/>
                  </w:tcBorders>
                  <w:shd w:val="clear" w:color="auto" w:fill="auto"/>
                  <w:vAlign w:val="center"/>
                </w:tcPr>
                <w:p w14:paraId="2100E7B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8</w:t>
                  </w:r>
                </w:p>
              </w:tc>
              <w:tc>
                <w:tcPr>
                  <w:tcW w:w="1483" w:type="pct"/>
                  <w:tcBorders>
                    <w:tl2br w:val="nil"/>
                    <w:tr2bl w:val="nil"/>
                  </w:tcBorders>
                  <w:shd w:val="clear" w:color="auto" w:fill="auto"/>
                  <w:vAlign w:val="center"/>
                </w:tcPr>
                <w:p w14:paraId="06EEDD7A">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ZS200-180</w:t>
                  </w:r>
                  <w:r>
                    <w:rPr>
                      <w:rFonts w:hint="eastAsia"/>
                      <w:color w:val="auto"/>
                      <w:lang w:val="en-US" w:eastAsia="zh-CN"/>
                    </w:rPr>
                    <w:t>/</w:t>
                  </w:r>
                  <w:r>
                    <w:rPr>
                      <w:rFonts w:hint="eastAsia"/>
                      <w:color w:val="auto"/>
                    </w:rPr>
                    <w:t>YZS250-300</w:t>
                  </w:r>
                </w:p>
              </w:tc>
            </w:tr>
            <w:tr w14:paraId="3CBA12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2FC59A8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8</w:t>
                  </w:r>
                </w:p>
              </w:tc>
              <w:tc>
                <w:tcPr>
                  <w:tcW w:w="1795" w:type="pct"/>
                  <w:tcBorders>
                    <w:tl2br w:val="nil"/>
                    <w:tr2bl w:val="nil"/>
                  </w:tcBorders>
                  <w:shd w:val="clear" w:color="auto" w:fill="auto"/>
                  <w:vAlign w:val="center"/>
                </w:tcPr>
                <w:p w14:paraId="77FB041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一线溶剂分水循环库</w:t>
                  </w:r>
                </w:p>
              </w:tc>
              <w:tc>
                <w:tcPr>
                  <w:tcW w:w="424" w:type="pct"/>
                  <w:tcBorders>
                    <w:tl2br w:val="nil"/>
                    <w:tr2bl w:val="nil"/>
                  </w:tcBorders>
                  <w:shd w:val="clear" w:color="auto" w:fill="auto"/>
                  <w:vAlign w:val="center"/>
                </w:tcPr>
                <w:p w14:paraId="49D6D65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6742249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1</w:t>
                  </w:r>
                </w:p>
              </w:tc>
              <w:tc>
                <w:tcPr>
                  <w:tcW w:w="1483" w:type="pct"/>
                  <w:tcBorders>
                    <w:tl2br w:val="nil"/>
                    <w:tr2bl w:val="nil"/>
                  </w:tcBorders>
                  <w:shd w:val="clear" w:color="auto" w:fill="auto"/>
                  <w:vAlign w:val="center"/>
                </w:tcPr>
                <w:p w14:paraId="7726C10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rPr>
                    <w:t>HRQ220</w:t>
                  </w:r>
                </w:p>
              </w:tc>
            </w:tr>
            <w:tr w14:paraId="48FCC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64707E20">
                  <w:pPr>
                    <w:pStyle w:val="8"/>
                    <w:keepNext w:val="0"/>
                    <w:keepLines w:val="0"/>
                    <w:suppressLineNumbers w:val="0"/>
                    <w:bidi w:val="0"/>
                    <w:spacing w:before="0" w:beforeAutospacing="0" w:after="0" w:afterAutospacing="0"/>
                    <w:ind w:left="0" w:right="0"/>
                    <w:rPr>
                      <w:rFonts w:hint="default"/>
                    </w:rPr>
                  </w:pPr>
                  <w:r>
                    <w:rPr>
                      <w:rFonts w:hint="eastAsia"/>
                      <w:lang w:val="en-US" w:eastAsia="zh-CN"/>
                    </w:rPr>
                    <w:t>9</w:t>
                  </w:r>
                </w:p>
              </w:tc>
              <w:tc>
                <w:tcPr>
                  <w:tcW w:w="1795" w:type="pct"/>
                  <w:tcBorders>
                    <w:tl2br w:val="nil"/>
                    <w:tr2bl w:val="nil"/>
                  </w:tcBorders>
                  <w:shd w:val="clear" w:color="auto" w:fill="auto"/>
                  <w:vAlign w:val="center"/>
                </w:tcPr>
                <w:p w14:paraId="3F3F1AD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二线溶剂分水循环库</w:t>
                  </w:r>
                </w:p>
              </w:tc>
              <w:tc>
                <w:tcPr>
                  <w:tcW w:w="424" w:type="pct"/>
                  <w:tcBorders>
                    <w:tl2br w:val="nil"/>
                    <w:tr2bl w:val="nil"/>
                  </w:tcBorders>
                  <w:shd w:val="clear" w:color="auto" w:fill="auto"/>
                  <w:vAlign w:val="center"/>
                </w:tcPr>
                <w:p w14:paraId="281018F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7816D39B">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1</w:t>
                  </w:r>
                </w:p>
              </w:tc>
              <w:tc>
                <w:tcPr>
                  <w:tcW w:w="1483" w:type="pct"/>
                  <w:tcBorders>
                    <w:tl2br w:val="nil"/>
                    <w:tr2bl w:val="nil"/>
                  </w:tcBorders>
                  <w:shd w:val="clear" w:color="auto" w:fill="auto"/>
                  <w:vAlign w:val="center"/>
                </w:tcPr>
                <w:p w14:paraId="47C1C47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FSQ220</w:t>
                  </w:r>
                </w:p>
              </w:tc>
            </w:tr>
            <w:tr w14:paraId="59C90C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6ED5ADC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10</w:t>
                  </w:r>
                </w:p>
              </w:tc>
              <w:tc>
                <w:tcPr>
                  <w:tcW w:w="1795" w:type="pct"/>
                  <w:tcBorders>
                    <w:tl2br w:val="nil"/>
                    <w:tr2bl w:val="nil"/>
                  </w:tcBorders>
                  <w:shd w:val="clear" w:color="auto" w:fill="auto"/>
                  <w:vAlign w:val="center"/>
                </w:tcPr>
                <w:p w14:paraId="3F9165E1">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沙克龙</w:t>
                  </w:r>
                </w:p>
              </w:tc>
              <w:tc>
                <w:tcPr>
                  <w:tcW w:w="424" w:type="pct"/>
                  <w:tcBorders>
                    <w:tl2br w:val="nil"/>
                    <w:tr2bl w:val="nil"/>
                  </w:tcBorders>
                  <w:shd w:val="clear" w:color="auto" w:fill="auto"/>
                  <w:vAlign w:val="center"/>
                </w:tcPr>
                <w:p w14:paraId="3425746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024C1A54">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4</w:t>
                  </w:r>
                </w:p>
              </w:tc>
              <w:tc>
                <w:tcPr>
                  <w:tcW w:w="1483" w:type="pct"/>
                  <w:tcBorders>
                    <w:tl2br w:val="nil"/>
                    <w:tr2bl w:val="nil"/>
                  </w:tcBorders>
                  <w:shd w:val="clear" w:color="auto" w:fill="auto"/>
                  <w:vAlign w:val="center"/>
                </w:tcPr>
                <w:p w14:paraId="274DFF4F">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LXC160</w:t>
                  </w:r>
                </w:p>
              </w:tc>
            </w:tr>
            <w:tr w14:paraId="1F8487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5BE69695">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11</w:t>
                  </w:r>
                </w:p>
              </w:tc>
              <w:tc>
                <w:tcPr>
                  <w:tcW w:w="1795" w:type="pct"/>
                  <w:tcBorders>
                    <w:tl2br w:val="nil"/>
                    <w:tr2bl w:val="nil"/>
                  </w:tcBorders>
                  <w:shd w:val="clear" w:color="auto" w:fill="auto"/>
                  <w:vAlign w:val="center"/>
                </w:tcPr>
                <w:p w14:paraId="1ED5A68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冷冻回收</w:t>
                  </w:r>
                </w:p>
              </w:tc>
              <w:tc>
                <w:tcPr>
                  <w:tcW w:w="424" w:type="pct"/>
                  <w:tcBorders>
                    <w:tl2br w:val="nil"/>
                    <w:tr2bl w:val="nil"/>
                  </w:tcBorders>
                  <w:shd w:val="clear" w:color="auto" w:fill="auto"/>
                  <w:vAlign w:val="center"/>
                </w:tcPr>
                <w:p w14:paraId="248169C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5A1E4630">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3</w:t>
                  </w:r>
                </w:p>
              </w:tc>
              <w:tc>
                <w:tcPr>
                  <w:tcW w:w="1483" w:type="pct"/>
                  <w:tcBorders>
                    <w:tl2br w:val="nil"/>
                    <w:tr2bl w:val="nil"/>
                  </w:tcBorders>
                  <w:shd w:val="clear" w:color="auto" w:fill="auto"/>
                  <w:vAlign w:val="center"/>
                </w:tcPr>
                <w:p w14:paraId="0EA8D36A">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HS24</w:t>
                  </w:r>
                </w:p>
              </w:tc>
            </w:tr>
            <w:tr w14:paraId="4DD2FA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3" w:type="pct"/>
                  <w:tcBorders>
                    <w:tl2br w:val="nil"/>
                    <w:tr2bl w:val="nil"/>
                  </w:tcBorders>
                  <w:shd w:val="clear" w:color="auto" w:fill="auto"/>
                  <w:vAlign w:val="center"/>
                </w:tcPr>
                <w:p w14:paraId="0CCCDAB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12</w:t>
                  </w:r>
                </w:p>
              </w:tc>
              <w:tc>
                <w:tcPr>
                  <w:tcW w:w="1795" w:type="pct"/>
                  <w:tcBorders>
                    <w:tl2br w:val="nil"/>
                    <w:tr2bl w:val="nil"/>
                  </w:tcBorders>
                  <w:shd w:val="clear" w:color="auto" w:fill="auto"/>
                  <w:vAlign w:val="center"/>
                </w:tcPr>
                <w:p w14:paraId="095E7E2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生产线泵</w:t>
                  </w:r>
                </w:p>
              </w:tc>
              <w:tc>
                <w:tcPr>
                  <w:tcW w:w="424" w:type="pct"/>
                  <w:tcBorders>
                    <w:tl2br w:val="nil"/>
                    <w:tr2bl w:val="nil"/>
                  </w:tcBorders>
                  <w:shd w:val="clear" w:color="auto" w:fill="auto"/>
                  <w:vAlign w:val="center"/>
                </w:tcPr>
                <w:p w14:paraId="3C900A5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6153EF11">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40</w:t>
                  </w:r>
                </w:p>
              </w:tc>
              <w:tc>
                <w:tcPr>
                  <w:tcW w:w="1483" w:type="pct"/>
                  <w:tcBorders>
                    <w:tl2br w:val="nil"/>
                    <w:tr2bl w:val="nil"/>
                  </w:tcBorders>
                  <w:shd w:val="clear" w:color="auto" w:fill="auto"/>
                  <w:vAlign w:val="center"/>
                </w:tcPr>
                <w:p w14:paraId="7D33D054">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DCZ80-200C</w:t>
                  </w:r>
                </w:p>
              </w:tc>
            </w:tr>
            <w:tr w14:paraId="22BE01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078B950D">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13</w:t>
                  </w:r>
                </w:p>
              </w:tc>
              <w:tc>
                <w:tcPr>
                  <w:tcW w:w="1795" w:type="pct"/>
                  <w:tcBorders>
                    <w:tl2br w:val="nil"/>
                    <w:tr2bl w:val="nil"/>
                  </w:tcBorders>
                  <w:shd w:val="clear" w:color="auto" w:fill="auto"/>
                  <w:vAlign w:val="center"/>
                </w:tcPr>
                <w:p w14:paraId="58B43014">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室外新溶泵</w:t>
                  </w:r>
                </w:p>
              </w:tc>
              <w:tc>
                <w:tcPr>
                  <w:tcW w:w="424" w:type="pct"/>
                  <w:tcBorders>
                    <w:tl2br w:val="nil"/>
                    <w:tr2bl w:val="nil"/>
                  </w:tcBorders>
                  <w:shd w:val="clear" w:color="auto" w:fill="auto"/>
                  <w:vAlign w:val="center"/>
                </w:tcPr>
                <w:p w14:paraId="38608B61">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03D115E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6</w:t>
                  </w:r>
                  <w:r>
                    <w:rPr>
                      <w:rFonts w:hint="eastAsia"/>
                      <w:color w:val="auto"/>
                      <w:lang w:val="en-US" w:eastAsia="zh-CN"/>
                    </w:rPr>
                    <w:t>（3用3备）</w:t>
                  </w:r>
                </w:p>
              </w:tc>
              <w:tc>
                <w:tcPr>
                  <w:tcW w:w="1483" w:type="pct"/>
                  <w:tcBorders>
                    <w:tl2br w:val="nil"/>
                    <w:tr2bl w:val="nil"/>
                  </w:tcBorders>
                  <w:shd w:val="clear" w:color="auto" w:fill="auto"/>
                  <w:vAlign w:val="center"/>
                </w:tcPr>
                <w:p w14:paraId="794825F2">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DZX40-160B</w:t>
                  </w:r>
                </w:p>
              </w:tc>
            </w:tr>
            <w:tr w14:paraId="761DD8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48E066DB">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14</w:t>
                  </w:r>
                </w:p>
              </w:tc>
              <w:tc>
                <w:tcPr>
                  <w:tcW w:w="1795" w:type="pct"/>
                  <w:tcBorders>
                    <w:tl2br w:val="nil"/>
                    <w:tr2bl w:val="nil"/>
                  </w:tcBorders>
                  <w:shd w:val="clear" w:color="auto" w:fill="auto"/>
                  <w:vAlign w:val="center"/>
                </w:tcPr>
                <w:p w14:paraId="06A684E0">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室外</w:t>
                  </w:r>
                  <w:r>
                    <w:rPr>
                      <w:rFonts w:hint="eastAsia"/>
                      <w:color w:val="auto"/>
                    </w:rPr>
                    <w:t>循环水泵</w:t>
                  </w:r>
                </w:p>
              </w:tc>
              <w:tc>
                <w:tcPr>
                  <w:tcW w:w="424" w:type="pct"/>
                  <w:tcBorders>
                    <w:tl2br w:val="nil"/>
                    <w:tr2bl w:val="nil"/>
                  </w:tcBorders>
                  <w:shd w:val="clear" w:color="auto" w:fill="auto"/>
                  <w:vAlign w:val="center"/>
                </w:tcPr>
                <w:p w14:paraId="164C0D6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44CA037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6</w:t>
                  </w:r>
                  <w:r>
                    <w:rPr>
                      <w:rFonts w:hint="eastAsia"/>
                      <w:color w:val="auto"/>
                      <w:lang w:val="en-US" w:eastAsia="zh-CN"/>
                    </w:rPr>
                    <w:t>（3用3备）</w:t>
                  </w:r>
                </w:p>
              </w:tc>
              <w:tc>
                <w:tcPr>
                  <w:tcW w:w="1483" w:type="pct"/>
                  <w:tcBorders>
                    <w:tl2br w:val="nil"/>
                    <w:tr2bl w:val="nil"/>
                  </w:tcBorders>
                  <w:shd w:val="clear" w:color="auto" w:fill="auto"/>
                  <w:vAlign w:val="center"/>
                </w:tcPr>
                <w:p w14:paraId="69B14CF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JYSN350-N13-361</w:t>
                  </w:r>
                </w:p>
              </w:tc>
            </w:tr>
            <w:tr w14:paraId="093219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0B0CFBA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15</w:t>
                  </w:r>
                </w:p>
              </w:tc>
              <w:tc>
                <w:tcPr>
                  <w:tcW w:w="1795" w:type="pct"/>
                  <w:tcBorders>
                    <w:tl2br w:val="nil"/>
                    <w:tr2bl w:val="nil"/>
                  </w:tcBorders>
                  <w:shd w:val="clear" w:color="auto" w:fill="auto"/>
                  <w:vAlign w:val="center"/>
                </w:tcPr>
                <w:p w14:paraId="0426F8F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室外隔膜泵</w:t>
                  </w:r>
                </w:p>
              </w:tc>
              <w:tc>
                <w:tcPr>
                  <w:tcW w:w="424" w:type="pct"/>
                  <w:tcBorders>
                    <w:tl2br w:val="nil"/>
                    <w:tr2bl w:val="nil"/>
                  </w:tcBorders>
                  <w:shd w:val="clear" w:color="auto" w:fill="auto"/>
                  <w:vAlign w:val="center"/>
                </w:tcPr>
                <w:p w14:paraId="2F214FC3">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5259055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3</w:t>
                  </w:r>
                </w:p>
              </w:tc>
              <w:tc>
                <w:tcPr>
                  <w:tcW w:w="1483" w:type="pct"/>
                  <w:tcBorders>
                    <w:tl2br w:val="nil"/>
                    <w:tr2bl w:val="nil"/>
                  </w:tcBorders>
                  <w:shd w:val="clear" w:color="auto" w:fill="auto"/>
                  <w:vAlign w:val="center"/>
                </w:tcPr>
                <w:p w14:paraId="688FD0FC">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DBY3B-50PFF</w:t>
                  </w:r>
                </w:p>
              </w:tc>
            </w:tr>
            <w:tr w14:paraId="1E324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507DFE69">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16</w:t>
                  </w:r>
                </w:p>
              </w:tc>
              <w:tc>
                <w:tcPr>
                  <w:tcW w:w="1795" w:type="pct"/>
                  <w:tcBorders>
                    <w:tl2br w:val="nil"/>
                    <w:tr2bl w:val="nil"/>
                  </w:tcBorders>
                  <w:shd w:val="clear" w:color="auto" w:fill="auto"/>
                  <w:vAlign w:val="center"/>
                </w:tcPr>
                <w:p w14:paraId="56B8815C">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风机</w:t>
                  </w:r>
                </w:p>
              </w:tc>
              <w:tc>
                <w:tcPr>
                  <w:tcW w:w="424" w:type="pct"/>
                  <w:tcBorders>
                    <w:tl2br w:val="nil"/>
                    <w:tr2bl w:val="nil"/>
                  </w:tcBorders>
                  <w:shd w:val="clear" w:color="auto" w:fill="auto"/>
                  <w:vAlign w:val="center"/>
                </w:tcPr>
                <w:p w14:paraId="30C755BA">
                  <w:pPr>
                    <w:pStyle w:val="8"/>
                    <w:keepNext w:val="0"/>
                    <w:keepLines w:val="0"/>
                    <w:suppressLineNumbers w:val="0"/>
                    <w:bidi w:val="0"/>
                    <w:spacing w:before="0" w:beforeAutospacing="0" w:after="0" w:afterAutospacing="0"/>
                    <w:ind w:left="0" w:right="0"/>
                    <w:rPr>
                      <w:rFonts w:hint="default"/>
                      <w:color w:val="auto"/>
                    </w:rPr>
                  </w:pPr>
                  <w:r>
                    <w:rPr>
                      <w:rFonts w:hint="eastAsia"/>
                      <w:color w:val="auto"/>
                    </w:rPr>
                    <w:t>台</w:t>
                  </w:r>
                </w:p>
              </w:tc>
              <w:tc>
                <w:tcPr>
                  <w:tcW w:w="803" w:type="pct"/>
                  <w:tcBorders>
                    <w:tl2br w:val="nil"/>
                    <w:tr2bl w:val="nil"/>
                  </w:tcBorders>
                  <w:shd w:val="clear" w:color="auto" w:fill="auto"/>
                  <w:vAlign w:val="center"/>
                </w:tcPr>
                <w:p w14:paraId="1A70E989">
                  <w:pPr>
                    <w:pStyle w:val="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3</w:t>
                  </w:r>
                </w:p>
              </w:tc>
              <w:tc>
                <w:tcPr>
                  <w:tcW w:w="1483" w:type="pct"/>
                  <w:tcBorders>
                    <w:tl2br w:val="nil"/>
                    <w:tr2bl w:val="nil"/>
                  </w:tcBorders>
                  <w:shd w:val="clear" w:color="auto" w:fill="auto"/>
                  <w:vAlign w:val="center"/>
                </w:tcPr>
                <w:p w14:paraId="353F41D8">
                  <w:pPr>
                    <w:pStyle w:val="8"/>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38E307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783D8118">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17</w:t>
                  </w:r>
                </w:p>
              </w:tc>
              <w:tc>
                <w:tcPr>
                  <w:tcW w:w="1795" w:type="pct"/>
                  <w:tcBorders>
                    <w:tl2br w:val="nil"/>
                    <w:tr2bl w:val="nil"/>
                  </w:tcBorders>
                  <w:shd w:val="clear" w:color="auto" w:fill="auto"/>
                  <w:vAlign w:val="center"/>
                </w:tcPr>
                <w:p w14:paraId="270ECD7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色素灌装机</w:t>
                  </w:r>
                </w:p>
              </w:tc>
              <w:tc>
                <w:tcPr>
                  <w:tcW w:w="424" w:type="pct"/>
                  <w:tcBorders>
                    <w:tl2br w:val="nil"/>
                    <w:tr2bl w:val="nil"/>
                  </w:tcBorders>
                  <w:shd w:val="clear" w:color="auto" w:fill="auto"/>
                  <w:vAlign w:val="center"/>
                </w:tcPr>
                <w:p w14:paraId="7E5621F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30CE429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2</w:t>
                  </w:r>
                </w:p>
              </w:tc>
              <w:tc>
                <w:tcPr>
                  <w:tcW w:w="1483" w:type="pct"/>
                  <w:tcBorders>
                    <w:tl2br w:val="nil"/>
                    <w:tr2bl w:val="nil"/>
                  </w:tcBorders>
                  <w:shd w:val="clear" w:color="auto" w:fill="auto"/>
                  <w:vAlign w:val="center"/>
                </w:tcPr>
                <w:p w14:paraId="47CBCDF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GAF1500SWA-EX</w:t>
                  </w:r>
                </w:p>
              </w:tc>
            </w:tr>
            <w:tr w14:paraId="22A363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08AC5B5B">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18</w:t>
                  </w:r>
                </w:p>
              </w:tc>
              <w:tc>
                <w:tcPr>
                  <w:tcW w:w="1795" w:type="pct"/>
                  <w:tcBorders>
                    <w:tl2br w:val="nil"/>
                    <w:tr2bl w:val="nil"/>
                  </w:tcBorders>
                  <w:shd w:val="clear" w:color="auto" w:fill="auto"/>
                  <w:vAlign w:val="center"/>
                </w:tcPr>
                <w:p w14:paraId="014D634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室外溶剂罐</w:t>
                  </w:r>
                </w:p>
              </w:tc>
              <w:tc>
                <w:tcPr>
                  <w:tcW w:w="424" w:type="pct"/>
                  <w:tcBorders>
                    <w:tl2br w:val="nil"/>
                    <w:tr2bl w:val="nil"/>
                  </w:tcBorders>
                  <w:shd w:val="clear" w:color="auto" w:fill="auto"/>
                  <w:vAlign w:val="center"/>
                </w:tcPr>
                <w:p w14:paraId="22E6F94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45A5B4A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6</w:t>
                  </w:r>
                </w:p>
              </w:tc>
              <w:tc>
                <w:tcPr>
                  <w:tcW w:w="1483" w:type="pct"/>
                  <w:tcBorders>
                    <w:tl2br w:val="nil"/>
                    <w:tr2bl w:val="nil"/>
                  </w:tcBorders>
                  <w:shd w:val="clear" w:color="auto" w:fill="auto"/>
                  <w:vAlign w:val="center"/>
                </w:tcPr>
                <w:p w14:paraId="1B8AE487">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RJK50</w:t>
                  </w:r>
                </w:p>
              </w:tc>
            </w:tr>
            <w:tr w14:paraId="5E55E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93" w:type="pct"/>
                  <w:tcBorders>
                    <w:tl2br w:val="nil"/>
                    <w:tr2bl w:val="nil"/>
                  </w:tcBorders>
                  <w:shd w:val="clear" w:color="auto" w:fill="auto"/>
                  <w:vAlign w:val="center"/>
                </w:tcPr>
                <w:p w14:paraId="4D50098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19</w:t>
                  </w:r>
                </w:p>
              </w:tc>
              <w:tc>
                <w:tcPr>
                  <w:tcW w:w="1795" w:type="pct"/>
                  <w:tcBorders>
                    <w:tl2br w:val="nil"/>
                    <w:tr2bl w:val="nil"/>
                  </w:tcBorders>
                  <w:shd w:val="clear" w:color="auto" w:fill="auto"/>
                  <w:vAlign w:val="center"/>
                </w:tcPr>
                <w:p w14:paraId="747D1BD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晾水塔</w:t>
                  </w:r>
                </w:p>
              </w:tc>
              <w:tc>
                <w:tcPr>
                  <w:tcW w:w="424" w:type="pct"/>
                  <w:tcBorders>
                    <w:tl2br w:val="nil"/>
                    <w:tr2bl w:val="nil"/>
                  </w:tcBorders>
                  <w:shd w:val="clear" w:color="auto" w:fill="auto"/>
                  <w:vAlign w:val="center"/>
                </w:tcPr>
                <w:p w14:paraId="391E44EF">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018562F3">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2</w:t>
                  </w:r>
                </w:p>
              </w:tc>
              <w:tc>
                <w:tcPr>
                  <w:tcW w:w="1483" w:type="pct"/>
                  <w:tcBorders>
                    <w:tl2br w:val="nil"/>
                    <w:tr2bl w:val="nil"/>
                  </w:tcBorders>
                  <w:shd w:val="clear" w:color="auto" w:fill="auto"/>
                  <w:vAlign w:val="center"/>
                </w:tcPr>
                <w:p w14:paraId="1E76E9F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GBNL3-2000</w:t>
                  </w:r>
                </w:p>
              </w:tc>
            </w:tr>
            <w:tr w14:paraId="629235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493" w:type="pct"/>
                  <w:tcBorders>
                    <w:tl2br w:val="nil"/>
                    <w:tr2bl w:val="nil"/>
                  </w:tcBorders>
                  <w:shd w:val="clear" w:color="auto" w:fill="auto"/>
                  <w:vAlign w:val="center"/>
                </w:tcPr>
                <w:p w14:paraId="56026966">
                  <w:pPr>
                    <w:pStyle w:val="8"/>
                    <w:keepNext w:val="0"/>
                    <w:keepLines w:val="0"/>
                    <w:suppressLineNumbers w:val="0"/>
                    <w:bidi w:val="0"/>
                    <w:spacing w:before="0" w:beforeAutospacing="0" w:after="0" w:afterAutospacing="0"/>
                    <w:ind w:left="0" w:right="0"/>
                    <w:rPr>
                      <w:rFonts w:hint="default"/>
                    </w:rPr>
                  </w:pPr>
                  <w:r>
                    <w:rPr>
                      <w:rFonts w:hint="eastAsia"/>
                      <w:lang w:val="en-US" w:eastAsia="zh-CN"/>
                    </w:rPr>
                    <w:t>20</w:t>
                  </w:r>
                </w:p>
              </w:tc>
              <w:tc>
                <w:tcPr>
                  <w:tcW w:w="1795" w:type="pct"/>
                  <w:tcBorders>
                    <w:tl2br w:val="nil"/>
                    <w:tr2bl w:val="nil"/>
                  </w:tcBorders>
                  <w:shd w:val="clear" w:color="auto" w:fill="auto"/>
                  <w:vAlign w:val="center"/>
                </w:tcPr>
                <w:p w14:paraId="63411941">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空压机</w:t>
                  </w:r>
                </w:p>
              </w:tc>
              <w:tc>
                <w:tcPr>
                  <w:tcW w:w="424" w:type="pct"/>
                  <w:tcBorders>
                    <w:tl2br w:val="nil"/>
                    <w:tr2bl w:val="nil"/>
                  </w:tcBorders>
                  <w:shd w:val="clear" w:color="auto" w:fill="auto"/>
                  <w:vAlign w:val="center"/>
                </w:tcPr>
                <w:p w14:paraId="05A76CED">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39694A0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1</w:t>
                  </w:r>
                </w:p>
              </w:tc>
              <w:tc>
                <w:tcPr>
                  <w:tcW w:w="1483" w:type="pct"/>
                  <w:tcBorders>
                    <w:tl2br w:val="nil"/>
                    <w:tr2bl w:val="nil"/>
                  </w:tcBorders>
                  <w:shd w:val="clear" w:color="auto" w:fill="auto"/>
                  <w:vAlign w:val="center"/>
                </w:tcPr>
                <w:p w14:paraId="353ACD3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rPr>
                    <w:t>37kw</w:t>
                  </w:r>
                </w:p>
              </w:tc>
            </w:tr>
            <w:tr w14:paraId="36BA50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493" w:type="pct"/>
                  <w:tcBorders>
                    <w:tl2br w:val="nil"/>
                    <w:tr2bl w:val="nil"/>
                  </w:tcBorders>
                  <w:shd w:val="clear" w:color="auto" w:fill="auto"/>
                  <w:vAlign w:val="center"/>
                </w:tcPr>
                <w:p w14:paraId="541A43CC">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21</w:t>
                  </w:r>
                </w:p>
              </w:tc>
              <w:tc>
                <w:tcPr>
                  <w:tcW w:w="1795" w:type="pct"/>
                  <w:tcBorders>
                    <w:tl2br w:val="nil"/>
                    <w:tr2bl w:val="nil"/>
                  </w:tcBorders>
                  <w:shd w:val="clear" w:color="auto" w:fill="auto"/>
                  <w:vAlign w:val="center"/>
                </w:tcPr>
                <w:p w14:paraId="5CCB2341">
                  <w:pPr>
                    <w:pStyle w:val="8"/>
                    <w:keepNext w:val="0"/>
                    <w:keepLines w:val="0"/>
                    <w:suppressLineNumbers w:val="0"/>
                    <w:bidi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布袋除尘器</w:t>
                  </w:r>
                </w:p>
              </w:tc>
              <w:tc>
                <w:tcPr>
                  <w:tcW w:w="424" w:type="pct"/>
                  <w:tcBorders>
                    <w:tl2br w:val="nil"/>
                    <w:tr2bl w:val="nil"/>
                  </w:tcBorders>
                  <w:shd w:val="clear" w:color="auto" w:fill="auto"/>
                  <w:vAlign w:val="center"/>
                </w:tcPr>
                <w:p w14:paraId="56EA708A">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rPr>
                    <w:t>台</w:t>
                  </w:r>
                </w:p>
              </w:tc>
              <w:tc>
                <w:tcPr>
                  <w:tcW w:w="803" w:type="pct"/>
                  <w:tcBorders>
                    <w:tl2br w:val="nil"/>
                    <w:tr2bl w:val="nil"/>
                  </w:tcBorders>
                  <w:shd w:val="clear" w:color="auto" w:fill="auto"/>
                  <w:vAlign w:val="center"/>
                </w:tcPr>
                <w:p w14:paraId="7FF35350">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4"/>
                      <w:lang w:val="en-US" w:eastAsia="zh-CN" w:bidi="ar-SA"/>
                    </w:rPr>
                  </w:pPr>
                  <w:r>
                    <w:rPr>
                      <w:rFonts w:hint="default"/>
                      <w:color w:val="auto"/>
                      <w:lang w:val="en-US" w:eastAsia="zh-CN"/>
                    </w:rPr>
                    <w:t>1</w:t>
                  </w:r>
                </w:p>
              </w:tc>
              <w:tc>
                <w:tcPr>
                  <w:tcW w:w="1483" w:type="pct"/>
                  <w:tcBorders>
                    <w:tl2br w:val="nil"/>
                    <w:tr2bl w:val="nil"/>
                  </w:tcBorders>
                  <w:shd w:val="clear" w:color="auto" w:fill="auto"/>
                  <w:vAlign w:val="center"/>
                </w:tcPr>
                <w:p w14:paraId="7F1D6BE3">
                  <w:pPr>
                    <w:pStyle w:val="8"/>
                    <w:keepNext w:val="0"/>
                    <w:keepLines w:val="0"/>
                    <w:suppressLineNumbers w:val="0"/>
                    <w:bidi w:val="0"/>
                    <w:spacing w:before="0" w:beforeAutospacing="0" w:after="0" w:afterAutospacing="0"/>
                    <w:ind w:left="0" w:leftChars="0" w:right="0" w:rightChars="0" w:firstLine="0" w:firstLineChars="0"/>
                    <w:rPr>
                      <w:rFonts w:hint="eastAsia" w:eastAsia="宋体"/>
                      <w:color w:val="auto"/>
                      <w:lang w:val="en-US" w:eastAsia="zh-CN"/>
                    </w:rPr>
                  </w:pPr>
                  <w:r>
                    <w:rPr>
                      <w:rFonts w:hint="eastAsia"/>
                      <w:color w:val="auto"/>
                      <w:lang w:val="en-US" w:eastAsia="zh-CN"/>
                    </w:rPr>
                    <w:t>/</w:t>
                  </w:r>
                </w:p>
              </w:tc>
            </w:tr>
          </w:tbl>
          <w:p w14:paraId="0CC3ED56">
            <w:pPr>
              <w:pStyle w:val="4"/>
              <w:numPr>
                <w:ilvl w:val="0"/>
                <w:numId w:val="0"/>
              </w:numPr>
              <w:suppressLineNumbers w:val="0"/>
              <w:bidi w:val="0"/>
              <w:spacing w:before="0" w:beforeAutospacing="0" w:after="0" w:afterAutospacing="0"/>
              <w:ind w:left="0" w:leftChars="0" w:right="0" w:rightChars="0"/>
              <w:rPr>
                <w:rFonts w:hint="eastAsia"/>
                <w:lang w:val="en-US" w:eastAsia="zh-CN"/>
              </w:rPr>
            </w:pPr>
            <w:r>
              <w:rPr>
                <w:rFonts w:hint="eastAsia"/>
                <w:lang w:val="en-US" w:eastAsia="zh-CN"/>
              </w:rPr>
              <w:t>6、平面布置</w:t>
            </w:r>
          </w:p>
          <w:p w14:paraId="3BE4D17A">
            <w:pPr>
              <w:keepNext w:val="0"/>
              <w:keepLines w:val="0"/>
              <w:suppressLineNumbers w:val="0"/>
              <w:bidi w:val="0"/>
              <w:spacing w:before="0" w:beforeAutospacing="0" w:after="0" w:afterAutospacing="0"/>
              <w:ind w:left="0" w:right="0"/>
              <w:rPr>
                <w:rFonts w:hint="eastAsia"/>
                <w:lang w:val="en-US" w:eastAsia="zh-CN"/>
              </w:rPr>
            </w:pPr>
            <w:r>
              <w:rPr>
                <w:rFonts w:hint="eastAsia"/>
              </w:rPr>
              <w:t>本项目</w:t>
            </w:r>
            <w:r>
              <w:rPr>
                <w:rFonts w:hint="eastAsia"/>
                <w:lang w:val="en-US" w:eastAsia="zh-CN"/>
              </w:rPr>
              <w:t>总体为矩形，出入口位于厂界西侧，由东向西依次为投料车间、中控室、生产车间、辣椒粕车间，生产车间北侧为循环冷却水塔，冷却水塔两侧各三个正己烷储罐，投料车间北侧为高压室</w:t>
            </w:r>
            <w:r>
              <w:rPr>
                <w:rFonts w:hint="default"/>
              </w:rPr>
              <w:t>。</w:t>
            </w:r>
            <w:r>
              <w:rPr>
                <w:rFonts w:hint="eastAsia"/>
                <w:lang w:eastAsia="zh-CN"/>
              </w:rPr>
              <w:t>厂区</w:t>
            </w:r>
            <w:r>
              <w:rPr>
                <w:rFonts w:hint="default"/>
              </w:rPr>
              <w:t>平面布置图见附</w:t>
            </w:r>
            <w:r>
              <w:rPr>
                <w:rFonts w:hint="eastAsia"/>
                <w:lang w:eastAsia="zh-CN"/>
              </w:rPr>
              <w:t>图</w:t>
            </w:r>
            <w:r>
              <w:rPr>
                <w:rFonts w:hint="eastAsia"/>
                <w:lang w:val="en-US" w:eastAsia="zh-CN"/>
              </w:rPr>
              <w:t>3</w:t>
            </w:r>
            <w:r>
              <w:rPr>
                <w:rFonts w:hint="eastAsia"/>
                <w:lang w:eastAsia="zh-CN"/>
              </w:rPr>
              <w:t>。</w:t>
            </w:r>
          </w:p>
          <w:p w14:paraId="41322BEB">
            <w:pPr>
              <w:pStyle w:val="4"/>
              <w:numPr>
                <w:ilvl w:val="0"/>
                <w:numId w:val="0"/>
              </w:numPr>
              <w:suppressLineNumbers w:val="0"/>
              <w:bidi w:val="0"/>
              <w:spacing w:before="0" w:beforeAutospacing="0" w:after="0" w:afterAutospacing="0"/>
              <w:ind w:left="0" w:leftChars="0" w:right="0" w:rightChars="0"/>
              <w:rPr>
                <w:rFonts w:hint="eastAsia"/>
                <w:lang w:val="en-US" w:eastAsia="zh-CN"/>
              </w:rPr>
            </w:pPr>
            <w:r>
              <w:rPr>
                <w:rFonts w:hint="eastAsia"/>
                <w:lang w:val="en-US" w:eastAsia="zh-CN"/>
              </w:rPr>
              <w:t>7、劳动定员及工作制度</w:t>
            </w:r>
          </w:p>
          <w:p w14:paraId="735F3FFF">
            <w:pPr>
              <w:keepNext w:val="0"/>
              <w:keepLines w:val="0"/>
              <w:suppressLineNumbers w:val="0"/>
              <w:bidi w:val="0"/>
              <w:spacing w:before="0" w:beforeAutospacing="0" w:after="0" w:afterAutospacing="0"/>
              <w:ind w:left="0" w:right="0"/>
              <w:rPr>
                <w:rFonts w:hint="eastAsia"/>
                <w:lang w:eastAsia="zh-CN"/>
              </w:rPr>
            </w:pPr>
            <w:r>
              <w:rPr>
                <w:rFonts w:hint="default"/>
              </w:rPr>
              <w:t>劳动定员：</w:t>
            </w:r>
            <w:r>
              <w:rPr>
                <w:rFonts w:hint="eastAsia"/>
                <w:lang w:eastAsia="zh-CN"/>
              </w:rPr>
              <w:t>劳动人员</w:t>
            </w:r>
            <w:r>
              <w:rPr>
                <w:rFonts w:hint="eastAsia"/>
                <w:lang w:val="en-US" w:eastAsia="zh-CN"/>
              </w:rPr>
              <w:t>30人，不在项目区食宿。</w:t>
            </w:r>
          </w:p>
          <w:p w14:paraId="187F1AE0">
            <w:pPr>
              <w:keepNext w:val="0"/>
              <w:keepLines w:val="0"/>
              <w:suppressLineNumbers w:val="0"/>
              <w:bidi w:val="0"/>
              <w:spacing w:before="0" w:beforeAutospacing="0" w:after="0" w:afterAutospacing="0"/>
              <w:ind w:left="0" w:right="0"/>
              <w:rPr>
                <w:rFonts w:hint="eastAsia"/>
                <w:lang w:eastAsia="zh-CN"/>
              </w:rPr>
            </w:pPr>
            <w:r>
              <w:rPr>
                <w:rFonts w:hint="default"/>
              </w:rPr>
              <w:t>工作制度：全年生产</w:t>
            </w:r>
            <w:r>
              <w:rPr>
                <w:rFonts w:hint="eastAsia"/>
                <w:lang w:eastAsia="zh-CN"/>
              </w:rPr>
              <w:t>周期</w:t>
            </w:r>
            <w:r>
              <w:rPr>
                <w:rFonts w:hint="default"/>
              </w:rPr>
              <w:t>约</w:t>
            </w:r>
            <w:r>
              <w:rPr>
                <w:rFonts w:hint="eastAsia"/>
                <w:lang w:val="en-US" w:eastAsia="zh-CN"/>
              </w:rPr>
              <w:t>30</w:t>
            </w:r>
            <w:r>
              <w:rPr>
                <w:rFonts w:hint="default"/>
              </w:rPr>
              <w:t>天，</w:t>
            </w:r>
            <w:r>
              <w:rPr>
                <w:rFonts w:hint="eastAsia"/>
                <w:lang w:val="en-US" w:eastAsia="zh-CN"/>
              </w:rPr>
              <w:t>生产期为11月份，</w:t>
            </w:r>
            <w:r>
              <w:rPr>
                <w:rFonts w:hint="default"/>
                <w:lang w:val="zh-CN"/>
              </w:rPr>
              <w:t>生产工人</w:t>
            </w:r>
            <w:r>
              <w:rPr>
                <w:rFonts w:hint="eastAsia"/>
                <w:lang w:val="zh-CN"/>
              </w:rPr>
              <w:t>三</w:t>
            </w:r>
            <w:r>
              <w:rPr>
                <w:rFonts w:hint="default"/>
                <w:lang w:val="zh-CN"/>
              </w:rPr>
              <w:t>班制</w:t>
            </w:r>
            <w:r>
              <w:rPr>
                <w:rFonts w:hint="eastAsia"/>
                <w:lang w:val="zh-CN"/>
              </w:rPr>
              <w:t>，</w:t>
            </w:r>
            <w:r>
              <w:rPr>
                <w:rFonts w:hint="default"/>
              </w:rPr>
              <w:t>每班</w:t>
            </w:r>
            <w:r>
              <w:rPr>
                <w:rFonts w:hint="eastAsia"/>
                <w:lang w:val="en-US" w:eastAsia="zh-CN"/>
              </w:rPr>
              <w:t>8</w:t>
            </w:r>
            <w:r>
              <w:rPr>
                <w:rFonts w:hint="default"/>
              </w:rPr>
              <w:t>h。</w:t>
            </w:r>
          </w:p>
          <w:p w14:paraId="2CDD2EF1">
            <w:pPr>
              <w:pStyle w:val="4"/>
              <w:numPr>
                <w:ilvl w:val="0"/>
                <w:numId w:val="0"/>
              </w:numPr>
              <w:suppressLineNumbers w:val="0"/>
              <w:bidi w:val="0"/>
              <w:spacing w:before="0" w:beforeAutospacing="0" w:after="0" w:afterAutospacing="0"/>
              <w:ind w:left="0" w:leftChars="0" w:right="0" w:rightChars="0"/>
              <w:rPr>
                <w:rFonts w:hint="default"/>
              </w:rPr>
            </w:pPr>
            <w:r>
              <w:rPr>
                <w:rFonts w:hint="eastAsia"/>
                <w:lang w:val="en-US" w:eastAsia="zh-CN"/>
              </w:rPr>
              <w:t>8、</w:t>
            </w:r>
            <w:r>
              <w:rPr>
                <w:rFonts w:hint="eastAsia"/>
                <w:lang w:eastAsia="zh-CN"/>
              </w:rPr>
              <w:t>公用工程</w:t>
            </w:r>
          </w:p>
          <w:p w14:paraId="4A6FC758">
            <w:pPr>
              <w:pStyle w:val="4"/>
              <w:suppressLineNumbers w:val="0"/>
              <w:bidi w:val="0"/>
              <w:spacing w:before="0" w:beforeAutospacing="0" w:after="0" w:afterAutospacing="0"/>
              <w:ind w:left="0" w:right="0"/>
              <w:rPr>
                <w:rFonts w:hint="default"/>
                <w:lang w:val="en-US" w:eastAsia="zh-CN"/>
              </w:rPr>
            </w:pPr>
            <w:r>
              <w:rPr>
                <w:rFonts w:hint="eastAsia"/>
                <w:lang w:val="en-US" w:eastAsia="zh-CN"/>
              </w:rPr>
              <w:t>8.1用水</w:t>
            </w:r>
          </w:p>
          <w:p w14:paraId="5803E99D">
            <w:pPr>
              <w:keepNext w:val="0"/>
              <w:keepLines w:val="0"/>
              <w:suppressLineNumbers w:val="0"/>
              <w:bidi w:val="0"/>
              <w:spacing w:before="0" w:beforeAutospacing="0" w:after="0" w:afterAutospacing="0"/>
              <w:ind w:left="0" w:right="0"/>
              <w:rPr>
                <w:rFonts w:hint="eastAsia"/>
                <w:lang w:eastAsia="zh-CN"/>
              </w:rPr>
            </w:pPr>
            <w:r>
              <w:rPr>
                <w:rFonts w:hint="default"/>
              </w:rPr>
              <w:t>项目的用水主要包括</w:t>
            </w:r>
            <w:r>
              <w:rPr>
                <w:rFonts w:hint="eastAsia"/>
                <w:lang w:eastAsia="zh-CN"/>
              </w:rPr>
              <w:t>循环水冷却水补水。</w:t>
            </w:r>
          </w:p>
          <w:p w14:paraId="21EE4919">
            <w:pPr>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循环水冷却水：根据业主提供资料，循环水冷却水</w:t>
            </w:r>
            <w:r>
              <w:rPr>
                <w:rFonts w:hint="eastAsia"/>
                <w:lang w:val="en-US" w:eastAsia="zh-CN"/>
              </w:rPr>
              <w:t>第一次补水量约500m</w:t>
            </w:r>
            <w:r>
              <w:rPr>
                <w:rFonts w:hint="eastAsia"/>
                <w:vertAlign w:val="superscript"/>
                <w:lang w:val="en-US" w:eastAsia="zh-CN"/>
              </w:rPr>
              <w:t>3</w:t>
            </w:r>
            <w:r>
              <w:rPr>
                <w:rFonts w:hint="eastAsia"/>
                <w:lang w:val="en-US" w:eastAsia="zh-CN"/>
              </w:rPr>
              <w:t>，颗粒植物提取生产线的</w:t>
            </w:r>
            <w:r>
              <w:rPr>
                <w:rFonts w:hint="eastAsia"/>
                <w:lang w:eastAsia="zh-CN"/>
              </w:rPr>
              <w:t>循环水冷却水补水量为</w:t>
            </w:r>
            <w:r>
              <w:rPr>
                <w:rFonts w:hint="eastAsia"/>
                <w:lang w:val="en-US" w:eastAsia="zh-CN"/>
              </w:rPr>
              <w:t>100m</w:t>
            </w:r>
            <w:r>
              <w:rPr>
                <w:rFonts w:hint="eastAsia"/>
                <w:vertAlign w:val="superscript"/>
                <w:lang w:val="en-US" w:eastAsia="zh-CN"/>
              </w:rPr>
              <w:t>3</w:t>
            </w:r>
            <w:r>
              <w:rPr>
                <w:rFonts w:hint="eastAsia"/>
                <w:lang w:val="en-US" w:eastAsia="zh-CN"/>
              </w:rPr>
              <w:t>/d，则年用水量约3500m</w:t>
            </w:r>
            <w:r>
              <w:rPr>
                <w:rFonts w:hint="eastAsia"/>
                <w:vertAlign w:val="superscript"/>
                <w:lang w:val="en-US" w:eastAsia="zh-CN"/>
              </w:rPr>
              <w:t>3</w:t>
            </w:r>
            <w:r>
              <w:rPr>
                <w:rFonts w:hint="eastAsia"/>
                <w:lang w:val="en-US" w:eastAsia="zh-CN"/>
              </w:rPr>
              <w:t>/a。</w:t>
            </w:r>
          </w:p>
          <w:p w14:paraId="172059D2">
            <w:pPr>
              <w:pStyle w:val="4"/>
              <w:suppressLineNumbers w:val="0"/>
              <w:bidi w:val="0"/>
              <w:spacing w:before="0" w:beforeAutospacing="0" w:after="0" w:afterAutospacing="0"/>
              <w:ind w:left="0" w:right="0"/>
              <w:rPr>
                <w:rFonts w:hint="eastAsia"/>
                <w:lang w:val="en-US" w:eastAsia="zh-CN"/>
              </w:rPr>
            </w:pPr>
            <w:r>
              <w:rPr>
                <w:rFonts w:hint="eastAsia"/>
                <w:lang w:val="en-US" w:eastAsia="zh-CN"/>
              </w:rPr>
              <w:t>8.2排水</w:t>
            </w:r>
          </w:p>
          <w:p w14:paraId="08711B8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工业废水：冷却水循环使用，不外排。</w:t>
            </w:r>
          </w:p>
          <w:p w14:paraId="105C06E5">
            <w:pPr>
              <w:keepNext w:val="0"/>
              <w:keepLines w:val="0"/>
              <w:suppressLineNumbers w:val="0"/>
              <w:bidi w:val="0"/>
              <w:spacing w:before="0" w:beforeAutospacing="0" w:after="0" w:afterAutospacing="0"/>
              <w:ind w:left="0" w:right="0"/>
              <w:rPr>
                <w:rFonts w:hint="eastAsia"/>
                <w:lang w:val="en-US" w:eastAsia="zh-CN"/>
              </w:rPr>
            </w:pPr>
            <w:r>
              <w:rPr>
                <w:rFonts w:hint="default"/>
              </w:rPr>
              <w:t>项目给、排水平衡</w:t>
            </w:r>
            <w:r>
              <w:rPr>
                <w:rFonts w:hint="eastAsia"/>
                <w:lang w:eastAsia="zh-CN"/>
              </w:rPr>
              <w:t>图</w:t>
            </w:r>
            <w:r>
              <w:rPr>
                <w:rFonts w:hint="default"/>
              </w:rPr>
              <w:t>。</w:t>
            </w:r>
          </w:p>
          <w:p w14:paraId="04DF4C02">
            <w:pPr>
              <w:pStyle w:val="6"/>
              <w:keepNext w:val="0"/>
              <w:keepLines w:val="0"/>
              <w:suppressLineNumbers w:val="0"/>
              <w:bidi w:val="0"/>
              <w:spacing w:before="0" w:beforeAutospacing="0" w:after="0" w:afterAutospacing="0"/>
              <w:ind w:left="0" w:leftChars="0" w:right="0" w:firstLine="0" w:firstLineChars="0"/>
              <w:jc w:val="center"/>
              <w:rPr>
                <w:rFonts w:hint="eastAsia"/>
                <w:lang w:val="en-US" w:eastAsia="zh-CN"/>
              </w:rPr>
            </w:pPr>
            <w:r>
              <w:rPr>
                <w:rFonts w:hint="eastAsia"/>
                <w:lang w:val="en-US" w:eastAsia="zh-CN"/>
              </w:rPr>
              <w:drawing>
                <wp:inline distT="0" distB="0" distL="114300" distR="114300">
                  <wp:extent cx="4043680" cy="1574800"/>
                  <wp:effectExtent l="0" t="0" r="0" b="0"/>
                  <wp:docPr id="1" name="ECB019B1-382A-4266-B25C-5B523AA43C14-1" descr="C:/Users/Administrator/AppData/Local/Temp/wps.OhKBz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OhKBzdwps"/>
                          <pic:cNvPicPr>
                            <a:picLocks noChangeAspect="1"/>
                          </pic:cNvPicPr>
                        </pic:nvPicPr>
                        <pic:blipFill>
                          <a:blip r:embed="rId12"/>
                          <a:stretch>
                            <a:fillRect/>
                          </a:stretch>
                        </pic:blipFill>
                        <pic:spPr>
                          <a:xfrm>
                            <a:off x="0" y="0"/>
                            <a:ext cx="4043680" cy="1574800"/>
                          </a:xfrm>
                          <a:prstGeom prst="rect">
                            <a:avLst/>
                          </a:prstGeom>
                        </pic:spPr>
                      </pic:pic>
                    </a:graphicData>
                  </a:graphic>
                </wp:inline>
              </w:drawing>
            </w:r>
          </w:p>
          <w:p w14:paraId="683928EF">
            <w:pPr>
              <w:pStyle w:val="6"/>
              <w:keepNext w:val="0"/>
              <w:keepLines w:val="0"/>
              <w:suppressLineNumbers w:val="0"/>
              <w:bidi w:val="0"/>
              <w:spacing w:before="0" w:beforeAutospacing="0" w:after="0" w:afterAutospacing="0"/>
              <w:ind w:left="0" w:right="0"/>
              <w:jc w:val="center"/>
              <w:rPr>
                <w:rFonts w:hint="eastAsia"/>
                <w:lang w:val="en-US" w:eastAsia="zh-CN"/>
              </w:rPr>
            </w:pPr>
            <w:r>
              <w:rPr>
                <w:rFonts w:hint="eastAsia"/>
                <w:lang w:val="en-US" w:eastAsia="zh-CN"/>
              </w:rPr>
              <w:t>图2-1 项目水平衡图（m</w:t>
            </w:r>
            <w:r>
              <w:rPr>
                <w:rFonts w:hint="eastAsia"/>
                <w:vertAlign w:val="superscript"/>
                <w:lang w:val="en-US" w:eastAsia="zh-CN"/>
              </w:rPr>
              <w:t>3</w:t>
            </w:r>
            <w:r>
              <w:rPr>
                <w:rFonts w:hint="eastAsia"/>
                <w:lang w:val="en-US" w:eastAsia="zh-CN"/>
              </w:rPr>
              <w:t>/d）</w:t>
            </w:r>
          </w:p>
          <w:p w14:paraId="2C42C5EA">
            <w:pPr>
              <w:pStyle w:val="4"/>
              <w:suppressLineNumbers w:val="0"/>
              <w:bidi w:val="0"/>
              <w:spacing w:before="0" w:beforeAutospacing="0" w:after="0" w:afterAutospacing="0"/>
              <w:ind w:left="0" w:right="0"/>
              <w:rPr>
                <w:rFonts w:hint="default"/>
              </w:rPr>
            </w:pPr>
            <w:r>
              <w:rPr>
                <w:rFonts w:hint="eastAsia"/>
                <w:lang w:val="en-US" w:eastAsia="zh-CN"/>
              </w:rPr>
              <w:t>8.3</w:t>
            </w:r>
            <w:r>
              <w:rPr>
                <w:rFonts w:hint="default"/>
              </w:rPr>
              <w:t>供电</w:t>
            </w:r>
          </w:p>
          <w:p w14:paraId="7633357E">
            <w:pPr>
              <w:keepNext w:val="0"/>
              <w:keepLines w:val="0"/>
              <w:suppressLineNumbers w:val="0"/>
              <w:bidi w:val="0"/>
              <w:spacing w:before="0" w:beforeAutospacing="0" w:after="0" w:afterAutospacing="0"/>
              <w:ind w:left="0" w:right="0"/>
              <w:rPr>
                <w:rFonts w:hint="default"/>
              </w:rPr>
            </w:pPr>
            <w:r>
              <w:rPr>
                <w:rFonts w:hint="eastAsia"/>
                <w:lang w:eastAsia="zh-CN"/>
              </w:rPr>
              <w:t>来自国家电网</w:t>
            </w:r>
            <w:r>
              <w:rPr>
                <w:rFonts w:hint="default"/>
              </w:rPr>
              <w:t>，用电有保障。</w:t>
            </w:r>
          </w:p>
          <w:p w14:paraId="748E4A72">
            <w:pPr>
              <w:pStyle w:val="4"/>
              <w:suppressLineNumbers w:val="0"/>
              <w:bidi w:val="0"/>
              <w:spacing w:before="0" w:beforeAutospacing="0" w:after="0" w:afterAutospacing="0"/>
              <w:ind w:left="0" w:right="0"/>
              <w:rPr>
                <w:rFonts w:hint="eastAsia"/>
                <w:lang w:eastAsia="zh-CN"/>
              </w:rPr>
            </w:pPr>
            <w:r>
              <w:rPr>
                <w:rFonts w:hint="eastAsia"/>
                <w:lang w:val="en-US" w:eastAsia="zh-CN"/>
              </w:rPr>
              <w:t>8.4</w:t>
            </w:r>
            <w:r>
              <w:rPr>
                <w:rFonts w:hint="default"/>
              </w:rPr>
              <w:t>供</w:t>
            </w:r>
            <w:r>
              <w:rPr>
                <w:rFonts w:hint="eastAsia"/>
                <w:lang w:eastAsia="zh-CN"/>
              </w:rPr>
              <w:t>热</w:t>
            </w:r>
          </w:p>
          <w:p w14:paraId="6BA2F7B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颗粒植物提取生产车间供热外购巴州晨光植物蛋白有限公司现有65t/h和40t/h蒸汽锅炉供给，根据生产季自行调配使用。根据业主提供资料，</w:t>
            </w:r>
            <w:r>
              <w:rPr>
                <w:rFonts w:hint="eastAsia"/>
              </w:rPr>
              <w:t>消耗</w:t>
            </w:r>
            <w:r>
              <w:rPr>
                <w:rFonts w:hint="eastAsia"/>
                <w:lang w:val="en-US" w:eastAsia="zh-CN"/>
              </w:rPr>
              <w:t>蒸汽</w:t>
            </w:r>
            <w:r>
              <w:rPr>
                <w:rFonts w:hint="eastAsia"/>
              </w:rPr>
              <w:t>量</w:t>
            </w:r>
            <w:r>
              <w:rPr>
                <w:rFonts w:hint="eastAsia"/>
                <w:lang w:val="en-US" w:eastAsia="zh-CN"/>
              </w:rPr>
              <w:t>为0.37t/t-原料，本项目蒸汽用量23.125t/h蒸汽，冷却水返回锅炉再循环。</w:t>
            </w:r>
          </w:p>
        </w:tc>
      </w:tr>
      <w:tr w14:paraId="188E5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vAlign w:val="center"/>
          </w:tcPr>
          <w:p w14:paraId="4BC204E6">
            <w:pPr>
              <w:pStyle w:val="11"/>
              <w:keepNext w:val="0"/>
              <w:keepLines w:val="0"/>
              <w:suppressLineNumbers w:val="0"/>
              <w:bidi w:val="0"/>
              <w:spacing w:before="0" w:beforeAutospacing="0" w:after="0" w:afterAutospacing="0"/>
              <w:ind w:left="0" w:right="0"/>
              <w:rPr>
                <w:rFonts w:hint="default" w:cs="宋体"/>
                <w:color w:val="000000" w:themeColor="text1"/>
                <w:szCs w:val="21"/>
                <w14:textFill>
                  <w14:solidFill>
                    <w14:schemeClr w14:val="tx1"/>
                  </w14:solidFill>
                </w14:textFill>
              </w:rPr>
            </w:pPr>
            <w:r>
              <w:rPr>
                <w:rFonts w:hint="eastAsia"/>
                <w:lang w:val="en-US" w:eastAsia="zh-CN"/>
              </w:rPr>
              <w:t>工艺流程和产排污环节</w:t>
            </w:r>
          </w:p>
        </w:tc>
        <w:tc>
          <w:tcPr>
            <w:tcW w:w="4512" w:type="pct"/>
            <w:tcBorders>
              <w:tl2br w:val="nil"/>
              <w:tr2bl w:val="nil"/>
            </w:tcBorders>
            <w:vAlign w:val="top"/>
          </w:tcPr>
          <w:p w14:paraId="563CBF12">
            <w:pPr>
              <w:pStyle w:val="4"/>
              <w:numPr>
                <w:ilvl w:val="0"/>
                <w:numId w:val="4"/>
              </w:numPr>
              <w:suppressLineNumbers w:val="0"/>
              <w:bidi w:val="0"/>
              <w:spacing w:before="0" w:beforeAutospacing="0" w:after="0" w:afterAutospacing="0"/>
              <w:ind w:left="0" w:leftChars="0" w:right="0" w:rightChars="0"/>
              <w:rPr>
                <w:rFonts w:hint="eastAsia"/>
                <w:lang w:eastAsia="zh-CN"/>
              </w:rPr>
            </w:pPr>
            <w:r>
              <w:rPr>
                <w:rFonts w:hint="eastAsia"/>
                <w:lang w:val="en-US" w:eastAsia="zh-CN"/>
              </w:rPr>
              <w:t>施工期</w:t>
            </w:r>
            <w:r>
              <w:rPr>
                <w:rFonts w:hint="eastAsia"/>
                <w:lang w:eastAsia="zh-CN"/>
              </w:rPr>
              <w:t>工艺流程和产排污环节</w:t>
            </w:r>
          </w:p>
          <w:p w14:paraId="6E086ED4">
            <w:pPr>
              <w:keepNext w:val="0"/>
              <w:keepLines w:val="0"/>
              <w:numPr>
                <w:ilvl w:val="0"/>
                <w:numId w:val="0"/>
              </w:numPr>
              <w:suppressLineNumbers w:val="0"/>
              <w:spacing w:before="0" w:beforeAutospacing="0" w:after="0" w:afterAutospacing="0"/>
              <w:ind w:left="0" w:right="0" w:rightChars="0"/>
              <w:jc w:val="center"/>
              <w:rPr>
                <w:rFonts w:hint="eastAsia"/>
                <w:lang w:val="en-US" w:eastAsia="zh-CN"/>
              </w:rPr>
            </w:pPr>
            <w:r>
              <w:rPr>
                <w:rFonts w:hint="eastAsia"/>
                <w:lang w:val="en-US" w:eastAsia="zh-CN"/>
              </w:rPr>
              <w:drawing>
                <wp:inline distT="0" distB="0" distL="114300" distR="114300">
                  <wp:extent cx="5133340" cy="2626360"/>
                  <wp:effectExtent l="0" t="0" r="0" b="0"/>
                  <wp:docPr id="2"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wps"/>
                          <pic:cNvPicPr>
                            <a:picLocks noChangeAspect="1"/>
                          </pic:cNvPicPr>
                        </pic:nvPicPr>
                        <pic:blipFill>
                          <a:blip r:embed="rId13"/>
                          <a:stretch>
                            <a:fillRect/>
                          </a:stretch>
                        </pic:blipFill>
                        <pic:spPr>
                          <a:xfrm>
                            <a:off x="0" y="0"/>
                            <a:ext cx="5133340" cy="2626360"/>
                          </a:xfrm>
                          <a:prstGeom prst="rect">
                            <a:avLst/>
                          </a:prstGeom>
                        </pic:spPr>
                      </pic:pic>
                    </a:graphicData>
                  </a:graphic>
                </wp:inline>
              </w:drawing>
            </w:r>
          </w:p>
          <w:p w14:paraId="319A8BBF">
            <w:pPr>
              <w:pStyle w:val="6"/>
              <w:keepNext w:val="0"/>
              <w:keepLines w:val="0"/>
              <w:suppressLineNumbers w:val="0"/>
              <w:bidi w:val="0"/>
              <w:spacing w:before="0" w:beforeAutospacing="0" w:after="0" w:afterAutospacing="0"/>
              <w:ind w:left="0" w:leftChars="0" w:right="0" w:firstLine="0" w:firstLineChars="0"/>
              <w:jc w:val="center"/>
              <w:rPr>
                <w:rFonts w:hint="eastAsia"/>
                <w:lang w:val="en-US" w:eastAsia="zh-CN"/>
              </w:rPr>
            </w:pPr>
            <w:r>
              <w:rPr>
                <w:rFonts w:hint="eastAsia"/>
                <w:lang w:val="en-US" w:eastAsia="zh-CN"/>
              </w:rPr>
              <w:t>图2-2 施工工艺流程及产污环节图</w:t>
            </w:r>
          </w:p>
          <w:p w14:paraId="524AC61D">
            <w:pPr>
              <w:pStyle w:val="4"/>
              <w:numPr>
                <w:ilvl w:val="0"/>
                <w:numId w:val="4"/>
              </w:numPr>
              <w:suppressLineNumbers w:val="0"/>
              <w:bidi w:val="0"/>
              <w:spacing w:before="0" w:beforeAutospacing="0" w:after="0" w:afterAutospacing="0"/>
              <w:ind w:left="0" w:leftChars="0" w:right="0" w:rightChars="0" w:firstLine="0" w:firstLineChars="0"/>
              <w:rPr>
                <w:rFonts w:hint="eastAsia"/>
                <w:lang w:eastAsia="zh-CN"/>
              </w:rPr>
            </w:pPr>
            <w:r>
              <w:rPr>
                <w:rFonts w:hint="eastAsia"/>
                <w:lang w:val="en-US" w:eastAsia="zh-CN"/>
              </w:rPr>
              <w:t>运营期</w:t>
            </w:r>
            <w:r>
              <w:rPr>
                <w:rFonts w:hint="eastAsia"/>
                <w:lang w:eastAsia="zh-CN"/>
              </w:rPr>
              <w:t>工艺流程和产排污环节</w:t>
            </w:r>
          </w:p>
          <w:p w14:paraId="5A87451B">
            <w:pPr>
              <w:pStyle w:val="6"/>
              <w:keepNext w:val="0"/>
              <w:keepLines w:val="0"/>
              <w:suppressLineNumbers w:val="0"/>
              <w:bidi w:val="0"/>
              <w:spacing w:before="0" w:beforeAutospacing="0" w:after="0" w:afterAutospacing="0"/>
              <w:ind w:left="0" w:leftChars="0" w:right="0" w:firstLine="0" w:firstLineChars="0"/>
              <w:jc w:val="center"/>
              <w:rPr>
                <w:rFonts w:hint="eastAsia"/>
                <w:lang w:val="en-US" w:eastAsia="zh-CN"/>
              </w:rPr>
            </w:pPr>
            <w:r>
              <w:rPr>
                <w:rFonts w:hint="eastAsia"/>
                <w:lang w:val="en-US" w:eastAsia="zh-CN"/>
              </w:rPr>
              <w:drawing>
                <wp:inline distT="0" distB="0" distL="114300" distR="114300">
                  <wp:extent cx="4356100" cy="3486150"/>
                  <wp:effectExtent l="0" t="0" r="0" b="0"/>
                  <wp:docPr id="4" name="ECB019B1-382A-4266-B25C-5B523AA43C14-3" descr="C:/Users/Administrator/AppData/Local/Temp/wps.TxqPO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3" descr="C:/Users/Administrator/AppData/Local/Temp/wps.TxqPOEwps"/>
                          <pic:cNvPicPr>
                            <a:picLocks noChangeAspect="1"/>
                          </pic:cNvPicPr>
                        </pic:nvPicPr>
                        <pic:blipFill>
                          <a:blip r:embed="rId14"/>
                          <a:stretch>
                            <a:fillRect/>
                          </a:stretch>
                        </pic:blipFill>
                        <pic:spPr>
                          <a:xfrm>
                            <a:off x="0" y="0"/>
                            <a:ext cx="4356100" cy="3486150"/>
                          </a:xfrm>
                          <a:prstGeom prst="rect">
                            <a:avLst/>
                          </a:prstGeom>
                        </pic:spPr>
                      </pic:pic>
                    </a:graphicData>
                  </a:graphic>
                </wp:inline>
              </w:drawing>
            </w:r>
          </w:p>
          <w:p w14:paraId="7AD54892">
            <w:pPr>
              <w:pStyle w:val="6"/>
              <w:keepNext w:val="0"/>
              <w:keepLines w:val="0"/>
              <w:suppressLineNumbers w:val="0"/>
              <w:bidi w:val="0"/>
              <w:spacing w:before="0" w:beforeAutospacing="0" w:after="0" w:afterAutospacing="0"/>
              <w:ind w:left="0" w:leftChars="0" w:right="0" w:firstLine="0" w:firstLineChars="0"/>
              <w:jc w:val="center"/>
              <w:rPr>
                <w:rFonts w:hint="default"/>
                <w:lang w:val="en-US" w:eastAsia="zh-CN"/>
              </w:rPr>
            </w:pPr>
            <w:r>
              <w:rPr>
                <w:rFonts w:hint="eastAsia"/>
                <w:lang w:val="en-US" w:eastAsia="zh-CN"/>
              </w:rPr>
              <w:t>图2-3 辣椒红辣素工艺流程及产污环节图</w:t>
            </w:r>
          </w:p>
          <w:p w14:paraId="19F63C98">
            <w:pPr>
              <w:pStyle w:val="4"/>
              <w:suppressLineNumbers w:val="0"/>
              <w:bidi w:val="0"/>
              <w:spacing w:before="0" w:beforeAutospacing="0" w:after="0" w:afterAutospacing="0"/>
              <w:ind w:left="0" w:right="0"/>
              <w:rPr>
                <w:rFonts w:hint="eastAsia"/>
                <w:lang w:eastAsia="zh-CN"/>
              </w:rPr>
            </w:pPr>
            <w:r>
              <w:rPr>
                <w:rFonts w:hint="eastAsia"/>
                <w:lang w:val="en-US" w:eastAsia="zh-CN"/>
              </w:rPr>
              <w:t>工艺流程简述：</w:t>
            </w:r>
          </w:p>
          <w:p w14:paraId="64D6D2E1">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lang w:val="en-US" w:eastAsia="zh-CN"/>
              </w:rPr>
            </w:pPr>
            <w:r>
              <w:rPr>
                <w:rFonts w:hint="default"/>
                <w:lang w:val="en-US" w:eastAsia="zh-CN"/>
              </w:rPr>
              <w:t>上料</w:t>
            </w:r>
          </w:p>
          <w:p w14:paraId="59BE640D">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辣椒颗粒位于全封闭投料车间，由装载机直接卸入进料口，经刮板输送机输送至浸提</w:t>
            </w:r>
            <w:r>
              <w:rPr>
                <w:rFonts w:hint="default"/>
                <w:lang w:val="en-US" w:eastAsia="zh-CN"/>
              </w:rPr>
              <w:t>器</w:t>
            </w:r>
            <w:r>
              <w:rPr>
                <w:rFonts w:hint="eastAsia"/>
                <w:lang w:val="en-US" w:eastAsia="zh-CN"/>
              </w:rPr>
              <w:t>中。</w:t>
            </w:r>
          </w:p>
          <w:p w14:paraId="48CF0421">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lang w:val="en-US" w:eastAsia="zh-CN"/>
              </w:rPr>
            </w:pPr>
            <w:r>
              <w:rPr>
                <w:rFonts w:hint="eastAsia"/>
                <w:lang w:val="en-US" w:eastAsia="zh-CN"/>
              </w:rPr>
              <w:t>红辣素的萃取</w:t>
            </w:r>
          </w:p>
          <w:p w14:paraId="1C48D5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eastAsia"/>
                <w:lang w:val="en-US" w:eastAsia="zh-CN"/>
              </w:rPr>
              <w:t>辣椒颗粒经刮板输送机输送至浸提</w:t>
            </w:r>
            <w:r>
              <w:rPr>
                <w:rFonts w:hint="default"/>
                <w:lang w:val="en-US" w:eastAsia="zh-CN"/>
              </w:rPr>
              <w:t>器</w:t>
            </w:r>
            <w:r>
              <w:rPr>
                <w:rFonts w:hint="eastAsia"/>
                <w:lang w:val="en-US" w:eastAsia="zh-CN"/>
              </w:rPr>
              <w:t>中，</w:t>
            </w:r>
            <w:r>
              <w:rPr>
                <w:rFonts w:hint="default"/>
                <w:lang w:val="en-US" w:eastAsia="zh-CN"/>
              </w:rPr>
              <w:t>随着</w:t>
            </w:r>
            <w:r>
              <w:rPr>
                <w:rFonts w:hint="eastAsia"/>
                <w:lang w:val="en-US" w:eastAsia="zh-CN"/>
              </w:rPr>
              <w:t>浸提</w:t>
            </w:r>
            <w:r>
              <w:rPr>
                <w:rFonts w:hint="default"/>
                <w:lang w:val="en-US" w:eastAsia="zh-CN"/>
              </w:rPr>
              <w:t>器的运转及萃取剂的喷淋萃取，原料在</w:t>
            </w:r>
            <w:r>
              <w:rPr>
                <w:rFonts w:hint="eastAsia"/>
                <w:lang w:val="en-US" w:eastAsia="zh-CN"/>
              </w:rPr>
              <w:t>浸提</w:t>
            </w:r>
            <w:r>
              <w:rPr>
                <w:rFonts w:hint="default"/>
                <w:lang w:val="en-US" w:eastAsia="zh-CN"/>
              </w:rPr>
              <w:t>器内得到粗萃取。萃取剂通过渗透作用，通过辣椒细胞壁进入辣椒细胞内，溶解细胞内的辣红素</w:t>
            </w:r>
            <w:r>
              <w:rPr>
                <w:rFonts w:hint="eastAsia"/>
                <w:lang w:val="en-US" w:eastAsia="zh-CN"/>
              </w:rPr>
              <w:t>，从</w:t>
            </w:r>
            <w:r>
              <w:rPr>
                <w:rFonts w:hint="default"/>
                <w:lang w:val="en-US" w:eastAsia="zh-CN"/>
              </w:rPr>
              <w:t>而造成细胞内外的浓度差，辣椒细胞内的高浓度辣红素溶液不断向外扩散，溶剂又不断进入辣椒组织细胞中，多次往返，直到大部分的辣红素被溶出。为提高辣红素的提取率，对</w:t>
            </w:r>
            <w:r>
              <w:rPr>
                <w:rFonts w:hint="eastAsia"/>
                <w:lang w:val="en-US" w:eastAsia="zh-CN"/>
              </w:rPr>
              <w:t>浸提</w:t>
            </w:r>
            <w:r>
              <w:rPr>
                <w:rFonts w:hint="default"/>
                <w:lang w:val="en-US" w:eastAsia="zh-CN"/>
              </w:rPr>
              <w:t>器进行加热，确保温度和压力。</w:t>
            </w:r>
          </w:p>
          <w:p w14:paraId="5AC87C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default"/>
                <w:lang w:val="en-US" w:eastAsia="zh-CN"/>
              </w:rPr>
              <w:t>粗萃取后产品分为固体湿粕和</w:t>
            </w:r>
            <w:r>
              <w:rPr>
                <w:rFonts w:hint="eastAsia"/>
                <w:lang w:val="en-US" w:eastAsia="zh-CN"/>
              </w:rPr>
              <w:t>混合溶液</w:t>
            </w:r>
            <w:r>
              <w:rPr>
                <w:rFonts w:hint="default"/>
                <w:lang w:val="en-US" w:eastAsia="zh-CN"/>
              </w:rPr>
              <w:t>，其中固体湿粕为萃取后原料渣，萃取出的</w:t>
            </w:r>
            <w:r>
              <w:rPr>
                <w:rFonts w:hint="eastAsia"/>
                <w:lang w:val="en-US" w:eastAsia="zh-CN"/>
              </w:rPr>
              <w:t>混合溶液</w:t>
            </w:r>
            <w:r>
              <w:rPr>
                <w:rFonts w:hint="default"/>
                <w:lang w:val="en-US" w:eastAsia="zh-CN"/>
              </w:rPr>
              <w:t>进入正己烷萃取剂为</w:t>
            </w:r>
            <w:r>
              <w:rPr>
                <w:rFonts w:hint="eastAsia"/>
                <w:lang w:val="en-US" w:eastAsia="zh-CN"/>
              </w:rPr>
              <w:t>混合溶液</w:t>
            </w:r>
            <w:r>
              <w:rPr>
                <w:rFonts w:hint="default"/>
                <w:lang w:val="en-US" w:eastAsia="zh-CN"/>
              </w:rPr>
              <w:t xml:space="preserve">。  </w:t>
            </w:r>
          </w:p>
          <w:p w14:paraId="36A1A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default"/>
                <w:lang w:val="en-US" w:eastAsia="zh-CN"/>
              </w:rPr>
              <w:t>（</w:t>
            </w:r>
            <w:r>
              <w:rPr>
                <w:rFonts w:hint="eastAsia"/>
                <w:lang w:val="en-US" w:eastAsia="zh-CN"/>
              </w:rPr>
              <w:t>3</w:t>
            </w:r>
            <w:r>
              <w:rPr>
                <w:rFonts w:hint="default"/>
                <w:lang w:val="en-US" w:eastAsia="zh-CN"/>
              </w:rPr>
              <w:t xml:space="preserve">）蒸脱干燥（固体湿粕）、入库 </w:t>
            </w:r>
          </w:p>
          <w:p w14:paraId="49366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default"/>
                <w:lang w:val="en-US" w:eastAsia="zh-CN"/>
              </w:rPr>
              <w:t>萃取后的固体湿粕（原料渣），进入下一道工序，在蒸脱机内湿粕被除去溶剂，</w:t>
            </w:r>
            <w:r>
              <w:rPr>
                <w:rFonts w:hint="eastAsia"/>
                <w:lang w:val="en-US" w:eastAsia="zh-CN"/>
              </w:rPr>
              <w:t>蒸脱机共分为八层，1-4层为加热烘干，5-8层为鼓风降温，烘干</w:t>
            </w:r>
            <w:r>
              <w:rPr>
                <w:rFonts w:hint="default"/>
                <w:lang w:val="en-US" w:eastAsia="zh-CN"/>
              </w:rPr>
              <w:t>经出料系统进入刮板输送机输送至</w:t>
            </w:r>
            <w:r>
              <w:rPr>
                <w:rFonts w:hint="eastAsia"/>
                <w:lang w:val="en-US" w:eastAsia="zh-CN"/>
              </w:rPr>
              <w:t>辣椒粕车间，装车外售</w:t>
            </w:r>
            <w:r>
              <w:rPr>
                <w:rFonts w:hint="default"/>
                <w:lang w:val="en-US" w:eastAsia="zh-CN"/>
              </w:rPr>
              <w:t xml:space="preserve">。蒸脱干燥工序蒸出的溶剂（正己烷）通过冷却器冷凝，将正己烷回收利用。 </w:t>
            </w:r>
          </w:p>
          <w:p w14:paraId="456807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default"/>
                <w:lang w:val="en-US" w:eastAsia="zh-CN"/>
              </w:rPr>
              <w:t>（</w:t>
            </w:r>
            <w:r>
              <w:rPr>
                <w:rFonts w:hint="eastAsia"/>
                <w:lang w:val="en-US" w:eastAsia="zh-CN"/>
              </w:rPr>
              <w:t>4</w:t>
            </w:r>
            <w:r>
              <w:rPr>
                <w:rFonts w:hint="default"/>
                <w:lang w:val="en-US" w:eastAsia="zh-CN"/>
              </w:rPr>
              <w:t>）蒸发浓缩（</w:t>
            </w:r>
            <w:r>
              <w:rPr>
                <w:rFonts w:hint="eastAsia"/>
                <w:lang w:val="en-US" w:eastAsia="zh-CN"/>
              </w:rPr>
              <w:t>混合溶液</w:t>
            </w:r>
            <w:r>
              <w:rPr>
                <w:rFonts w:hint="default"/>
                <w:lang w:val="en-US" w:eastAsia="zh-CN"/>
              </w:rPr>
              <w:t xml:space="preserve">） </w:t>
            </w:r>
          </w:p>
          <w:p w14:paraId="75B27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default"/>
                <w:lang w:val="en-US" w:eastAsia="zh-CN"/>
              </w:rPr>
              <w:t>粗萃取后的</w:t>
            </w:r>
            <w:r>
              <w:rPr>
                <w:rFonts w:hint="eastAsia"/>
                <w:lang w:val="en-US" w:eastAsia="zh-CN"/>
              </w:rPr>
              <w:t>混合溶液</w:t>
            </w:r>
            <w:r>
              <w:rPr>
                <w:rFonts w:hint="default"/>
                <w:lang w:val="en-US" w:eastAsia="zh-CN"/>
              </w:rPr>
              <w:t>，</w:t>
            </w:r>
            <w:r>
              <w:rPr>
                <w:rFonts w:hint="eastAsia"/>
                <w:lang w:val="en-US" w:eastAsia="zh-CN"/>
              </w:rPr>
              <w:t>滤液</w:t>
            </w:r>
            <w:r>
              <w:rPr>
                <w:rFonts w:hint="default"/>
                <w:lang w:val="en-US" w:eastAsia="zh-CN"/>
              </w:rPr>
              <w:t>由混合油泵输送至混合油自清式过滤器、混合油过滤机到混合油蒸发系统，</w:t>
            </w:r>
            <w:r>
              <w:rPr>
                <w:rFonts w:hint="eastAsia"/>
                <w:lang w:val="en-US" w:eastAsia="zh-CN"/>
              </w:rPr>
              <w:t>过滤固体经</w:t>
            </w:r>
            <w:r>
              <w:rPr>
                <w:rFonts w:hint="default"/>
                <w:lang w:val="en-US" w:eastAsia="zh-CN"/>
              </w:rPr>
              <w:t>刮板输送机输送至</w:t>
            </w:r>
            <w:r>
              <w:rPr>
                <w:rFonts w:hint="eastAsia"/>
                <w:lang w:val="en-US" w:eastAsia="zh-CN"/>
              </w:rPr>
              <w:t>固体糟粕蒸发工序</w:t>
            </w:r>
            <w:r>
              <w:rPr>
                <w:rFonts w:hint="default"/>
                <w:lang w:val="en-US" w:eastAsia="zh-CN"/>
              </w:rPr>
              <w:t>进行混合油的蒸发脱溶，</w:t>
            </w:r>
            <w:r>
              <w:rPr>
                <w:rFonts w:hint="eastAsia"/>
                <w:lang w:val="en-US" w:eastAsia="zh-CN"/>
              </w:rPr>
              <w:t>共经过四道蒸发器</w:t>
            </w:r>
            <w:r>
              <w:rPr>
                <w:rFonts w:hint="default"/>
                <w:lang w:val="en-US" w:eastAsia="zh-CN"/>
              </w:rPr>
              <w:t>进行浓缩，得到</w:t>
            </w:r>
            <w:r>
              <w:rPr>
                <w:rFonts w:hint="eastAsia"/>
                <w:lang w:val="en-US" w:eastAsia="zh-CN"/>
              </w:rPr>
              <w:t>红辣素和胶质水</w:t>
            </w:r>
            <w:r>
              <w:rPr>
                <w:rFonts w:hint="default"/>
                <w:lang w:val="en-US" w:eastAsia="zh-CN"/>
              </w:rPr>
              <w:t xml:space="preserve">。 </w:t>
            </w:r>
          </w:p>
          <w:p w14:paraId="45B28FD2">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5</w:t>
            </w:r>
            <w:r>
              <w:rPr>
                <w:rFonts w:hint="eastAsia"/>
                <w:lang w:eastAsia="zh-CN"/>
              </w:rPr>
              <w:t>）溶剂回收系统</w:t>
            </w:r>
          </w:p>
          <w:p w14:paraId="717F83A3">
            <w:pPr>
              <w:keepNext w:val="0"/>
              <w:keepLines w:val="0"/>
              <w:suppressLineNumbers w:val="0"/>
              <w:bidi w:val="0"/>
              <w:spacing w:before="0" w:beforeAutospacing="0" w:after="0" w:afterAutospacing="0"/>
              <w:ind w:left="0" w:right="0"/>
              <w:rPr>
                <w:rFonts w:hint="eastAsia"/>
                <w:lang w:eastAsia="zh-CN"/>
              </w:rPr>
            </w:pPr>
            <w:r>
              <w:rPr>
                <w:rFonts w:hint="default"/>
                <w:lang w:val="en-US" w:eastAsia="zh-CN"/>
              </w:rPr>
              <w:t>固体湿粕</w:t>
            </w:r>
            <w:r>
              <w:rPr>
                <w:rFonts w:hint="eastAsia"/>
                <w:lang w:eastAsia="zh-CN"/>
              </w:rPr>
              <w:t>烘干、混合溶液蒸发浓缩产生的混合蒸汽，蒸汽经过</w:t>
            </w:r>
            <w:r>
              <w:rPr>
                <w:rFonts w:hint="eastAsia"/>
                <w:lang w:val="en-US" w:eastAsia="zh-CN"/>
              </w:rPr>
              <w:t>3</w:t>
            </w:r>
            <w:r>
              <w:rPr>
                <w:rFonts w:hint="eastAsia"/>
                <w:lang w:eastAsia="zh-CN"/>
              </w:rPr>
              <w:t>道冷却循环系统，最后经过冷冻回收系统，尾气排出。</w:t>
            </w:r>
          </w:p>
          <w:p w14:paraId="0D7B7FB8">
            <w:pPr>
              <w:pStyle w:val="9"/>
              <w:keepLines w:val="0"/>
              <w:suppressLineNumbers w:val="0"/>
              <w:bidi w:val="0"/>
              <w:spacing w:before="0" w:beforeAutospacing="0" w:after="0" w:afterAutospacing="0"/>
              <w:ind w:left="0" w:right="0"/>
              <w:rPr>
                <w:rFonts w:hint="default"/>
                <w:lang w:val="en-US" w:eastAsia="zh-CN"/>
              </w:rPr>
            </w:pPr>
            <w:bookmarkStart w:id="3" w:name="_Hlk69063382"/>
            <w:r>
              <w:rPr>
                <w:rFonts w:hint="eastAsia"/>
                <w:lang w:val="en-US" w:eastAsia="zh-CN"/>
              </w:rPr>
              <w:t>表2-8                 本项目排污节点一览表</w:t>
            </w:r>
          </w:p>
          <w:bookmarkEnd w:id="3"/>
          <w:tbl>
            <w:tblPr>
              <w:tblStyle w:val="30"/>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28" w:type="dxa"/>
                <w:bottom w:w="0" w:type="dxa"/>
                <w:right w:w="28" w:type="dxa"/>
              </w:tblCellMar>
            </w:tblPr>
            <w:tblGrid>
              <w:gridCol w:w="766"/>
              <w:gridCol w:w="1395"/>
              <w:gridCol w:w="2108"/>
              <w:gridCol w:w="3809"/>
            </w:tblGrid>
            <w:tr w14:paraId="67865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474" w:type="pct"/>
                  <w:tcBorders>
                    <w:tl2br w:val="nil"/>
                    <w:tr2bl w:val="nil"/>
                  </w:tcBorders>
                  <w:shd w:val="clear" w:color="auto" w:fill="auto"/>
                  <w:noWrap w:val="0"/>
                  <w:vAlign w:val="center"/>
                </w:tcPr>
                <w:p w14:paraId="0DBC692D">
                  <w:pPr>
                    <w:pStyle w:val="8"/>
                    <w:keepNext w:val="0"/>
                    <w:keepLines w:val="0"/>
                    <w:suppressLineNumbers w:val="0"/>
                    <w:bidi w:val="0"/>
                    <w:spacing w:before="0" w:beforeAutospacing="0" w:after="0" w:afterAutospacing="0"/>
                    <w:ind w:left="0" w:right="0"/>
                    <w:rPr>
                      <w:rFonts w:hint="eastAsia"/>
                      <w:lang w:val="en-US" w:eastAsia="zh-CN"/>
                    </w:rPr>
                  </w:pPr>
                  <w:bookmarkStart w:id="4" w:name="_Hlk69063367"/>
                  <w:r>
                    <w:rPr>
                      <w:rFonts w:hint="eastAsia"/>
                      <w:lang w:val="en-US" w:eastAsia="zh-CN"/>
                    </w:rPr>
                    <w:t>类型</w:t>
                  </w:r>
                </w:p>
              </w:tc>
              <w:tc>
                <w:tcPr>
                  <w:tcW w:w="863" w:type="pct"/>
                  <w:tcBorders>
                    <w:tl2br w:val="nil"/>
                    <w:tr2bl w:val="nil"/>
                  </w:tcBorders>
                  <w:shd w:val="clear" w:color="auto" w:fill="auto"/>
                  <w:noWrap w:val="0"/>
                  <w:vAlign w:val="center"/>
                </w:tcPr>
                <w:p w14:paraId="79E95D4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主要生产单元</w:t>
                  </w:r>
                </w:p>
              </w:tc>
              <w:tc>
                <w:tcPr>
                  <w:tcW w:w="1304" w:type="pct"/>
                  <w:tcBorders>
                    <w:tl2br w:val="nil"/>
                    <w:tr2bl w:val="nil"/>
                  </w:tcBorders>
                  <w:shd w:val="clear" w:color="auto" w:fill="auto"/>
                  <w:noWrap w:val="0"/>
                  <w:vAlign w:val="center"/>
                </w:tcPr>
                <w:p w14:paraId="57F878F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产排污环节</w:t>
                  </w:r>
                </w:p>
              </w:tc>
              <w:tc>
                <w:tcPr>
                  <w:tcW w:w="2357" w:type="pct"/>
                  <w:tcBorders>
                    <w:tl2br w:val="nil"/>
                    <w:tr2bl w:val="nil"/>
                  </w:tcBorders>
                  <w:shd w:val="clear" w:color="auto" w:fill="auto"/>
                  <w:noWrap w:val="0"/>
                  <w:vAlign w:val="center"/>
                </w:tcPr>
                <w:p w14:paraId="3527943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污染物种类</w:t>
                  </w:r>
                </w:p>
              </w:tc>
            </w:tr>
            <w:tr w14:paraId="6B95C0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233" w:hRule="atLeast"/>
                <w:jc w:val="center"/>
              </w:trPr>
              <w:tc>
                <w:tcPr>
                  <w:tcW w:w="474" w:type="pct"/>
                  <w:vMerge w:val="restart"/>
                  <w:tcBorders>
                    <w:tl2br w:val="nil"/>
                    <w:tr2bl w:val="nil"/>
                  </w:tcBorders>
                  <w:shd w:val="clear" w:color="auto" w:fill="auto"/>
                  <w:noWrap w:val="0"/>
                  <w:vAlign w:val="center"/>
                </w:tcPr>
                <w:p w14:paraId="4CF38A53">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废气</w:t>
                  </w:r>
                </w:p>
              </w:tc>
              <w:tc>
                <w:tcPr>
                  <w:tcW w:w="863" w:type="pct"/>
                  <w:vMerge w:val="restart"/>
                  <w:tcBorders>
                    <w:tl2br w:val="nil"/>
                    <w:tr2bl w:val="nil"/>
                  </w:tcBorders>
                  <w:shd w:val="clear" w:color="auto" w:fill="auto"/>
                  <w:noWrap w:val="0"/>
                  <w:vAlign w:val="center"/>
                </w:tcPr>
                <w:p w14:paraId="6D9AF9D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生产车间</w:t>
                  </w:r>
                </w:p>
              </w:tc>
              <w:tc>
                <w:tcPr>
                  <w:tcW w:w="1304" w:type="pct"/>
                  <w:tcBorders>
                    <w:tl2br w:val="nil"/>
                    <w:tr2bl w:val="nil"/>
                  </w:tcBorders>
                  <w:shd w:val="clear" w:color="auto" w:fill="auto"/>
                  <w:noWrap w:val="0"/>
                  <w:vAlign w:val="center"/>
                </w:tcPr>
                <w:p w14:paraId="6941E025">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烘干废气</w:t>
                  </w:r>
                </w:p>
              </w:tc>
              <w:tc>
                <w:tcPr>
                  <w:tcW w:w="2357" w:type="pct"/>
                  <w:tcBorders>
                    <w:tl2br w:val="nil"/>
                    <w:tr2bl w:val="nil"/>
                  </w:tcBorders>
                  <w:shd w:val="clear" w:color="auto" w:fill="auto"/>
                  <w:noWrap w:val="0"/>
                  <w:vAlign w:val="center"/>
                </w:tcPr>
                <w:p w14:paraId="5C4A4F6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颗粒物</w:t>
                  </w:r>
                </w:p>
              </w:tc>
            </w:tr>
            <w:tr w14:paraId="31F630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105" w:hRule="atLeast"/>
                <w:jc w:val="center"/>
              </w:trPr>
              <w:tc>
                <w:tcPr>
                  <w:tcW w:w="474" w:type="pct"/>
                  <w:vMerge w:val="continue"/>
                  <w:tcBorders>
                    <w:tl2br w:val="nil"/>
                    <w:tr2bl w:val="nil"/>
                  </w:tcBorders>
                  <w:shd w:val="clear" w:color="auto" w:fill="auto"/>
                  <w:noWrap w:val="0"/>
                  <w:vAlign w:val="center"/>
                </w:tcPr>
                <w:p w14:paraId="2E27C6F8">
                  <w:pPr>
                    <w:pStyle w:val="8"/>
                    <w:keepNext w:val="0"/>
                    <w:keepLines w:val="0"/>
                    <w:suppressLineNumbers w:val="0"/>
                    <w:bidi w:val="0"/>
                    <w:spacing w:before="0" w:beforeAutospacing="0" w:after="0" w:afterAutospacing="0"/>
                    <w:ind w:left="0" w:right="0"/>
                    <w:rPr>
                      <w:rFonts w:hint="eastAsia"/>
                      <w:lang w:val="en-US" w:eastAsia="zh-CN"/>
                    </w:rPr>
                  </w:pPr>
                </w:p>
              </w:tc>
              <w:tc>
                <w:tcPr>
                  <w:tcW w:w="863" w:type="pct"/>
                  <w:vMerge w:val="continue"/>
                  <w:tcBorders>
                    <w:tl2br w:val="nil"/>
                    <w:tr2bl w:val="nil"/>
                  </w:tcBorders>
                  <w:shd w:val="clear" w:color="auto" w:fill="auto"/>
                  <w:noWrap w:val="0"/>
                  <w:vAlign w:val="center"/>
                </w:tcPr>
                <w:p w14:paraId="28337380">
                  <w:pPr>
                    <w:pStyle w:val="8"/>
                    <w:keepNext w:val="0"/>
                    <w:keepLines w:val="0"/>
                    <w:suppressLineNumbers w:val="0"/>
                    <w:bidi w:val="0"/>
                    <w:spacing w:before="0" w:beforeAutospacing="0" w:after="0" w:afterAutospacing="0"/>
                    <w:ind w:left="0" w:right="0"/>
                    <w:rPr>
                      <w:rFonts w:hint="default"/>
                      <w:lang w:val="en-US" w:eastAsia="zh-CN"/>
                    </w:rPr>
                  </w:pPr>
                </w:p>
              </w:tc>
              <w:tc>
                <w:tcPr>
                  <w:tcW w:w="1304" w:type="pct"/>
                  <w:tcBorders>
                    <w:tl2br w:val="nil"/>
                    <w:tr2bl w:val="nil"/>
                  </w:tcBorders>
                  <w:shd w:val="clear" w:color="auto" w:fill="auto"/>
                  <w:noWrap w:val="0"/>
                  <w:vAlign w:val="center"/>
                </w:tcPr>
                <w:p w14:paraId="01AB3CFA">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不凝尾气</w:t>
                  </w:r>
                </w:p>
              </w:tc>
              <w:tc>
                <w:tcPr>
                  <w:tcW w:w="2357" w:type="pct"/>
                  <w:tcBorders>
                    <w:tl2br w:val="nil"/>
                    <w:tr2bl w:val="nil"/>
                  </w:tcBorders>
                  <w:shd w:val="clear" w:color="auto" w:fill="auto"/>
                  <w:noWrap w:val="0"/>
                  <w:vAlign w:val="center"/>
                </w:tcPr>
                <w:p w14:paraId="6D08DB1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非甲烷总烃</w:t>
                  </w:r>
                </w:p>
              </w:tc>
            </w:tr>
            <w:tr w14:paraId="2DDBD3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105" w:hRule="atLeast"/>
                <w:jc w:val="center"/>
              </w:trPr>
              <w:tc>
                <w:tcPr>
                  <w:tcW w:w="474" w:type="pct"/>
                  <w:vMerge w:val="continue"/>
                  <w:tcBorders>
                    <w:tl2br w:val="nil"/>
                    <w:tr2bl w:val="nil"/>
                  </w:tcBorders>
                  <w:shd w:val="clear" w:color="auto" w:fill="auto"/>
                  <w:noWrap w:val="0"/>
                  <w:vAlign w:val="center"/>
                </w:tcPr>
                <w:p w14:paraId="7AB6C54F">
                  <w:pPr>
                    <w:pStyle w:val="8"/>
                    <w:keepNext w:val="0"/>
                    <w:keepLines w:val="0"/>
                    <w:suppressLineNumbers w:val="0"/>
                    <w:bidi w:val="0"/>
                    <w:spacing w:before="0" w:beforeAutospacing="0" w:after="0" w:afterAutospacing="0"/>
                    <w:ind w:left="0" w:right="0"/>
                    <w:rPr>
                      <w:rFonts w:hint="eastAsia"/>
                      <w:lang w:val="en-US" w:eastAsia="zh-CN"/>
                    </w:rPr>
                  </w:pPr>
                </w:p>
              </w:tc>
              <w:tc>
                <w:tcPr>
                  <w:tcW w:w="863" w:type="pct"/>
                  <w:tcBorders>
                    <w:tl2br w:val="nil"/>
                    <w:tr2bl w:val="nil"/>
                  </w:tcBorders>
                  <w:shd w:val="clear" w:color="auto" w:fill="auto"/>
                  <w:noWrap w:val="0"/>
                  <w:vAlign w:val="center"/>
                </w:tcPr>
                <w:p w14:paraId="0BE5F16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投料车间</w:t>
                  </w:r>
                </w:p>
              </w:tc>
              <w:tc>
                <w:tcPr>
                  <w:tcW w:w="1304" w:type="pct"/>
                  <w:tcBorders>
                    <w:tl2br w:val="nil"/>
                    <w:tr2bl w:val="nil"/>
                  </w:tcBorders>
                  <w:shd w:val="clear" w:color="auto" w:fill="auto"/>
                  <w:noWrap w:val="0"/>
                  <w:vAlign w:val="center"/>
                </w:tcPr>
                <w:p w14:paraId="755739F2">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上料</w:t>
                  </w:r>
                </w:p>
              </w:tc>
              <w:tc>
                <w:tcPr>
                  <w:tcW w:w="2357" w:type="pct"/>
                  <w:tcBorders>
                    <w:tl2br w:val="nil"/>
                    <w:tr2bl w:val="nil"/>
                  </w:tcBorders>
                  <w:shd w:val="clear" w:color="auto" w:fill="auto"/>
                  <w:noWrap w:val="0"/>
                  <w:vAlign w:val="center"/>
                </w:tcPr>
                <w:p w14:paraId="44C0F9D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颗粒物</w:t>
                  </w:r>
                </w:p>
              </w:tc>
            </w:tr>
            <w:tr w14:paraId="36C2A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105" w:hRule="atLeast"/>
                <w:jc w:val="center"/>
              </w:trPr>
              <w:tc>
                <w:tcPr>
                  <w:tcW w:w="474" w:type="pct"/>
                  <w:vMerge w:val="continue"/>
                  <w:tcBorders>
                    <w:tl2br w:val="nil"/>
                    <w:tr2bl w:val="nil"/>
                  </w:tcBorders>
                  <w:shd w:val="clear" w:color="auto" w:fill="auto"/>
                  <w:noWrap w:val="0"/>
                  <w:vAlign w:val="center"/>
                </w:tcPr>
                <w:p w14:paraId="0BBDA579">
                  <w:pPr>
                    <w:pStyle w:val="8"/>
                    <w:keepNext w:val="0"/>
                    <w:keepLines w:val="0"/>
                    <w:suppressLineNumbers w:val="0"/>
                    <w:bidi w:val="0"/>
                    <w:spacing w:before="0" w:beforeAutospacing="0" w:after="0" w:afterAutospacing="0"/>
                    <w:ind w:left="0" w:right="0"/>
                    <w:rPr>
                      <w:rFonts w:hint="eastAsia"/>
                      <w:lang w:val="en-US" w:eastAsia="zh-CN"/>
                    </w:rPr>
                  </w:pPr>
                </w:p>
              </w:tc>
              <w:tc>
                <w:tcPr>
                  <w:tcW w:w="863" w:type="pct"/>
                  <w:tcBorders>
                    <w:tl2br w:val="nil"/>
                    <w:tr2bl w:val="nil"/>
                  </w:tcBorders>
                  <w:shd w:val="clear" w:color="auto" w:fill="auto"/>
                  <w:noWrap w:val="0"/>
                  <w:vAlign w:val="center"/>
                </w:tcPr>
                <w:p w14:paraId="5AB34C7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辣椒粕车间</w:t>
                  </w:r>
                </w:p>
              </w:tc>
              <w:tc>
                <w:tcPr>
                  <w:tcW w:w="1304" w:type="pct"/>
                  <w:tcBorders>
                    <w:tl2br w:val="nil"/>
                    <w:tr2bl w:val="nil"/>
                  </w:tcBorders>
                  <w:shd w:val="clear" w:color="auto" w:fill="auto"/>
                  <w:noWrap w:val="0"/>
                  <w:vAlign w:val="center"/>
                </w:tcPr>
                <w:p w14:paraId="63BA6573">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辣椒粕出料、装车</w:t>
                  </w:r>
                </w:p>
              </w:tc>
              <w:tc>
                <w:tcPr>
                  <w:tcW w:w="2357" w:type="pct"/>
                  <w:tcBorders>
                    <w:tl2br w:val="nil"/>
                    <w:tr2bl w:val="nil"/>
                  </w:tcBorders>
                  <w:shd w:val="clear" w:color="auto" w:fill="auto"/>
                  <w:noWrap w:val="0"/>
                  <w:vAlign w:val="center"/>
                </w:tcPr>
                <w:p w14:paraId="4EF4535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颗粒物</w:t>
                  </w:r>
                </w:p>
              </w:tc>
            </w:tr>
            <w:bookmarkEnd w:id="4"/>
            <w:tr w14:paraId="417AA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0" w:hRule="atLeast"/>
                <w:jc w:val="center"/>
              </w:trPr>
              <w:tc>
                <w:tcPr>
                  <w:tcW w:w="474" w:type="pct"/>
                  <w:tcBorders>
                    <w:tl2br w:val="nil"/>
                    <w:tr2bl w:val="nil"/>
                  </w:tcBorders>
                  <w:shd w:val="clear" w:color="auto" w:fill="auto"/>
                  <w:noWrap w:val="0"/>
                  <w:vAlign w:val="center"/>
                </w:tcPr>
                <w:p w14:paraId="4A2B2373">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噪声</w:t>
                  </w:r>
                </w:p>
              </w:tc>
              <w:tc>
                <w:tcPr>
                  <w:tcW w:w="863" w:type="pct"/>
                  <w:tcBorders>
                    <w:tl2br w:val="nil"/>
                    <w:tr2bl w:val="nil"/>
                  </w:tcBorders>
                  <w:shd w:val="clear" w:color="auto" w:fill="auto"/>
                  <w:noWrap w:val="0"/>
                  <w:vAlign w:val="center"/>
                </w:tcPr>
                <w:p w14:paraId="5B043D8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设备噪声</w:t>
                  </w:r>
                </w:p>
              </w:tc>
              <w:tc>
                <w:tcPr>
                  <w:tcW w:w="1304" w:type="pct"/>
                  <w:tcBorders>
                    <w:tl2br w:val="nil"/>
                    <w:tr2bl w:val="nil"/>
                  </w:tcBorders>
                  <w:shd w:val="clear" w:color="auto" w:fill="auto"/>
                  <w:noWrap w:val="0"/>
                  <w:vAlign w:val="center"/>
                </w:tcPr>
                <w:p w14:paraId="735B400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车辆运输、设备噪声</w:t>
                  </w:r>
                </w:p>
              </w:tc>
              <w:tc>
                <w:tcPr>
                  <w:tcW w:w="2357" w:type="pct"/>
                  <w:tcBorders>
                    <w:tl2br w:val="nil"/>
                    <w:tr2bl w:val="nil"/>
                  </w:tcBorders>
                  <w:shd w:val="clear" w:color="auto" w:fill="auto"/>
                  <w:noWrap w:val="0"/>
                  <w:vAlign w:val="center"/>
                </w:tcPr>
                <w:p w14:paraId="63BB59EF">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连续等效声级A</w:t>
                  </w:r>
                </w:p>
              </w:tc>
            </w:tr>
            <w:tr w14:paraId="4CCAC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0" w:hRule="atLeast"/>
                <w:jc w:val="center"/>
              </w:trPr>
              <w:tc>
                <w:tcPr>
                  <w:tcW w:w="474" w:type="pct"/>
                  <w:vMerge w:val="restart"/>
                  <w:tcBorders>
                    <w:tl2br w:val="nil"/>
                    <w:tr2bl w:val="nil"/>
                  </w:tcBorders>
                  <w:shd w:val="clear" w:color="auto" w:fill="auto"/>
                  <w:noWrap w:val="0"/>
                  <w:vAlign w:val="center"/>
                </w:tcPr>
                <w:p w14:paraId="551CFDFC">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固体废物</w:t>
                  </w:r>
                </w:p>
              </w:tc>
              <w:tc>
                <w:tcPr>
                  <w:tcW w:w="863" w:type="pct"/>
                  <w:vMerge w:val="restart"/>
                  <w:tcBorders>
                    <w:tl2br w:val="nil"/>
                    <w:tr2bl w:val="nil"/>
                  </w:tcBorders>
                  <w:shd w:val="clear" w:color="auto" w:fill="auto"/>
                  <w:noWrap w:val="0"/>
                  <w:vAlign w:val="center"/>
                </w:tcPr>
                <w:p w14:paraId="3B0F39E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生产车间</w:t>
                  </w:r>
                </w:p>
              </w:tc>
              <w:tc>
                <w:tcPr>
                  <w:tcW w:w="1304" w:type="pct"/>
                  <w:tcBorders>
                    <w:tl2br w:val="nil"/>
                    <w:tr2bl w:val="nil"/>
                  </w:tcBorders>
                  <w:shd w:val="clear" w:color="auto" w:fill="auto"/>
                  <w:noWrap w:val="0"/>
                  <w:vAlign w:val="center"/>
                </w:tcPr>
                <w:p w14:paraId="2508191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辣椒粒浸提</w:t>
                  </w:r>
                </w:p>
              </w:tc>
              <w:tc>
                <w:tcPr>
                  <w:tcW w:w="2357" w:type="pct"/>
                  <w:tcBorders>
                    <w:tl2br w:val="nil"/>
                    <w:tr2bl w:val="nil"/>
                  </w:tcBorders>
                  <w:shd w:val="clear" w:color="auto" w:fill="auto"/>
                  <w:noWrap w:val="0"/>
                  <w:vAlign w:val="center"/>
                </w:tcPr>
                <w:p w14:paraId="3DBE856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辣椒粕</w:t>
                  </w:r>
                </w:p>
              </w:tc>
            </w:tr>
            <w:tr w14:paraId="686851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28" w:type="dxa"/>
                  <w:bottom w:w="0" w:type="dxa"/>
                  <w:right w:w="28" w:type="dxa"/>
                </w:tblCellMar>
              </w:tblPrEx>
              <w:trPr>
                <w:trHeight w:val="0" w:hRule="atLeast"/>
                <w:jc w:val="center"/>
              </w:trPr>
              <w:tc>
                <w:tcPr>
                  <w:tcW w:w="474" w:type="pct"/>
                  <w:vMerge w:val="continue"/>
                  <w:tcBorders>
                    <w:tl2br w:val="nil"/>
                    <w:tr2bl w:val="nil"/>
                  </w:tcBorders>
                  <w:shd w:val="clear" w:color="auto" w:fill="auto"/>
                  <w:vAlign w:val="center"/>
                </w:tcPr>
                <w:p w14:paraId="4361D8B3">
                  <w:pPr>
                    <w:pStyle w:val="8"/>
                    <w:keepNext w:val="0"/>
                    <w:keepLines w:val="0"/>
                    <w:suppressLineNumbers w:val="0"/>
                    <w:bidi w:val="0"/>
                    <w:spacing w:before="0" w:beforeAutospacing="0" w:after="0" w:afterAutospacing="0"/>
                    <w:ind w:left="0" w:right="0"/>
                    <w:rPr>
                      <w:rFonts w:hint="eastAsia"/>
                    </w:rPr>
                  </w:pPr>
                </w:p>
              </w:tc>
              <w:tc>
                <w:tcPr>
                  <w:tcW w:w="863" w:type="pct"/>
                  <w:vMerge w:val="continue"/>
                  <w:tcBorders>
                    <w:tl2br w:val="nil"/>
                    <w:tr2bl w:val="nil"/>
                  </w:tcBorders>
                  <w:shd w:val="clear" w:color="auto" w:fill="auto"/>
                  <w:vAlign w:val="center"/>
                </w:tcPr>
                <w:p w14:paraId="36390280">
                  <w:pPr>
                    <w:pStyle w:val="8"/>
                    <w:keepNext w:val="0"/>
                    <w:keepLines w:val="0"/>
                    <w:suppressLineNumbers w:val="0"/>
                    <w:bidi w:val="0"/>
                    <w:spacing w:before="0" w:beforeAutospacing="0" w:after="0" w:afterAutospacing="0"/>
                    <w:ind w:left="0" w:right="0"/>
                    <w:rPr>
                      <w:rFonts w:hint="default"/>
                      <w:lang w:val="en-US" w:eastAsia="zh-CN"/>
                    </w:rPr>
                  </w:pPr>
                </w:p>
              </w:tc>
              <w:tc>
                <w:tcPr>
                  <w:tcW w:w="1304" w:type="pct"/>
                  <w:tcBorders>
                    <w:tl2br w:val="nil"/>
                    <w:tr2bl w:val="nil"/>
                  </w:tcBorders>
                  <w:shd w:val="clear" w:color="auto" w:fill="auto"/>
                  <w:vAlign w:val="center"/>
                </w:tcPr>
                <w:p w14:paraId="482F2C4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机械维护</w:t>
                  </w:r>
                </w:p>
              </w:tc>
              <w:tc>
                <w:tcPr>
                  <w:tcW w:w="2357" w:type="pct"/>
                  <w:tcBorders>
                    <w:tl2br w:val="nil"/>
                    <w:tr2bl w:val="nil"/>
                  </w:tcBorders>
                  <w:shd w:val="clear" w:color="auto" w:fill="auto"/>
                  <w:vAlign w:val="center"/>
                </w:tcPr>
                <w:p w14:paraId="35F68720">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废</w:t>
                  </w:r>
                  <w:r>
                    <w:rPr>
                      <w:rFonts w:hint="eastAsia"/>
                      <w:lang w:val="en-US" w:eastAsia="zh-CN"/>
                    </w:rPr>
                    <w:t>润滑油、</w:t>
                  </w:r>
                  <w:r>
                    <w:rPr>
                      <w:rFonts w:hint="default"/>
                      <w:lang w:val="en-US" w:eastAsia="zh-CN"/>
                    </w:rPr>
                    <w:t>废油</w:t>
                  </w:r>
                  <w:r>
                    <w:rPr>
                      <w:rFonts w:hint="eastAsia"/>
                      <w:lang w:val="en-US" w:eastAsia="zh-CN"/>
                    </w:rPr>
                    <w:t>桶、</w:t>
                  </w:r>
                  <w:r>
                    <w:rPr>
                      <w:rFonts w:hint="eastAsia"/>
                      <w:lang w:eastAsia="zh-CN"/>
                    </w:rPr>
                    <w:t>含油</w:t>
                  </w:r>
                  <w:r>
                    <w:rPr>
                      <w:rFonts w:hint="eastAsia"/>
                      <w:lang w:val="en-US" w:eastAsia="zh-CN"/>
                    </w:rPr>
                    <w:t>手套及抹布</w:t>
                  </w:r>
                </w:p>
              </w:tc>
            </w:tr>
          </w:tbl>
          <w:p w14:paraId="34942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b/>
                <w:bCs/>
                <w:lang w:val="en-US" w:eastAsia="zh-CN"/>
              </w:rPr>
            </w:pPr>
          </w:p>
        </w:tc>
      </w:tr>
      <w:tr w14:paraId="03210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7" w:type="pct"/>
            <w:tcBorders>
              <w:tl2br w:val="nil"/>
              <w:tr2bl w:val="nil"/>
            </w:tcBorders>
            <w:vAlign w:val="center"/>
          </w:tcPr>
          <w:p w14:paraId="33B81CF2">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rPr>
            </w:pPr>
            <w:r>
              <w:rPr>
                <w:rFonts w:hint="eastAsia"/>
              </w:rPr>
              <w:t>与项目有关的原有环境污染问题</w:t>
            </w:r>
          </w:p>
        </w:tc>
        <w:tc>
          <w:tcPr>
            <w:tcW w:w="4512" w:type="pct"/>
            <w:tcBorders>
              <w:tl2br w:val="nil"/>
              <w:tr2bl w:val="nil"/>
            </w:tcBorders>
            <w:vAlign w:val="top"/>
          </w:tcPr>
          <w:p w14:paraId="60EBEAAD">
            <w:pPr>
              <w:pStyle w:val="29"/>
              <w:keepNext w:val="0"/>
              <w:keepLines w:val="0"/>
              <w:suppressLineNumbers w:val="0"/>
              <w:spacing w:before="0" w:beforeAutospacing="0" w:afterAutospacing="0"/>
              <w:ind w:right="0"/>
              <w:rPr>
                <w:rFonts w:hint="eastAsia"/>
                <w:lang w:val="en-US" w:eastAsia="zh-CN"/>
              </w:rPr>
            </w:pPr>
            <w:r>
              <w:rPr>
                <w:rFonts w:hint="eastAsia"/>
                <w:lang w:val="en-US" w:eastAsia="zh-CN"/>
              </w:rPr>
              <w:t>无</w:t>
            </w:r>
          </w:p>
          <w:p w14:paraId="350E5E79">
            <w:pPr>
              <w:keepNext w:val="0"/>
              <w:keepLines w:val="0"/>
              <w:suppressLineNumbers w:val="0"/>
              <w:bidi w:val="0"/>
              <w:spacing w:before="0" w:beforeAutospacing="0" w:after="0" w:afterAutospacing="0"/>
              <w:ind w:left="0" w:right="0"/>
              <w:rPr>
                <w:rFonts w:hint="default"/>
                <w:lang w:val="en-US" w:eastAsia="zh-CN"/>
              </w:rPr>
            </w:pPr>
          </w:p>
          <w:p w14:paraId="2731AB70">
            <w:pPr>
              <w:pStyle w:val="52"/>
              <w:keepNext w:val="0"/>
              <w:keepLines w:val="0"/>
              <w:suppressLineNumbers w:val="0"/>
              <w:spacing w:before="0" w:beforeAutospacing="0" w:afterAutospacing="0"/>
              <w:ind w:left="0" w:leftChars="0" w:right="0" w:firstLine="0" w:firstLineChars="0"/>
              <w:jc w:val="both"/>
              <w:rPr>
                <w:rFonts w:hint="default"/>
                <w:lang w:val="en-US" w:eastAsia="zh-CN"/>
              </w:rPr>
            </w:pPr>
          </w:p>
        </w:tc>
      </w:tr>
    </w:tbl>
    <w:p w14:paraId="5BE8ED54">
      <w:pPr>
        <w:pStyle w:val="25"/>
        <w:jc w:val="center"/>
        <w:rPr>
          <w:rFonts w:ascii="黑体" w:hAnsi="黑体" w:eastAsia="黑体"/>
          <w:snapToGrid w:val="0"/>
          <w:color w:val="000000" w:themeColor="text1"/>
          <w:sz w:val="36"/>
          <w:szCs w:val="36"/>
          <w14:textFill>
            <w14:solidFill>
              <w14:schemeClr w14:val="tx1"/>
            </w14:solidFill>
          </w14:textFill>
        </w:rPr>
        <w:sectPr>
          <w:pgSz w:w="11906" w:h="16838"/>
          <w:pgMar w:top="1304" w:right="1531" w:bottom="1304" w:left="1531" w:header="851" w:footer="851" w:gutter="0"/>
          <w:pgBorders>
            <w:top w:val="none" w:sz="0" w:space="0"/>
            <w:left w:val="none" w:sz="0" w:space="0"/>
            <w:bottom w:val="none" w:sz="0" w:space="0"/>
            <w:right w:val="none" w:sz="0" w:space="0"/>
          </w:pgBorders>
          <w:cols w:space="720" w:num="1"/>
          <w:docGrid w:linePitch="312" w:charSpace="0"/>
        </w:sectPr>
      </w:pPr>
    </w:p>
    <w:p w14:paraId="2F58C523">
      <w:pPr>
        <w:pStyle w:val="25"/>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406"/>
      </w:tblGrid>
      <w:tr w14:paraId="588E2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Align w:val="center"/>
          </w:tcPr>
          <w:p w14:paraId="6D788437">
            <w:pPr>
              <w:pStyle w:val="11"/>
              <w:keepNext w:val="0"/>
              <w:keepLines w:val="0"/>
              <w:suppressLineNumbers w:val="0"/>
              <w:bidi w:val="0"/>
              <w:spacing w:before="0" w:beforeAutospacing="0" w:after="0" w:afterAutospacing="0"/>
              <w:ind w:left="0" w:right="0"/>
              <w:rPr>
                <w:rFonts w:hint="default"/>
              </w:rPr>
            </w:pPr>
            <w:r>
              <w:rPr>
                <w:rFonts w:hint="eastAsia"/>
              </w:rPr>
              <w:t>区域</w:t>
            </w:r>
          </w:p>
          <w:p w14:paraId="393CEAF7">
            <w:pPr>
              <w:pStyle w:val="11"/>
              <w:keepNext w:val="0"/>
              <w:keepLines w:val="0"/>
              <w:suppressLineNumbers w:val="0"/>
              <w:bidi w:val="0"/>
              <w:spacing w:before="0" w:beforeAutospacing="0" w:after="0" w:afterAutospacing="0"/>
              <w:ind w:left="0" w:right="0"/>
              <w:rPr>
                <w:rFonts w:hint="default"/>
              </w:rPr>
            </w:pPr>
            <w:r>
              <w:rPr>
                <w:rFonts w:hint="eastAsia"/>
              </w:rPr>
              <w:t>环境</w:t>
            </w:r>
          </w:p>
          <w:p w14:paraId="7752F9D6">
            <w:pPr>
              <w:pStyle w:val="11"/>
              <w:keepNext w:val="0"/>
              <w:keepLines w:val="0"/>
              <w:suppressLineNumbers w:val="0"/>
              <w:bidi w:val="0"/>
              <w:spacing w:before="0" w:beforeAutospacing="0" w:after="0" w:afterAutospacing="0"/>
              <w:ind w:left="0" w:right="0"/>
              <w:rPr>
                <w:rFonts w:hint="default"/>
              </w:rPr>
            </w:pPr>
            <w:r>
              <w:rPr>
                <w:rFonts w:hint="eastAsia"/>
              </w:rPr>
              <w:t>质量</w:t>
            </w:r>
          </w:p>
          <w:p w14:paraId="5C9E398E">
            <w:pPr>
              <w:pStyle w:val="11"/>
              <w:keepNext w:val="0"/>
              <w:keepLines w:val="0"/>
              <w:suppressLineNumbers w:val="0"/>
              <w:bidi w:val="0"/>
              <w:spacing w:before="0" w:beforeAutospacing="0" w:after="0" w:afterAutospacing="0"/>
              <w:ind w:left="0" w:right="0"/>
              <w:rPr>
                <w:rFonts w:hint="default" w:ascii="宋体" w:hAnsi="宋体" w:cs="宋体"/>
                <w:color w:val="000000" w:themeColor="text1"/>
                <w:kern w:val="0"/>
                <w:szCs w:val="21"/>
                <w14:textFill>
                  <w14:solidFill>
                    <w14:schemeClr w14:val="tx1"/>
                  </w14:solidFill>
                </w14:textFill>
              </w:rPr>
            </w:pPr>
            <w:r>
              <w:rPr>
                <w:rFonts w:hint="eastAsia"/>
              </w:rPr>
              <w:t>现状</w:t>
            </w:r>
          </w:p>
        </w:tc>
        <w:tc>
          <w:tcPr>
            <w:tcW w:w="8406" w:type="dxa"/>
            <w:vAlign w:val="center"/>
          </w:tcPr>
          <w:p w14:paraId="0A6F34B9">
            <w:pPr>
              <w:pStyle w:val="4"/>
              <w:suppressLineNumbers w:val="0"/>
              <w:bidi w:val="0"/>
              <w:spacing w:before="0" w:beforeAutospacing="0" w:after="0" w:afterAutospacing="0"/>
              <w:ind w:left="0" w:right="0"/>
              <w:rPr>
                <w:rFonts w:hint="default"/>
                <w:lang w:val="en-US" w:eastAsia="zh-CN"/>
              </w:rPr>
            </w:pPr>
            <w:bookmarkStart w:id="5" w:name="_Toc19765120"/>
            <w:r>
              <w:rPr>
                <w:rFonts w:hint="default"/>
                <w:lang w:val="en-US" w:eastAsia="zh-CN"/>
              </w:rPr>
              <w:t>1、大气环境质量现状</w:t>
            </w:r>
          </w:p>
          <w:bookmarkEnd w:id="5"/>
          <w:p w14:paraId="64F5A079">
            <w:pPr>
              <w:pStyle w:val="4"/>
              <w:suppressLineNumbers w:val="0"/>
              <w:bidi w:val="0"/>
              <w:spacing w:before="0" w:beforeAutospacing="0" w:after="0" w:afterAutospacing="0"/>
              <w:ind w:left="0" w:right="0"/>
              <w:rPr>
                <w:rFonts w:hint="default"/>
                <w:lang w:val="en-US" w:eastAsia="zh-CN"/>
              </w:rPr>
            </w:pPr>
            <w:r>
              <w:rPr>
                <w:rFonts w:hint="eastAsia"/>
                <w:lang w:val="en-US" w:eastAsia="zh-CN"/>
              </w:rPr>
              <w:t>1.1基本污染物达标区判定</w:t>
            </w:r>
          </w:p>
          <w:p w14:paraId="43DA2E82">
            <w:pPr>
              <w:keepNext w:val="0"/>
              <w:keepLines w:val="0"/>
              <w:suppressLineNumbers w:val="0"/>
              <w:bidi w:val="0"/>
              <w:spacing w:before="0" w:beforeAutospacing="0" w:after="0" w:afterAutospacing="0"/>
              <w:ind w:left="0" w:right="0"/>
              <w:rPr>
                <w:rFonts w:hint="default" w:ascii="Times New Roman" w:hAnsi="Times New Roman" w:cs="Times New Roman"/>
                <w:color w:val="000000"/>
                <w:sz w:val="24"/>
                <w:lang w:val="en-US" w:eastAsia="zh-CN"/>
              </w:rPr>
            </w:pPr>
            <w:r>
              <w:rPr>
                <w:rFonts w:hint="default"/>
                <w:color w:val="000000"/>
              </w:rPr>
              <w:t>本次环境空气质量现</w:t>
            </w:r>
            <w:r>
              <w:rPr>
                <w:rFonts w:hint="default" w:eastAsia="宋体"/>
                <w:color w:val="000000"/>
              </w:rPr>
              <w:t>状采用</w:t>
            </w:r>
            <w:r>
              <w:rPr>
                <w:rFonts w:hint="eastAsia"/>
                <w:color w:val="000000"/>
                <w:lang w:eastAsia="zh-CN"/>
              </w:rPr>
              <w:t>焉耆</w:t>
            </w:r>
            <w:r>
              <w:rPr>
                <w:rFonts w:hint="eastAsia" w:eastAsia="宋体"/>
                <w:color w:val="000000"/>
              </w:rPr>
              <w:t>县</w:t>
            </w:r>
            <w:r>
              <w:rPr>
                <w:rFonts w:hint="eastAsia" w:eastAsia="宋体"/>
                <w:color w:val="000000"/>
                <w:lang w:eastAsia="zh-CN"/>
              </w:rPr>
              <w:t>自动监测站</w:t>
            </w:r>
            <w:r>
              <w:rPr>
                <w:rFonts w:hint="default" w:eastAsia="宋体"/>
                <w:color w:val="000000"/>
              </w:rPr>
              <w:t>2</w:t>
            </w:r>
            <w:r>
              <w:rPr>
                <w:rFonts w:hint="default"/>
                <w:color w:val="000000"/>
              </w:rPr>
              <w:t>0</w:t>
            </w:r>
            <w:r>
              <w:rPr>
                <w:rFonts w:hint="eastAsia"/>
                <w:color w:val="000000"/>
                <w:lang w:val="en-US" w:eastAsia="zh-CN"/>
              </w:rPr>
              <w:t>24</w:t>
            </w:r>
            <w:r>
              <w:rPr>
                <w:rFonts w:hint="default"/>
                <w:color w:val="000000"/>
              </w:rPr>
              <w:t>年SO</w:t>
            </w:r>
            <w:r>
              <w:rPr>
                <w:rFonts w:hint="default"/>
                <w:color w:val="000000"/>
                <w:vertAlign w:val="subscript"/>
              </w:rPr>
              <w:t>2</w:t>
            </w:r>
            <w:r>
              <w:rPr>
                <w:rFonts w:hint="default"/>
                <w:color w:val="000000"/>
              </w:rPr>
              <w:t>、NO</w:t>
            </w:r>
            <w:r>
              <w:rPr>
                <w:rFonts w:hint="default"/>
                <w:color w:val="000000"/>
                <w:vertAlign w:val="subscript"/>
              </w:rPr>
              <w:t>2</w:t>
            </w:r>
            <w:r>
              <w:rPr>
                <w:rFonts w:hint="default"/>
                <w:color w:val="000000"/>
              </w:rPr>
              <w:t>、CO、O</w:t>
            </w:r>
            <w:r>
              <w:rPr>
                <w:rFonts w:hint="default"/>
                <w:color w:val="000000"/>
                <w:vertAlign w:val="subscript"/>
              </w:rPr>
              <w:t>3</w:t>
            </w:r>
            <w:r>
              <w:rPr>
                <w:rFonts w:hint="default"/>
                <w:color w:val="000000"/>
              </w:rPr>
              <w:t>、PM</w:t>
            </w:r>
            <w:r>
              <w:rPr>
                <w:rFonts w:hint="default"/>
                <w:color w:val="000000"/>
                <w:vertAlign w:val="subscript"/>
              </w:rPr>
              <w:t>10</w:t>
            </w:r>
            <w:r>
              <w:rPr>
                <w:rFonts w:hint="default"/>
                <w:color w:val="000000"/>
              </w:rPr>
              <w:t>、PM</w:t>
            </w:r>
            <w:r>
              <w:rPr>
                <w:rFonts w:hint="eastAsia"/>
                <w:color w:val="000000"/>
                <w:vertAlign w:val="subscript"/>
              </w:rPr>
              <w:t>2.5</w:t>
            </w:r>
            <w:r>
              <w:rPr>
                <w:rFonts w:hint="eastAsia"/>
                <w:color w:val="000000"/>
              </w:rPr>
              <w:t>等</w:t>
            </w:r>
            <w:r>
              <w:rPr>
                <w:rFonts w:hint="default"/>
                <w:color w:val="000000"/>
              </w:rPr>
              <w:t>六项基本污染物环境空气质量现状数据</w:t>
            </w:r>
            <w:r>
              <w:rPr>
                <w:rFonts w:hint="eastAsia" w:ascii="Times New Roman" w:hAnsi="Times New Roman" w:cs="Times New Roman"/>
                <w:color w:val="000000"/>
                <w:sz w:val="24"/>
                <w:lang w:val="en-US" w:eastAsia="zh-CN"/>
              </w:rPr>
              <w:t>，详见下表</w:t>
            </w:r>
            <w:r>
              <w:rPr>
                <w:rFonts w:hint="default" w:ascii="Times New Roman" w:hAnsi="Times New Roman" w:cs="Times New Roman"/>
                <w:color w:val="000000"/>
                <w:sz w:val="24"/>
                <w:lang w:val="en-US" w:eastAsia="zh-CN"/>
              </w:rPr>
              <w:t>。</w:t>
            </w:r>
          </w:p>
          <w:p w14:paraId="5AAD6F55">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 xml:space="preserve">3-1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焉耆县202</w:t>
            </w:r>
            <w:r>
              <w:rPr>
                <w:rFonts w:hint="eastAsia" w:cs="Times New Roman"/>
                <w:b/>
                <w:bCs/>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年环境空气质量数据</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493"/>
              <w:gridCol w:w="1356"/>
              <w:gridCol w:w="1356"/>
              <w:gridCol w:w="1313"/>
              <w:gridCol w:w="1316"/>
            </w:tblGrid>
            <w:tr w14:paraId="70458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pct"/>
                  <w:tcBorders>
                    <w:tl2br w:val="nil"/>
                    <w:tr2bl w:val="nil"/>
                  </w:tcBorders>
                  <w:noWrap w:val="0"/>
                  <w:vAlign w:val="center"/>
                </w:tcPr>
                <w:p w14:paraId="6C0005D0">
                  <w:pPr>
                    <w:pStyle w:val="8"/>
                    <w:keepNext w:val="0"/>
                    <w:keepLines w:val="0"/>
                    <w:suppressLineNumbers w:val="0"/>
                    <w:bidi w:val="0"/>
                    <w:spacing w:before="0" w:beforeAutospacing="0" w:after="0" w:afterAutospacing="0"/>
                    <w:ind w:left="0" w:right="0"/>
                    <w:rPr>
                      <w:rFonts w:hint="default"/>
                    </w:rPr>
                  </w:pPr>
                  <w:r>
                    <w:rPr>
                      <w:rFonts w:hint="eastAsia"/>
                      <w:lang w:val="en-US" w:eastAsia="zh-CN"/>
                    </w:rPr>
                    <w:t>污染物</w:t>
                  </w:r>
                </w:p>
              </w:tc>
              <w:tc>
                <w:tcPr>
                  <w:tcW w:w="912" w:type="pct"/>
                  <w:tcBorders>
                    <w:tl2br w:val="nil"/>
                    <w:tr2bl w:val="nil"/>
                  </w:tcBorders>
                  <w:noWrap w:val="0"/>
                  <w:vAlign w:val="center"/>
                </w:tcPr>
                <w:p w14:paraId="3F4E0C04">
                  <w:pPr>
                    <w:pStyle w:val="8"/>
                    <w:keepNext w:val="0"/>
                    <w:keepLines w:val="0"/>
                    <w:suppressLineNumbers w:val="0"/>
                    <w:bidi w:val="0"/>
                    <w:spacing w:before="0" w:beforeAutospacing="0" w:after="0" w:afterAutospacing="0"/>
                    <w:ind w:left="0" w:right="0"/>
                    <w:rPr>
                      <w:rFonts w:hint="default"/>
                    </w:rPr>
                  </w:pPr>
                  <w:r>
                    <w:rPr>
                      <w:rFonts w:hint="eastAsia"/>
                    </w:rPr>
                    <w:t>评价项目</w:t>
                  </w:r>
                </w:p>
              </w:tc>
              <w:tc>
                <w:tcPr>
                  <w:tcW w:w="1411" w:type="dxa"/>
                  <w:tcBorders>
                    <w:tl2br w:val="nil"/>
                    <w:tr2bl w:val="nil"/>
                  </w:tcBorders>
                  <w:noWrap w:val="0"/>
                  <w:vAlign w:val="center"/>
                </w:tcPr>
                <w:p w14:paraId="6111F31E">
                  <w:pPr>
                    <w:pStyle w:val="8"/>
                    <w:keepNext w:val="0"/>
                    <w:keepLines w:val="0"/>
                    <w:suppressLineNumbers w:val="0"/>
                    <w:bidi w:val="0"/>
                    <w:spacing w:before="0" w:beforeAutospacing="0" w:after="0" w:afterAutospacing="0"/>
                    <w:ind w:left="0" w:right="0"/>
                    <w:rPr>
                      <w:rFonts w:hint="default"/>
                    </w:rPr>
                  </w:pPr>
                  <w:r>
                    <w:rPr>
                      <w:rFonts w:hint="default"/>
                    </w:rPr>
                    <w:t>浓度（μ</w:t>
                  </w:r>
                  <w:r>
                    <w:rPr>
                      <w:rFonts w:hint="eastAsia"/>
                      <w:lang w:val="en-US" w:eastAsia="zh-CN"/>
                    </w:rPr>
                    <w:t>g</w:t>
                  </w:r>
                  <w:r>
                    <w:rPr>
                      <w:rFonts w:hint="default"/>
                    </w:rPr>
                    <w:t>/m</w:t>
                  </w:r>
                  <w:r>
                    <w:rPr>
                      <w:rFonts w:hint="default"/>
                      <w:vertAlign w:val="superscript"/>
                    </w:rPr>
                    <w:t>3</w:t>
                  </w:r>
                  <w:r>
                    <w:rPr>
                      <w:rFonts w:hint="default"/>
                    </w:rPr>
                    <w:t>）</w:t>
                  </w:r>
                </w:p>
              </w:tc>
              <w:tc>
                <w:tcPr>
                  <w:tcW w:w="1411" w:type="dxa"/>
                  <w:tcBorders>
                    <w:tl2br w:val="nil"/>
                    <w:tr2bl w:val="nil"/>
                  </w:tcBorders>
                  <w:noWrap w:val="0"/>
                  <w:vAlign w:val="center"/>
                </w:tcPr>
                <w:p w14:paraId="30EC89B7">
                  <w:pPr>
                    <w:pStyle w:val="8"/>
                    <w:keepNext w:val="0"/>
                    <w:keepLines w:val="0"/>
                    <w:suppressLineNumbers w:val="0"/>
                    <w:bidi w:val="0"/>
                    <w:spacing w:before="0" w:beforeAutospacing="0" w:after="0" w:afterAutospacing="0"/>
                    <w:ind w:left="0" w:right="0"/>
                    <w:rPr>
                      <w:rFonts w:hint="default"/>
                    </w:rPr>
                  </w:pPr>
                  <w:r>
                    <w:rPr>
                      <w:rFonts w:hint="eastAsia"/>
                    </w:rPr>
                    <w:t>标准（二级）</w:t>
                  </w:r>
                  <w:r>
                    <w:rPr>
                      <w:rFonts w:hint="default"/>
                    </w:rPr>
                    <w:t>（μ</w:t>
                  </w:r>
                  <w:r>
                    <w:rPr>
                      <w:rFonts w:hint="eastAsia"/>
                      <w:lang w:val="en-US" w:eastAsia="zh-CN"/>
                    </w:rPr>
                    <w:t>g</w:t>
                  </w:r>
                  <w:r>
                    <w:rPr>
                      <w:rFonts w:hint="default"/>
                    </w:rPr>
                    <w:t>/m</w:t>
                  </w:r>
                  <w:r>
                    <w:rPr>
                      <w:rFonts w:hint="default"/>
                      <w:vertAlign w:val="superscript"/>
                    </w:rPr>
                    <w:t>3</w:t>
                  </w:r>
                  <w:r>
                    <w:rPr>
                      <w:rFonts w:hint="default"/>
                    </w:rPr>
                    <w:t>）</w:t>
                  </w:r>
                </w:p>
              </w:tc>
              <w:tc>
                <w:tcPr>
                  <w:tcW w:w="802" w:type="pct"/>
                  <w:tcBorders>
                    <w:tl2br w:val="nil"/>
                    <w:tr2bl w:val="nil"/>
                  </w:tcBorders>
                  <w:noWrap w:val="0"/>
                  <w:vAlign w:val="center"/>
                </w:tcPr>
                <w:p w14:paraId="7A174FA3">
                  <w:pPr>
                    <w:pStyle w:val="8"/>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占标率</w:t>
                  </w:r>
                  <w:r>
                    <w:rPr>
                      <w:rFonts w:hint="eastAsia"/>
                      <w:lang w:val="en-US" w:eastAsia="zh-CN"/>
                    </w:rPr>
                    <w:t>%</w:t>
                  </w:r>
                </w:p>
              </w:tc>
              <w:tc>
                <w:tcPr>
                  <w:tcW w:w="803" w:type="pct"/>
                  <w:tcBorders>
                    <w:tl2br w:val="nil"/>
                    <w:tr2bl w:val="nil"/>
                  </w:tcBorders>
                  <w:noWrap w:val="0"/>
                  <w:vAlign w:val="center"/>
                </w:tcPr>
                <w:p w14:paraId="1D24FE30">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达标情况</w:t>
                  </w:r>
                </w:p>
              </w:tc>
            </w:tr>
            <w:tr w14:paraId="61B3F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Merge w:val="restart"/>
                  <w:tcBorders>
                    <w:tl2br w:val="nil"/>
                    <w:tr2bl w:val="nil"/>
                  </w:tcBorders>
                  <w:noWrap w:val="0"/>
                  <w:vAlign w:val="center"/>
                </w:tcPr>
                <w:p w14:paraId="2AB71CCD">
                  <w:pPr>
                    <w:pStyle w:val="8"/>
                    <w:keepNext w:val="0"/>
                    <w:keepLines w:val="0"/>
                    <w:suppressLineNumbers w:val="0"/>
                    <w:bidi w:val="0"/>
                    <w:spacing w:before="0" w:beforeAutospacing="0" w:after="0" w:afterAutospacing="0"/>
                    <w:ind w:left="0" w:right="0"/>
                    <w:rPr>
                      <w:rFonts w:hint="default"/>
                    </w:rPr>
                  </w:pPr>
                  <w:r>
                    <w:rPr>
                      <w:rFonts w:hint="eastAsia"/>
                    </w:rPr>
                    <w:t>SO</w:t>
                  </w:r>
                  <w:r>
                    <w:rPr>
                      <w:rFonts w:hint="eastAsia"/>
                      <w:vertAlign w:val="subscript"/>
                    </w:rPr>
                    <w:t>2</w:t>
                  </w:r>
                </w:p>
              </w:tc>
              <w:tc>
                <w:tcPr>
                  <w:tcW w:w="912" w:type="pct"/>
                  <w:tcBorders>
                    <w:tl2br w:val="nil"/>
                    <w:tr2bl w:val="nil"/>
                  </w:tcBorders>
                  <w:noWrap w:val="0"/>
                  <w:vAlign w:val="center"/>
                </w:tcPr>
                <w:p w14:paraId="49B4872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28" w:type="pct"/>
                  <w:tcBorders>
                    <w:tl2br w:val="nil"/>
                    <w:tr2bl w:val="nil"/>
                  </w:tcBorders>
                  <w:noWrap w:val="0"/>
                  <w:vAlign w:val="center"/>
                </w:tcPr>
                <w:p w14:paraId="162788C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w:t>
                  </w:r>
                </w:p>
              </w:tc>
              <w:tc>
                <w:tcPr>
                  <w:tcW w:w="828" w:type="pct"/>
                  <w:tcBorders>
                    <w:tl2br w:val="nil"/>
                    <w:tr2bl w:val="nil"/>
                  </w:tcBorders>
                  <w:noWrap w:val="0"/>
                  <w:vAlign w:val="center"/>
                </w:tcPr>
                <w:p w14:paraId="342D5697">
                  <w:pPr>
                    <w:pStyle w:val="8"/>
                    <w:keepNext w:val="0"/>
                    <w:keepLines w:val="0"/>
                    <w:suppressLineNumbers w:val="0"/>
                    <w:bidi w:val="0"/>
                    <w:spacing w:before="0" w:beforeAutospacing="0" w:after="0" w:afterAutospacing="0"/>
                    <w:ind w:left="0" w:right="0"/>
                    <w:rPr>
                      <w:rFonts w:hint="default"/>
                    </w:rPr>
                  </w:pPr>
                  <w:r>
                    <w:rPr>
                      <w:rFonts w:hint="eastAsia"/>
                    </w:rPr>
                    <w:t>60</w:t>
                  </w:r>
                </w:p>
              </w:tc>
              <w:tc>
                <w:tcPr>
                  <w:tcW w:w="1367" w:type="dxa"/>
                  <w:tcBorders>
                    <w:tl2br w:val="nil"/>
                    <w:tr2bl w:val="nil"/>
                  </w:tcBorders>
                  <w:noWrap w:val="0"/>
                  <w:vAlign w:val="center"/>
                </w:tcPr>
                <w:p w14:paraId="4B26D09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1368" w:type="dxa"/>
                  <w:tcBorders>
                    <w:tl2br w:val="nil"/>
                    <w:tr2bl w:val="nil"/>
                  </w:tcBorders>
                  <w:noWrap w:val="0"/>
                  <w:vAlign w:val="center"/>
                </w:tcPr>
                <w:p w14:paraId="7DC46A41">
                  <w:pPr>
                    <w:pStyle w:val="8"/>
                    <w:keepNext w:val="0"/>
                    <w:keepLines w:val="0"/>
                    <w:suppressLineNumbers w:val="0"/>
                    <w:bidi w:val="0"/>
                    <w:spacing w:before="0" w:beforeAutospacing="0" w:after="0" w:afterAutospacing="0"/>
                    <w:ind w:left="0" w:right="0"/>
                    <w:rPr>
                      <w:rFonts w:hint="eastAsia"/>
                      <w:lang w:eastAsia="zh-CN"/>
                    </w:rPr>
                  </w:pPr>
                  <w:r>
                    <w:rPr>
                      <w:rFonts w:hint="default"/>
                      <w:lang w:eastAsia="zh-CN"/>
                    </w:rPr>
                    <w:t>达标</w:t>
                  </w:r>
                </w:p>
              </w:tc>
            </w:tr>
            <w:tr w14:paraId="0757C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pct"/>
                  <w:vMerge w:val="continue"/>
                  <w:tcBorders>
                    <w:tl2br w:val="nil"/>
                    <w:tr2bl w:val="nil"/>
                  </w:tcBorders>
                  <w:noWrap w:val="0"/>
                  <w:vAlign w:val="center"/>
                </w:tcPr>
                <w:p w14:paraId="034FEE8F">
                  <w:pPr>
                    <w:pStyle w:val="8"/>
                    <w:keepNext w:val="0"/>
                    <w:keepLines w:val="0"/>
                    <w:suppressLineNumbers w:val="0"/>
                    <w:bidi w:val="0"/>
                    <w:spacing w:before="0" w:beforeAutospacing="0" w:after="0" w:afterAutospacing="0"/>
                    <w:ind w:left="0" w:right="0"/>
                    <w:rPr>
                      <w:rFonts w:hint="default"/>
                    </w:rPr>
                  </w:pPr>
                </w:p>
              </w:tc>
              <w:tc>
                <w:tcPr>
                  <w:tcW w:w="912" w:type="pct"/>
                  <w:tcBorders>
                    <w:tl2br w:val="nil"/>
                    <w:tr2bl w:val="nil"/>
                  </w:tcBorders>
                  <w:noWrap w:val="0"/>
                  <w:vAlign w:val="center"/>
                </w:tcPr>
                <w:p w14:paraId="5A607B9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24h平均第98百分位数</w:t>
                  </w:r>
                </w:p>
              </w:tc>
              <w:tc>
                <w:tcPr>
                  <w:tcW w:w="828" w:type="pct"/>
                  <w:tcBorders>
                    <w:tl2br w:val="nil"/>
                    <w:tr2bl w:val="nil"/>
                  </w:tcBorders>
                  <w:noWrap w:val="0"/>
                  <w:vAlign w:val="center"/>
                </w:tcPr>
                <w:p w14:paraId="14E89E5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828" w:type="pct"/>
                  <w:tcBorders>
                    <w:tl2br w:val="nil"/>
                    <w:tr2bl w:val="nil"/>
                  </w:tcBorders>
                  <w:noWrap w:val="0"/>
                  <w:vAlign w:val="center"/>
                </w:tcPr>
                <w:p w14:paraId="674F4B33">
                  <w:pPr>
                    <w:pStyle w:val="8"/>
                    <w:keepNext w:val="0"/>
                    <w:keepLines w:val="0"/>
                    <w:suppressLineNumbers w:val="0"/>
                    <w:bidi w:val="0"/>
                    <w:spacing w:before="0" w:beforeAutospacing="0" w:after="0" w:afterAutospacing="0"/>
                    <w:ind w:left="0" w:right="0"/>
                    <w:rPr>
                      <w:rFonts w:hint="default"/>
                    </w:rPr>
                  </w:pPr>
                  <w:r>
                    <w:rPr>
                      <w:rFonts w:hint="eastAsia"/>
                    </w:rPr>
                    <w:t>150</w:t>
                  </w:r>
                </w:p>
              </w:tc>
              <w:tc>
                <w:tcPr>
                  <w:tcW w:w="1367" w:type="dxa"/>
                  <w:tcBorders>
                    <w:tl2br w:val="nil"/>
                    <w:tr2bl w:val="nil"/>
                  </w:tcBorders>
                  <w:noWrap w:val="0"/>
                  <w:vAlign w:val="center"/>
                </w:tcPr>
                <w:p w14:paraId="07EF66B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w:t>
                  </w:r>
                </w:p>
              </w:tc>
              <w:tc>
                <w:tcPr>
                  <w:tcW w:w="1368" w:type="dxa"/>
                  <w:tcBorders>
                    <w:tl2br w:val="nil"/>
                    <w:tr2bl w:val="nil"/>
                  </w:tcBorders>
                  <w:noWrap w:val="0"/>
                  <w:vAlign w:val="center"/>
                </w:tcPr>
                <w:p w14:paraId="177CC439">
                  <w:pPr>
                    <w:pStyle w:val="8"/>
                    <w:keepNext w:val="0"/>
                    <w:keepLines w:val="0"/>
                    <w:suppressLineNumbers w:val="0"/>
                    <w:bidi w:val="0"/>
                    <w:spacing w:before="0" w:beforeAutospacing="0" w:after="0" w:afterAutospacing="0"/>
                    <w:ind w:left="0" w:right="0"/>
                    <w:rPr>
                      <w:rFonts w:hint="eastAsia"/>
                    </w:rPr>
                  </w:pPr>
                  <w:r>
                    <w:rPr>
                      <w:rFonts w:hint="default"/>
                      <w:lang w:eastAsia="zh-CN"/>
                    </w:rPr>
                    <w:t>达标</w:t>
                  </w:r>
                </w:p>
              </w:tc>
            </w:tr>
            <w:tr w14:paraId="19F72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Merge w:val="restart"/>
                  <w:tcBorders>
                    <w:tl2br w:val="nil"/>
                    <w:tr2bl w:val="nil"/>
                  </w:tcBorders>
                  <w:noWrap w:val="0"/>
                  <w:vAlign w:val="center"/>
                </w:tcPr>
                <w:p w14:paraId="44602968">
                  <w:pPr>
                    <w:pStyle w:val="8"/>
                    <w:keepNext w:val="0"/>
                    <w:keepLines w:val="0"/>
                    <w:suppressLineNumbers w:val="0"/>
                    <w:bidi w:val="0"/>
                    <w:spacing w:before="0" w:beforeAutospacing="0" w:after="0" w:afterAutospacing="0"/>
                    <w:ind w:left="0" w:right="0"/>
                    <w:rPr>
                      <w:rFonts w:hint="default"/>
                    </w:rPr>
                  </w:pPr>
                  <w:r>
                    <w:rPr>
                      <w:rFonts w:hint="eastAsia"/>
                    </w:rPr>
                    <w:t>NO</w:t>
                  </w:r>
                  <w:r>
                    <w:rPr>
                      <w:rFonts w:hint="eastAsia"/>
                      <w:vertAlign w:val="subscript"/>
                    </w:rPr>
                    <w:t>2</w:t>
                  </w:r>
                </w:p>
              </w:tc>
              <w:tc>
                <w:tcPr>
                  <w:tcW w:w="912" w:type="pct"/>
                  <w:tcBorders>
                    <w:tl2br w:val="nil"/>
                    <w:tr2bl w:val="nil"/>
                  </w:tcBorders>
                  <w:noWrap w:val="0"/>
                  <w:vAlign w:val="center"/>
                </w:tcPr>
                <w:p w14:paraId="50F4DF7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28" w:type="pct"/>
                  <w:tcBorders>
                    <w:tl2br w:val="nil"/>
                    <w:tr2bl w:val="nil"/>
                  </w:tcBorders>
                  <w:noWrap w:val="0"/>
                  <w:vAlign w:val="center"/>
                </w:tcPr>
                <w:p w14:paraId="13EE401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29</w:t>
                  </w:r>
                </w:p>
              </w:tc>
              <w:tc>
                <w:tcPr>
                  <w:tcW w:w="828" w:type="pct"/>
                  <w:tcBorders>
                    <w:tl2br w:val="nil"/>
                    <w:tr2bl w:val="nil"/>
                  </w:tcBorders>
                  <w:noWrap w:val="0"/>
                  <w:vAlign w:val="center"/>
                </w:tcPr>
                <w:p w14:paraId="2016AA6D">
                  <w:pPr>
                    <w:pStyle w:val="8"/>
                    <w:keepNext w:val="0"/>
                    <w:keepLines w:val="0"/>
                    <w:suppressLineNumbers w:val="0"/>
                    <w:bidi w:val="0"/>
                    <w:spacing w:before="0" w:beforeAutospacing="0" w:after="0" w:afterAutospacing="0"/>
                    <w:ind w:left="0" w:right="0"/>
                    <w:rPr>
                      <w:rFonts w:hint="default"/>
                    </w:rPr>
                  </w:pPr>
                  <w:r>
                    <w:rPr>
                      <w:rFonts w:hint="eastAsia"/>
                    </w:rPr>
                    <w:t>40</w:t>
                  </w:r>
                </w:p>
              </w:tc>
              <w:tc>
                <w:tcPr>
                  <w:tcW w:w="1367" w:type="dxa"/>
                  <w:tcBorders>
                    <w:tl2br w:val="nil"/>
                    <w:tr2bl w:val="nil"/>
                  </w:tcBorders>
                  <w:noWrap w:val="0"/>
                  <w:vAlign w:val="center"/>
                </w:tcPr>
                <w:p w14:paraId="2427792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73</w:t>
                  </w:r>
                </w:p>
              </w:tc>
              <w:tc>
                <w:tcPr>
                  <w:tcW w:w="1368" w:type="dxa"/>
                  <w:tcBorders>
                    <w:tl2br w:val="nil"/>
                    <w:tr2bl w:val="nil"/>
                  </w:tcBorders>
                  <w:noWrap w:val="0"/>
                  <w:vAlign w:val="center"/>
                </w:tcPr>
                <w:p w14:paraId="79916774">
                  <w:pPr>
                    <w:pStyle w:val="8"/>
                    <w:keepNext w:val="0"/>
                    <w:keepLines w:val="0"/>
                    <w:suppressLineNumbers w:val="0"/>
                    <w:bidi w:val="0"/>
                    <w:spacing w:before="0" w:beforeAutospacing="0" w:after="0" w:afterAutospacing="0"/>
                    <w:ind w:left="0" w:right="0"/>
                    <w:rPr>
                      <w:rFonts w:hint="eastAsia"/>
                    </w:rPr>
                  </w:pPr>
                  <w:r>
                    <w:rPr>
                      <w:rFonts w:hint="default"/>
                      <w:lang w:eastAsia="zh-CN"/>
                    </w:rPr>
                    <w:t>达标</w:t>
                  </w:r>
                </w:p>
              </w:tc>
            </w:tr>
            <w:tr w14:paraId="76E12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pct"/>
                  <w:vMerge w:val="continue"/>
                  <w:tcBorders>
                    <w:tl2br w:val="nil"/>
                    <w:tr2bl w:val="nil"/>
                  </w:tcBorders>
                  <w:noWrap w:val="0"/>
                  <w:vAlign w:val="center"/>
                </w:tcPr>
                <w:p w14:paraId="6E750336">
                  <w:pPr>
                    <w:pStyle w:val="8"/>
                    <w:keepNext w:val="0"/>
                    <w:keepLines w:val="0"/>
                    <w:suppressLineNumbers w:val="0"/>
                    <w:bidi w:val="0"/>
                    <w:spacing w:before="0" w:beforeAutospacing="0" w:after="0" w:afterAutospacing="0"/>
                    <w:ind w:left="0" w:right="0"/>
                    <w:rPr>
                      <w:rFonts w:hint="default"/>
                    </w:rPr>
                  </w:pPr>
                </w:p>
              </w:tc>
              <w:tc>
                <w:tcPr>
                  <w:tcW w:w="912" w:type="pct"/>
                  <w:tcBorders>
                    <w:tl2br w:val="nil"/>
                    <w:tr2bl w:val="nil"/>
                  </w:tcBorders>
                  <w:noWrap w:val="0"/>
                  <w:vAlign w:val="center"/>
                </w:tcPr>
                <w:p w14:paraId="4E3521F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24h平均第98百分位数</w:t>
                  </w:r>
                </w:p>
              </w:tc>
              <w:tc>
                <w:tcPr>
                  <w:tcW w:w="828" w:type="pct"/>
                  <w:tcBorders>
                    <w:tl2br w:val="nil"/>
                    <w:tr2bl w:val="nil"/>
                  </w:tcBorders>
                  <w:noWrap w:val="0"/>
                  <w:vAlign w:val="center"/>
                </w:tcPr>
                <w:p w14:paraId="2F2A9CF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70</w:t>
                  </w:r>
                </w:p>
              </w:tc>
              <w:tc>
                <w:tcPr>
                  <w:tcW w:w="828" w:type="pct"/>
                  <w:tcBorders>
                    <w:tl2br w:val="nil"/>
                    <w:tr2bl w:val="nil"/>
                  </w:tcBorders>
                  <w:noWrap w:val="0"/>
                  <w:vAlign w:val="center"/>
                </w:tcPr>
                <w:p w14:paraId="432FD98D">
                  <w:pPr>
                    <w:pStyle w:val="8"/>
                    <w:keepNext w:val="0"/>
                    <w:keepLines w:val="0"/>
                    <w:suppressLineNumbers w:val="0"/>
                    <w:bidi w:val="0"/>
                    <w:spacing w:before="0" w:beforeAutospacing="0" w:after="0" w:afterAutospacing="0"/>
                    <w:ind w:left="0" w:right="0"/>
                    <w:rPr>
                      <w:rFonts w:hint="default"/>
                    </w:rPr>
                  </w:pPr>
                  <w:r>
                    <w:rPr>
                      <w:rFonts w:hint="eastAsia"/>
                    </w:rPr>
                    <w:t>80</w:t>
                  </w:r>
                </w:p>
              </w:tc>
              <w:tc>
                <w:tcPr>
                  <w:tcW w:w="1367" w:type="dxa"/>
                  <w:tcBorders>
                    <w:tl2br w:val="nil"/>
                    <w:tr2bl w:val="nil"/>
                  </w:tcBorders>
                  <w:noWrap w:val="0"/>
                  <w:vAlign w:val="center"/>
                </w:tcPr>
                <w:p w14:paraId="78031A9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88</w:t>
                  </w:r>
                </w:p>
              </w:tc>
              <w:tc>
                <w:tcPr>
                  <w:tcW w:w="1368" w:type="dxa"/>
                  <w:tcBorders>
                    <w:tl2br w:val="nil"/>
                    <w:tr2bl w:val="nil"/>
                  </w:tcBorders>
                  <w:noWrap w:val="0"/>
                  <w:vAlign w:val="center"/>
                </w:tcPr>
                <w:p w14:paraId="3165D440">
                  <w:pPr>
                    <w:pStyle w:val="8"/>
                    <w:keepNext w:val="0"/>
                    <w:keepLines w:val="0"/>
                    <w:suppressLineNumbers w:val="0"/>
                    <w:bidi w:val="0"/>
                    <w:spacing w:before="0" w:beforeAutospacing="0" w:after="0" w:afterAutospacing="0"/>
                    <w:ind w:left="0" w:right="0"/>
                    <w:rPr>
                      <w:rFonts w:hint="eastAsia"/>
                    </w:rPr>
                  </w:pPr>
                  <w:r>
                    <w:rPr>
                      <w:rFonts w:hint="default"/>
                      <w:lang w:eastAsia="zh-CN"/>
                    </w:rPr>
                    <w:t>达标</w:t>
                  </w:r>
                </w:p>
              </w:tc>
            </w:tr>
            <w:tr w14:paraId="1CB16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tcBorders>
                    <w:tl2br w:val="nil"/>
                    <w:tr2bl w:val="nil"/>
                  </w:tcBorders>
                  <w:noWrap w:val="0"/>
                  <w:vAlign w:val="center"/>
                </w:tcPr>
                <w:p w14:paraId="6ECDEC07">
                  <w:pPr>
                    <w:pStyle w:val="8"/>
                    <w:keepNext w:val="0"/>
                    <w:keepLines w:val="0"/>
                    <w:suppressLineNumbers w:val="0"/>
                    <w:bidi w:val="0"/>
                    <w:spacing w:before="0" w:beforeAutospacing="0" w:after="0" w:afterAutospacing="0"/>
                    <w:ind w:left="0" w:right="0"/>
                    <w:rPr>
                      <w:rFonts w:hint="default"/>
                    </w:rPr>
                  </w:pPr>
                  <w:r>
                    <w:rPr>
                      <w:rFonts w:hint="eastAsia"/>
                    </w:rPr>
                    <w:t>CO（mg/m</w:t>
                  </w:r>
                  <w:r>
                    <w:rPr>
                      <w:rFonts w:hint="eastAsia"/>
                      <w:vertAlign w:val="superscript"/>
                    </w:rPr>
                    <w:t>3</w:t>
                  </w:r>
                  <w:r>
                    <w:rPr>
                      <w:rFonts w:hint="eastAsia"/>
                    </w:rPr>
                    <w:t>）</w:t>
                  </w:r>
                </w:p>
              </w:tc>
              <w:tc>
                <w:tcPr>
                  <w:tcW w:w="912" w:type="pct"/>
                  <w:tcBorders>
                    <w:tl2br w:val="nil"/>
                    <w:tr2bl w:val="nil"/>
                  </w:tcBorders>
                  <w:noWrap w:val="0"/>
                  <w:vAlign w:val="center"/>
                </w:tcPr>
                <w:p w14:paraId="22F2579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24h平均第95百分位数</w:t>
                  </w:r>
                </w:p>
              </w:tc>
              <w:tc>
                <w:tcPr>
                  <w:tcW w:w="828" w:type="pct"/>
                  <w:tcBorders>
                    <w:tl2br w:val="nil"/>
                    <w:tr2bl w:val="nil"/>
                  </w:tcBorders>
                  <w:noWrap w:val="0"/>
                  <w:vAlign w:val="center"/>
                </w:tcPr>
                <w:p w14:paraId="667BCB4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828" w:type="pct"/>
                  <w:tcBorders>
                    <w:tl2br w:val="nil"/>
                    <w:tr2bl w:val="nil"/>
                  </w:tcBorders>
                  <w:noWrap w:val="0"/>
                  <w:vAlign w:val="center"/>
                </w:tcPr>
                <w:p w14:paraId="5FDA7314">
                  <w:pPr>
                    <w:pStyle w:val="8"/>
                    <w:keepNext w:val="0"/>
                    <w:keepLines w:val="0"/>
                    <w:suppressLineNumbers w:val="0"/>
                    <w:bidi w:val="0"/>
                    <w:spacing w:before="0" w:beforeAutospacing="0" w:after="0" w:afterAutospacing="0"/>
                    <w:ind w:left="0" w:right="0"/>
                    <w:rPr>
                      <w:rFonts w:hint="default"/>
                    </w:rPr>
                  </w:pPr>
                  <w:r>
                    <w:rPr>
                      <w:rFonts w:hint="eastAsia"/>
                    </w:rPr>
                    <w:t>4</w:t>
                  </w:r>
                </w:p>
              </w:tc>
              <w:tc>
                <w:tcPr>
                  <w:tcW w:w="1367" w:type="dxa"/>
                  <w:tcBorders>
                    <w:tl2br w:val="nil"/>
                    <w:tr2bl w:val="nil"/>
                  </w:tcBorders>
                  <w:noWrap w:val="0"/>
                  <w:vAlign w:val="center"/>
                </w:tcPr>
                <w:p w14:paraId="52FA1E2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25</w:t>
                  </w:r>
                </w:p>
              </w:tc>
              <w:tc>
                <w:tcPr>
                  <w:tcW w:w="1368" w:type="dxa"/>
                  <w:tcBorders>
                    <w:tl2br w:val="nil"/>
                    <w:tr2bl w:val="nil"/>
                  </w:tcBorders>
                  <w:noWrap w:val="0"/>
                  <w:vAlign w:val="center"/>
                </w:tcPr>
                <w:p w14:paraId="5778A19A">
                  <w:pPr>
                    <w:pStyle w:val="8"/>
                    <w:keepNext w:val="0"/>
                    <w:keepLines w:val="0"/>
                    <w:suppressLineNumbers w:val="0"/>
                    <w:bidi w:val="0"/>
                    <w:spacing w:before="0" w:beforeAutospacing="0" w:after="0" w:afterAutospacing="0"/>
                    <w:ind w:left="0" w:right="0"/>
                    <w:rPr>
                      <w:rFonts w:hint="eastAsia"/>
                    </w:rPr>
                  </w:pPr>
                  <w:r>
                    <w:rPr>
                      <w:rFonts w:hint="default"/>
                      <w:lang w:eastAsia="zh-CN"/>
                    </w:rPr>
                    <w:t>达标</w:t>
                  </w:r>
                </w:p>
              </w:tc>
            </w:tr>
            <w:tr w14:paraId="53FE0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tcBorders>
                    <w:tl2br w:val="nil"/>
                    <w:tr2bl w:val="nil"/>
                  </w:tcBorders>
                  <w:noWrap w:val="0"/>
                  <w:vAlign w:val="center"/>
                </w:tcPr>
                <w:p w14:paraId="4FB92C29">
                  <w:pPr>
                    <w:pStyle w:val="8"/>
                    <w:keepNext w:val="0"/>
                    <w:keepLines w:val="0"/>
                    <w:suppressLineNumbers w:val="0"/>
                    <w:bidi w:val="0"/>
                    <w:spacing w:before="0" w:beforeAutospacing="0" w:after="0" w:afterAutospacing="0"/>
                    <w:ind w:left="0" w:right="0"/>
                    <w:rPr>
                      <w:rFonts w:hint="default"/>
                    </w:rPr>
                  </w:pPr>
                  <w:r>
                    <w:rPr>
                      <w:rFonts w:hint="eastAsia"/>
                    </w:rPr>
                    <w:t>O</w:t>
                  </w:r>
                  <w:r>
                    <w:rPr>
                      <w:rFonts w:hint="eastAsia"/>
                      <w:vertAlign w:val="subscript"/>
                    </w:rPr>
                    <w:t>3</w:t>
                  </w:r>
                </w:p>
              </w:tc>
              <w:tc>
                <w:tcPr>
                  <w:tcW w:w="912" w:type="pct"/>
                  <w:tcBorders>
                    <w:tl2br w:val="nil"/>
                    <w:tr2bl w:val="nil"/>
                  </w:tcBorders>
                  <w:noWrap w:val="0"/>
                  <w:vAlign w:val="center"/>
                </w:tcPr>
                <w:p w14:paraId="58232098">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最大8小时滑动平均值的第90百分位数</w:t>
                  </w:r>
                </w:p>
              </w:tc>
              <w:tc>
                <w:tcPr>
                  <w:tcW w:w="828" w:type="pct"/>
                  <w:tcBorders>
                    <w:tl2br w:val="nil"/>
                    <w:tr2bl w:val="nil"/>
                  </w:tcBorders>
                  <w:noWrap w:val="0"/>
                  <w:vAlign w:val="center"/>
                </w:tcPr>
                <w:p w14:paraId="205906F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146</w:t>
                  </w:r>
                </w:p>
              </w:tc>
              <w:tc>
                <w:tcPr>
                  <w:tcW w:w="828" w:type="pct"/>
                  <w:tcBorders>
                    <w:tl2br w:val="nil"/>
                    <w:tr2bl w:val="nil"/>
                  </w:tcBorders>
                  <w:noWrap w:val="0"/>
                  <w:vAlign w:val="center"/>
                </w:tcPr>
                <w:p w14:paraId="53ED9B86">
                  <w:pPr>
                    <w:pStyle w:val="8"/>
                    <w:keepNext w:val="0"/>
                    <w:keepLines w:val="0"/>
                    <w:suppressLineNumbers w:val="0"/>
                    <w:bidi w:val="0"/>
                    <w:spacing w:before="0" w:beforeAutospacing="0" w:after="0" w:afterAutospacing="0"/>
                    <w:ind w:left="0" w:right="0"/>
                    <w:rPr>
                      <w:rFonts w:hint="default"/>
                    </w:rPr>
                  </w:pPr>
                  <w:r>
                    <w:rPr>
                      <w:rFonts w:hint="eastAsia"/>
                    </w:rPr>
                    <w:t>160</w:t>
                  </w:r>
                </w:p>
              </w:tc>
              <w:tc>
                <w:tcPr>
                  <w:tcW w:w="1367" w:type="dxa"/>
                  <w:tcBorders>
                    <w:tl2br w:val="nil"/>
                    <w:tr2bl w:val="nil"/>
                  </w:tcBorders>
                  <w:noWrap w:val="0"/>
                  <w:vAlign w:val="center"/>
                </w:tcPr>
                <w:p w14:paraId="11AE025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91</w:t>
                  </w:r>
                </w:p>
              </w:tc>
              <w:tc>
                <w:tcPr>
                  <w:tcW w:w="1368" w:type="dxa"/>
                  <w:tcBorders>
                    <w:tl2br w:val="nil"/>
                    <w:tr2bl w:val="nil"/>
                  </w:tcBorders>
                  <w:noWrap w:val="0"/>
                  <w:vAlign w:val="center"/>
                </w:tcPr>
                <w:p w14:paraId="64D067BD">
                  <w:pPr>
                    <w:pStyle w:val="8"/>
                    <w:keepNext w:val="0"/>
                    <w:keepLines w:val="0"/>
                    <w:suppressLineNumbers w:val="0"/>
                    <w:bidi w:val="0"/>
                    <w:spacing w:before="0" w:beforeAutospacing="0" w:after="0" w:afterAutospacing="0"/>
                    <w:ind w:left="0" w:right="0"/>
                    <w:rPr>
                      <w:rFonts w:hint="eastAsia"/>
                    </w:rPr>
                  </w:pPr>
                  <w:r>
                    <w:rPr>
                      <w:rFonts w:hint="default"/>
                      <w:lang w:eastAsia="zh-CN"/>
                    </w:rPr>
                    <w:t>达标</w:t>
                  </w:r>
                </w:p>
              </w:tc>
            </w:tr>
            <w:tr w14:paraId="0F8AE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406" w:type="dxa"/>
                  <w:vMerge w:val="restart"/>
                  <w:tcBorders>
                    <w:tl2br w:val="nil"/>
                    <w:tr2bl w:val="nil"/>
                  </w:tcBorders>
                  <w:noWrap w:val="0"/>
                  <w:vAlign w:val="center"/>
                </w:tcPr>
                <w:p w14:paraId="0E437D4A">
                  <w:pPr>
                    <w:pStyle w:val="8"/>
                    <w:keepNext w:val="0"/>
                    <w:keepLines w:val="0"/>
                    <w:suppressLineNumbers w:val="0"/>
                    <w:bidi w:val="0"/>
                    <w:spacing w:before="0" w:beforeAutospacing="0" w:after="0" w:afterAutospacing="0"/>
                    <w:ind w:left="0" w:right="0"/>
                    <w:rPr>
                      <w:rFonts w:hint="default"/>
                    </w:rPr>
                  </w:pPr>
                  <w:r>
                    <w:rPr>
                      <w:rFonts w:hint="eastAsia"/>
                    </w:rPr>
                    <w:t>PM</w:t>
                  </w:r>
                  <w:r>
                    <w:rPr>
                      <w:rFonts w:hint="eastAsia"/>
                      <w:vertAlign w:val="subscript"/>
                    </w:rPr>
                    <w:t>10</w:t>
                  </w:r>
                </w:p>
              </w:tc>
              <w:tc>
                <w:tcPr>
                  <w:tcW w:w="912" w:type="pct"/>
                  <w:tcBorders>
                    <w:tl2br w:val="nil"/>
                    <w:tr2bl w:val="nil"/>
                  </w:tcBorders>
                  <w:noWrap w:val="0"/>
                  <w:vAlign w:val="center"/>
                </w:tcPr>
                <w:p w14:paraId="2743418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28" w:type="pct"/>
                  <w:tcBorders>
                    <w:tl2br w:val="nil"/>
                    <w:tr2bl w:val="nil"/>
                  </w:tcBorders>
                  <w:noWrap w:val="0"/>
                  <w:vAlign w:val="center"/>
                </w:tcPr>
                <w:p w14:paraId="3DECD90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112</w:t>
                  </w:r>
                </w:p>
              </w:tc>
              <w:tc>
                <w:tcPr>
                  <w:tcW w:w="828" w:type="pct"/>
                  <w:tcBorders>
                    <w:tl2br w:val="nil"/>
                    <w:tr2bl w:val="nil"/>
                  </w:tcBorders>
                  <w:noWrap w:val="0"/>
                  <w:vAlign w:val="center"/>
                </w:tcPr>
                <w:p w14:paraId="62D8CF0D">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eastAsia="zh-CN"/>
                    </w:rPr>
                    <w:t>6</w:t>
                  </w:r>
                  <w:r>
                    <w:rPr>
                      <w:rFonts w:hint="eastAsia"/>
                      <w:lang w:val="en-US" w:eastAsia="zh-CN"/>
                    </w:rPr>
                    <w:t>0</w:t>
                  </w:r>
                </w:p>
              </w:tc>
              <w:tc>
                <w:tcPr>
                  <w:tcW w:w="1367" w:type="dxa"/>
                  <w:tcBorders>
                    <w:tl2br w:val="nil"/>
                    <w:tr2bl w:val="nil"/>
                  </w:tcBorders>
                  <w:noWrap w:val="0"/>
                  <w:vAlign w:val="center"/>
                </w:tcPr>
                <w:p w14:paraId="331B074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187</w:t>
                  </w:r>
                </w:p>
              </w:tc>
              <w:tc>
                <w:tcPr>
                  <w:tcW w:w="803" w:type="pct"/>
                  <w:tcBorders>
                    <w:tl2br w:val="nil"/>
                    <w:tr2bl w:val="nil"/>
                  </w:tcBorders>
                  <w:noWrap w:val="0"/>
                  <w:vAlign w:val="center"/>
                </w:tcPr>
                <w:p w14:paraId="3701962F">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超标</w:t>
                  </w:r>
                </w:p>
              </w:tc>
            </w:tr>
            <w:tr w14:paraId="63859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pct"/>
                  <w:vMerge w:val="continue"/>
                  <w:tcBorders>
                    <w:tl2br w:val="nil"/>
                    <w:tr2bl w:val="nil"/>
                  </w:tcBorders>
                  <w:noWrap w:val="0"/>
                  <w:vAlign w:val="center"/>
                </w:tcPr>
                <w:p w14:paraId="51410881">
                  <w:pPr>
                    <w:pStyle w:val="8"/>
                    <w:keepNext w:val="0"/>
                    <w:keepLines w:val="0"/>
                    <w:suppressLineNumbers w:val="0"/>
                    <w:bidi w:val="0"/>
                    <w:spacing w:before="0" w:beforeAutospacing="0" w:after="0" w:afterAutospacing="0"/>
                    <w:ind w:left="0" w:right="0"/>
                    <w:rPr>
                      <w:rFonts w:hint="default"/>
                    </w:rPr>
                  </w:pPr>
                </w:p>
              </w:tc>
              <w:tc>
                <w:tcPr>
                  <w:tcW w:w="912" w:type="pct"/>
                  <w:tcBorders>
                    <w:tl2br w:val="nil"/>
                    <w:tr2bl w:val="nil"/>
                  </w:tcBorders>
                  <w:noWrap w:val="0"/>
                  <w:vAlign w:val="center"/>
                </w:tcPr>
                <w:p w14:paraId="3D6DA62C">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24h平均第95百分位数</w:t>
                  </w:r>
                </w:p>
              </w:tc>
              <w:tc>
                <w:tcPr>
                  <w:tcW w:w="828" w:type="pct"/>
                  <w:tcBorders>
                    <w:tl2br w:val="nil"/>
                    <w:tr2bl w:val="nil"/>
                  </w:tcBorders>
                  <w:noWrap w:val="0"/>
                  <w:vAlign w:val="center"/>
                </w:tcPr>
                <w:p w14:paraId="085D25DC">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349</w:t>
                  </w:r>
                </w:p>
              </w:tc>
              <w:tc>
                <w:tcPr>
                  <w:tcW w:w="828" w:type="pct"/>
                  <w:tcBorders>
                    <w:tl2br w:val="nil"/>
                    <w:tr2bl w:val="nil"/>
                  </w:tcBorders>
                  <w:noWrap w:val="0"/>
                  <w:vAlign w:val="center"/>
                </w:tcPr>
                <w:p w14:paraId="0C76BBFA">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120</w:t>
                  </w:r>
                </w:p>
              </w:tc>
              <w:tc>
                <w:tcPr>
                  <w:tcW w:w="1367" w:type="dxa"/>
                  <w:tcBorders>
                    <w:tl2br w:val="nil"/>
                    <w:tr2bl w:val="nil"/>
                  </w:tcBorders>
                  <w:noWrap w:val="0"/>
                  <w:vAlign w:val="center"/>
                </w:tcPr>
                <w:p w14:paraId="1293A3A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291</w:t>
                  </w:r>
                </w:p>
              </w:tc>
              <w:tc>
                <w:tcPr>
                  <w:tcW w:w="803" w:type="pct"/>
                  <w:tcBorders>
                    <w:tl2br w:val="nil"/>
                    <w:tr2bl w:val="nil"/>
                  </w:tcBorders>
                  <w:noWrap w:val="0"/>
                  <w:vAlign w:val="center"/>
                </w:tcPr>
                <w:p w14:paraId="04962910">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超标</w:t>
                  </w:r>
                </w:p>
              </w:tc>
            </w:tr>
            <w:tr w14:paraId="3E351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6" w:type="dxa"/>
                  <w:vMerge w:val="restart"/>
                  <w:tcBorders>
                    <w:tl2br w:val="nil"/>
                    <w:tr2bl w:val="nil"/>
                  </w:tcBorders>
                  <w:noWrap w:val="0"/>
                  <w:vAlign w:val="center"/>
                </w:tcPr>
                <w:p w14:paraId="4BAE97C2">
                  <w:pPr>
                    <w:pStyle w:val="8"/>
                    <w:keepNext w:val="0"/>
                    <w:keepLines w:val="0"/>
                    <w:suppressLineNumbers w:val="0"/>
                    <w:bidi w:val="0"/>
                    <w:spacing w:before="0" w:beforeAutospacing="0" w:after="0" w:afterAutospacing="0"/>
                    <w:ind w:left="0" w:right="0"/>
                    <w:rPr>
                      <w:rFonts w:hint="default"/>
                    </w:rPr>
                  </w:pPr>
                  <w:r>
                    <w:rPr>
                      <w:rFonts w:hint="eastAsia"/>
                    </w:rPr>
                    <w:t>PM</w:t>
                  </w:r>
                  <w:r>
                    <w:rPr>
                      <w:rFonts w:hint="eastAsia"/>
                      <w:vertAlign w:val="subscript"/>
                    </w:rPr>
                    <w:t>2.5</w:t>
                  </w:r>
                </w:p>
              </w:tc>
              <w:tc>
                <w:tcPr>
                  <w:tcW w:w="912" w:type="pct"/>
                  <w:tcBorders>
                    <w:tl2br w:val="nil"/>
                    <w:tr2bl w:val="nil"/>
                  </w:tcBorders>
                  <w:noWrap w:val="0"/>
                  <w:vAlign w:val="center"/>
                </w:tcPr>
                <w:p w14:paraId="2439908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年平均</w:t>
                  </w:r>
                </w:p>
              </w:tc>
              <w:tc>
                <w:tcPr>
                  <w:tcW w:w="828" w:type="pct"/>
                  <w:tcBorders>
                    <w:tl2br w:val="nil"/>
                    <w:tr2bl w:val="nil"/>
                  </w:tcBorders>
                  <w:noWrap w:val="0"/>
                  <w:vAlign w:val="center"/>
                </w:tcPr>
                <w:p w14:paraId="0C63A79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41</w:t>
                  </w:r>
                </w:p>
              </w:tc>
              <w:tc>
                <w:tcPr>
                  <w:tcW w:w="828" w:type="pct"/>
                  <w:tcBorders>
                    <w:tl2br w:val="nil"/>
                    <w:tr2bl w:val="nil"/>
                  </w:tcBorders>
                  <w:noWrap w:val="0"/>
                  <w:vAlign w:val="center"/>
                </w:tcPr>
                <w:p w14:paraId="1C0BE46C">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eastAsia="zh-CN"/>
                    </w:rPr>
                    <w:t>3</w:t>
                  </w:r>
                  <w:r>
                    <w:rPr>
                      <w:rFonts w:hint="eastAsia"/>
                      <w:lang w:val="en-US" w:eastAsia="zh-CN"/>
                    </w:rPr>
                    <w:t>0</w:t>
                  </w:r>
                </w:p>
              </w:tc>
              <w:tc>
                <w:tcPr>
                  <w:tcW w:w="1367" w:type="dxa"/>
                  <w:tcBorders>
                    <w:tl2br w:val="nil"/>
                    <w:tr2bl w:val="nil"/>
                  </w:tcBorders>
                  <w:noWrap w:val="0"/>
                  <w:vAlign w:val="center"/>
                </w:tcPr>
                <w:p w14:paraId="06F87C6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137</w:t>
                  </w:r>
                </w:p>
              </w:tc>
              <w:tc>
                <w:tcPr>
                  <w:tcW w:w="803" w:type="pct"/>
                  <w:tcBorders>
                    <w:tl2br w:val="nil"/>
                    <w:tr2bl w:val="nil"/>
                  </w:tcBorders>
                  <w:noWrap w:val="0"/>
                  <w:vAlign w:val="center"/>
                </w:tcPr>
                <w:p w14:paraId="3796DE65">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超标</w:t>
                  </w:r>
                </w:p>
              </w:tc>
            </w:tr>
            <w:tr w14:paraId="26B68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5" w:type="pct"/>
                  <w:vMerge w:val="continue"/>
                  <w:tcBorders>
                    <w:tl2br w:val="nil"/>
                    <w:tr2bl w:val="nil"/>
                  </w:tcBorders>
                  <w:noWrap w:val="0"/>
                  <w:vAlign w:val="center"/>
                </w:tcPr>
                <w:p w14:paraId="01AE2F31">
                  <w:pPr>
                    <w:pStyle w:val="8"/>
                    <w:keepNext w:val="0"/>
                    <w:keepLines w:val="0"/>
                    <w:suppressLineNumbers w:val="0"/>
                    <w:bidi w:val="0"/>
                    <w:spacing w:before="0" w:beforeAutospacing="0" w:after="0" w:afterAutospacing="0"/>
                    <w:ind w:left="0" w:right="0"/>
                    <w:rPr>
                      <w:rFonts w:hint="default"/>
                    </w:rPr>
                  </w:pPr>
                </w:p>
              </w:tc>
              <w:tc>
                <w:tcPr>
                  <w:tcW w:w="912" w:type="pct"/>
                  <w:tcBorders>
                    <w:tl2br w:val="nil"/>
                    <w:tr2bl w:val="nil"/>
                  </w:tcBorders>
                  <w:noWrap w:val="0"/>
                  <w:vAlign w:val="center"/>
                </w:tcPr>
                <w:p w14:paraId="5A41526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24h平均第95百分位数</w:t>
                  </w:r>
                </w:p>
              </w:tc>
              <w:tc>
                <w:tcPr>
                  <w:tcW w:w="828" w:type="pct"/>
                  <w:tcBorders>
                    <w:tl2br w:val="nil"/>
                    <w:tr2bl w:val="nil"/>
                  </w:tcBorders>
                  <w:noWrap w:val="0"/>
                  <w:vAlign w:val="center"/>
                </w:tcPr>
                <w:p w14:paraId="3909A4B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101</w:t>
                  </w:r>
                </w:p>
              </w:tc>
              <w:tc>
                <w:tcPr>
                  <w:tcW w:w="828" w:type="pct"/>
                  <w:tcBorders>
                    <w:tl2br w:val="nil"/>
                    <w:tr2bl w:val="nil"/>
                  </w:tcBorders>
                  <w:noWrap w:val="0"/>
                  <w:vAlign w:val="center"/>
                </w:tcPr>
                <w:p w14:paraId="5002E556">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60</w:t>
                  </w:r>
                </w:p>
              </w:tc>
              <w:tc>
                <w:tcPr>
                  <w:tcW w:w="1367" w:type="dxa"/>
                  <w:tcBorders>
                    <w:tl2br w:val="nil"/>
                    <w:tr2bl w:val="nil"/>
                  </w:tcBorders>
                  <w:noWrap w:val="0"/>
                  <w:vAlign w:val="center"/>
                </w:tcPr>
                <w:p w14:paraId="672C21B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168</w:t>
                  </w:r>
                </w:p>
              </w:tc>
              <w:tc>
                <w:tcPr>
                  <w:tcW w:w="803" w:type="pct"/>
                  <w:tcBorders>
                    <w:tl2br w:val="nil"/>
                    <w:tr2bl w:val="nil"/>
                  </w:tcBorders>
                  <w:noWrap w:val="0"/>
                  <w:vAlign w:val="center"/>
                </w:tcPr>
                <w:p w14:paraId="7BC380C9">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超标</w:t>
                  </w:r>
                </w:p>
              </w:tc>
            </w:tr>
          </w:tbl>
          <w:p w14:paraId="4936A0FD">
            <w:pPr>
              <w:keepNext w:val="0"/>
              <w:keepLines w:val="0"/>
              <w:suppressLineNumbers w:val="0"/>
              <w:bidi w:val="0"/>
              <w:spacing w:before="0" w:beforeAutospacing="0" w:after="0" w:afterAutospacing="0"/>
              <w:ind w:left="0" w:right="0"/>
              <w:rPr>
                <w:rFonts w:hint="default"/>
              </w:rPr>
            </w:pPr>
            <w:r>
              <w:rPr>
                <w:rFonts w:hint="default" w:ascii="Times New Roman" w:hAnsi="Times New Roman" w:cs="Times New Roman"/>
                <w:color w:val="000000"/>
                <w:sz w:val="24"/>
              </w:rPr>
              <w:t>202</w:t>
            </w:r>
            <w:r>
              <w:rPr>
                <w:rFonts w:hint="eastAsia" w:cs="Times New Roman"/>
                <w:color w:val="000000"/>
                <w:sz w:val="24"/>
                <w:lang w:val="en-US" w:eastAsia="zh-CN"/>
              </w:rPr>
              <w:t>4</w:t>
            </w:r>
            <w:r>
              <w:rPr>
                <w:rFonts w:hint="default" w:ascii="Times New Roman" w:hAnsi="Times New Roman" w:cs="Times New Roman"/>
                <w:color w:val="000000"/>
                <w:sz w:val="24"/>
              </w:rPr>
              <w:t>年</w:t>
            </w:r>
            <w:r>
              <w:rPr>
                <w:rFonts w:hint="eastAsia" w:ascii="Times New Roman" w:hAnsi="Times New Roman" w:cs="Times New Roman"/>
                <w:color w:val="000000"/>
                <w:sz w:val="24"/>
                <w:lang w:val="en-US" w:eastAsia="zh-CN"/>
              </w:rPr>
              <w:t>焉耆回族自治县</w:t>
            </w:r>
            <w:r>
              <w:rPr>
                <w:rFonts w:hint="default" w:ascii="Times New Roman" w:hAnsi="Times New Roman" w:cs="Times New Roman"/>
                <w:color w:val="000000"/>
                <w:sz w:val="24"/>
              </w:rPr>
              <w:t>空气质量监测PM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和PM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年平均值浓度</w:t>
            </w:r>
            <w:r>
              <w:rPr>
                <w:rFonts w:hint="eastAsia" w:ascii="Times New Roman" w:hAnsi="Times New Roman" w:cs="Times New Roman"/>
                <w:color w:val="000000"/>
                <w:sz w:val="24"/>
                <w:lang w:eastAsia="zh-CN"/>
              </w:rPr>
              <w:t>和日均值均超标</w:t>
            </w:r>
            <w:r>
              <w:rPr>
                <w:rFonts w:hint="default" w:ascii="Times New Roman" w:hAnsi="Times New Roman" w:cs="Times New Roman"/>
                <w:color w:val="000000"/>
                <w:sz w:val="24"/>
              </w:rPr>
              <w:t>。原因受沙尘天气影响，PM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年均值浓度超过《环境空气质量标准》（GB3095-2012）二级</w:t>
            </w:r>
            <w:r>
              <w:rPr>
                <w:rFonts w:hint="eastAsia" w:cs="Times New Roman"/>
                <w:color w:val="000000"/>
                <w:sz w:val="24"/>
                <w:lang w:val="en-US" w:eastAsia="zh-CN"/>
              </w:rPr>
              <w:t>过渡阶段浓度限值</w:t>
            </w:r>
            <w:r>
              <w:rPr>
                <w:rFonts w:hint="default" w:ascii="Times New Roman" w:hAnsi="Times New Roman" w:cs="Times New Roman"/>
                <w:color w:val="000000"/>
                <w:sz w:val="24"/>
              </w:rPr>
              <w:t>，SO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、NO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、CO、O</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等其他监测指标均满足二级过渡阶段浓度限值，</w:t>
            </w:r>
            <w:r>
              <w:rPr>
                <w:rFonts w:hint="eastAsia"/>
                <w:color w:val="000000"/>
                <w:sz w:val="24"/>
              </w:rPr>
              <w:t>因此判断本项目所在区域为非达标区域。</w:t>
            </w:r>
          </w:p>
          <w:p w14:paraId="76B8B995">
            <w:pPr>
              <w:pStyle w:val="4"/>
              <w:suppressLineNumbers w:val="0"/>
              <w:bidi w:val="0"/>
              <w:spacing w:before="0" w:beforeAutospacing="0" w:after="0" w:afterAutospacing="0"/>
              <w:ind w:left="0" w:right="0"/>
              <w:rPr>
                <w:rFonts w:hint="default"/>
                <w:color w:val="auto"/>
                <w:lang w:val="en-US" w:eastAsia="zh-CN"/>
              </w:rPr>
            </w:pPr>
            <w:r>
              <w:rPr>
                <w:rFonts w:hint="eastAsia"/>
                <w:lang w:val="en-US" w:eastAsia="zh-CN"/>
              </w:rPr>
              <w:t>1.2</w:t>
            </w:r>
            <w:r>
              <w:rPr>
                <w:rFonts w:hint="eastAsia"/>
                <w:color w:val="auto"/>
                <w:lang w:val="en-US" w:eastAsia="zh-CN"/>
              </w:rPr>
              <w:t>其他污染物质量现状</w:t>
            </w:r>
          </w:p>
          <w:p w14:paraId="1AA921BE">
            <w:pPr>
              <w:keepNext w:val="0"/>
              <w:keepLines w:val="0"/>
              <w:suppressLineNumbers w:val="0"/>
              <w:bidi w:val="0"/>
              <w:spacing w:before="0" w:beforeAutospacing="0" w:after="0" w:afterAutospacing="0"/>
              <w:ind w:left="0" w:right="0"/>
              <w:rPr>
                <w:rFonts w:hint="eastAsia"/>
                <w:lang w:val="en-US" w:eastAsia="zh-CN"/>
              </w:rPr>
            </w:pPr>
            <w:r>
              <w:rPr>
                <w:rFonts w:hint="eastAsia"/>
                <w:color w:val="auto"/>
                <w:lang w:val="en-US" w:eastAsia="zh-CN"/>
              </w:rPr>
              <w:t>本次颗粒物大气环境质量现状评价引用新疆永硅煤业有限公司的现状监测数据，2024年2月5日～2024年2月8日的环境空气质量现状监测数据，</w:t>
            </w:r>
            <w:r>
              <w:rPr>
                <w:rFonts w:hint="eastAsia"/>
                <w:color w:val="auto"/>
                <w:lang w:eastAsia="zh-CN"/>
              </w:rPr>
              <w:t>位于</w:t>
            </w:r>
            <w:r>
              <w:rPr>
                <w:rFonts w:hint="eastAsia"/>
                <w:lang w:eastAsia="zh-CN"/>
              </w:rPr>
              <w:t>本项目区西</w:t>
            </w:r>
            <w:r>
              <w:rPr>
                <w:rFonts w:hint="eastAsia"/>
                <w:lang w:val="en-US" w:eastAsia="zh-CN"/>
              </w:rPr>
              <w:t>南</w:t>
            </w:r>
            <w:r>
              <w:rPr>
                <w:rFonts w:hint="eastAsia"/>
                <w:lang w:eastAsia="zh-CN"/>
              </w:rPr>
              <w:t>直线距离约</w:t>
            </w:r>
            <w:r>
              <w:rPr>
                <w:rFonts w:hint="eastAsia"/>
                <w:lang w:val="en-US" w:eastAsia="zh-CN"/>
              </w:rPr>
              <w:t>3.3km处。大气监测点位见</w:t>
            </w:r>
            <w:r>
              <w:rPr>
                <w:rFonts w:hint="eastAsia"/>
                <w:color w:val="auto"/>
                <w:lang w:val="en-US" w:eastAsia="zh-CN"/>
              </w:rPr>
              <w:t>附图5</w:t>
            </w:r>
            <w:r>
              <w:rPr>
                <w:rFonts w:hint="eastAsia"/>
                <w:lang w:val="en-US" w:eastAsia="zh-CN"/>
              </w:rPr>
              <w:t>。</w:t>
            </w:r>
          </w:p>
          <w:p w14:paraId="08C747CA">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lang w:val="en-US" w:eastAsia="zh-CN"/>
              </w:rPr>
            </w:pPr>
            <w:r>
              <w:rPr>
                <w:rFonts w:hint="default"/>
                <w:lang w:val="en-US" w:eastAsia="zh-CN"/>
              </w:rPr>
              <w:t>（1）监测地点</w:t>
            </w:r>
            <w:r>
              <w:rPr>
                <w:rFonts w:hint="eastAsia"/>
                <w:lang w:val="en-US" w:eastAsia="zh-CN"/>
              </w:rPr>
              <w:t>、</w:t>
            </w:r>
            <w:r>
              <w:rPr>
                <w:rFonts w:hint="default"/>
                <w:lang w:val="en-US" w:eastAsia="zh-CN"/>
              </w:rPr>
              <w:t>监测因子</w:t>
            </w:r>
          </w:p>
          <w:p w14:paraId="32C6A2B9">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lang w:val="en-US" w:eastAsia="zh-CN"/>
              </w:rPr>
            </w:pPr>
            <w:r>
              <w:rPr>
                <w:rFonts w:hint="eastAsia"/>
                <w:lang w:val="en-US" w:eastAsia="zh-CN"/>
              </w:rPr>
              <w:t>监测因子</w:t>
            </w:r>
            <w:r>
              <w:rPr>
                <w:rFonts w:hint="default"/>
                <w:lang w:val="en-US" w:eastAsia="zh-CN"/>
              </w:rPr>
              <w:t>：</w:t>
            </w:r>
            <w:r>
              <w:rPr>
                <w:rFonts w:hint="eastAsia"/>
                <w:lang w:eastAsia="zh-CN"/>
              </w:rPr>
              <w:t>总悬浮颗粒物</w:t>
            </w:r>
            <w:r>
              <w:rPr>
                <w:rFonts w:hint="eastAsia"/>
                <w:lang w:val="en-US" w:eastAsia="zh-CN"/>
              </w:rPr>
              <w:t>，坐标</w:t>
            </w:r>
            <w:r>
              <w:rPr>
                <w:rFonts w:hint="default"/>
                <w:lang w:val="en-US" w:eastAsia="zh-CN"/>
              </w:rPr>
              <w:t>：</w:t>
            </w:r>
            <w:r>
              <w:rPr>
                <w:rFonts w:hint="eastAsia"/>
                <w:lang w:val="en-US" w:eastAsia="zh-CN"/>
              </w:rPr>
              <w:t>东经：</w:t>
            </w:r>
            <w:r>
              <w:rPr>
                <w:rFonts w:hint="default" w:ascii="Times New Roman" w:hAnsi="Times New Roman" w:cs="Times New Roman"/>
                <w:lang w:val="en-US" w:eastAsia="zh-CN"/>
              </w:rPr>
              <w:t>86°18′10.170″</w:t>
            </w:r>
            <w:r>
              <w:rPr>
                <w:rFonts w:hint="eastAsia"/>
                <w:lang w:val="en-US" w:eastAsia="zh-CN"/>
              </w:rPr>
              <w:t>，北纬：</w:t>
            </w:r>
            <w:r>
              <w:rPr>
                <w:rFonts w:hint="default" w:ascii="Times New Roman" w:hAnsi="Times New Roman" w:cs="Times New Roman"/>
                <w:lang w:val="en-US" w:eastAsia="zh-CN"/>
              </w:rPr>
              <w:t>41°50′39.642″</w:t>
            </w:r>
            <w:r>
              <w:rPr>
                <w:rFonts w:hint="eastAsia"/>
                <w:lang w:val="en-US" w:eastAsia="zh-CN"/>
              </w:rPr>
              <w:t>；大气监测点位示意图见附图4。</w:t>
            </w:r>
          </w:p>
          <w:p w14:paraId="74C66D99">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lang w:val="en-US" w:eastAsia="zh-CN"/>
              </w:rPr>
            </w:pPr>
            <w:r>
              <w:rPr>
                <w:rFonts w:hint="default"/>
                <w:lang w:val="en-US" w:eastAsia="zh-CN"/>
              </w:rPr>
              <w:t>（2）采样及分析方法</w:t>
            </w:r>
          </w:p>
          <w:p w14:paraId="68EBE3FE">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lang w:val="en-US" w:eastAsia="zh-CN"/>
              </w:rPr>
            </w:pPr>
            <w:r>
              <w:rPr>
                <w:rFonts w:hint="default"/>
                <w:lang w:val="en-US" w:eastAsia="zh-CN"/>
              </w:rPr>
              <w:t>采样方法和分析方法</w:t>
            </w:r>
            <w:r>
              <w:rPr>
                <w:rFonts w:hint="default"/>
              </w:rPr>
              <w:t>《</w:t>
            </w:r>
            <w:r>
              <w:rPr>
                <w:rFonts w:hint="eastAsia"/>
                <w:lang w:eastAsia="zh-CN"/>
              </w:rPr>
              <w:t>环境空气质量监测技术规范》（</w:t>
            </w:r>
            <w:r>
              <w:rPr>
                <w:rFonts w:hint="eastAsia"/>
                <w:lang w:val="en-US" w:eastAsia="zh-CN"/>
              </w:rPr>
              <w:t>HJ/T193-2005</w:t>
            </w:r>
            <w:r>
              <w:rPr>
                <w:rFonts w:hint="eastAsia"/>
                <w:lang w:eastAsia="zh-CN"/>
              </w:rPr>
              <w:t>）、</w:t>
            </w:r>
            <w:r>
              <w:rPr>
                <w:rFonts w:hint="default"/>
              </w:rPr>
              <w:t>《环境</w:t>
            </w:r>
            <w:r>
              <w:rPr>
                <w:rFonts w:hint="eastAsia"/>
                <w:lang w:eastAsia="zh-CN"/>
              </w:rPr>
              <w:t>空气</w:t>
            </w:r>
            <w:r>
              <w:rPr>
                <w:rFonts w:hint="eastAsia"/>
                <w:lang w:val="en-US" w:eastAsia="zh-CN"/>
              </w:rPr>
              <w:t>总悬浮颗粒物的测定重量法</w:t>
            </w:r>
            <w:r>
              <w:rPr>
                <w:rFonts w:hint="default"/>
              </w:rPr>
              <w:t>》</w:t>
            </w:r>
            <w:r>
              <w:rPr>
                <w:rFonts w:hint="eastAsia"/>
                <w:lang w:eastAsia="zh-CN"/>
              </w:rPr>
              <w:t>（</w:t>
            </w:r>
            <w:r>
              <w:rPr>
                <w:rFonts w:hint="eastAsia"/>
                <w:lang w:val="en-US" w:eastAsia="zh-CN"/>
              </w:rPr>
              <w:t>GB/T15432-1995</w:t>
            </w:r>
            <w:r>
              <w:rPr>
                <w:rFonts w:hint="eastAsia"/>
                <w:lang w:eastAsia="zh-CN"/>
              </w:rPr>
              <w:t>）</w:t>
            </w:r>
            <w:r>
              <w:rPr>
                <w:rFonts w:hint="eastAsia"/>
              </w:rPr>
              <w:t>的有关规定执行</w:t>
            </w:r>
            <w:r>
              <w:rPr>
                <w:rFonts w:hint="default"/>
                <w:lang w:val="en-US" w:eastAsia="zh-CN"/>
              </w:rPr>
              <w:t>。</w:t>
            </w:r>
          </w:p>
          <w:p w14:paraId="6EC1E4D1">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lang w:val="en-US" w:eastAsia="zh-CN"/>
              </w:rPr>
            </w:pPr>
            <w:bookmarkStart w:id="6" w:name="_Toc12004"/>
            <w:bookmarkStart w:id="7" w:name="_Toc311744203"/>
            <w:r>
              <w:rPr>
                <w:rFonts w:hint="default"/>
                <w:lang w:val="en-US" w:eastAsia="zh-CN"/>
              </w:rPr>
              <w:t>（</w:t>
            </w:r>
            <w:r>
              <w:rPr>
                <w:rFonts w:hint="eastAsia"/>
                <w:lang w:val="en-US" w:eastAsia="zh-CN"/>
              </w:rPr>
              <w:t>3</w:t>
            </w:r>
            <w:r>
              <w:rPr>
                <w:rFonts w:hint="default"/>
                <w:lang w:val="en-US" w:eastAsia="zh-CN"/>
              </w:rPr>
              <w:t>）评价方法</w:t>
            </w:r>
            <w:bookmarkEnd w:id="6"/>
          </w:p>
          <w:p w14:paraId="25843B84">
            <w:pPr>
              <w:keepNext w:val="0"/>
              <w:keepLines w:val="0"/>
              <w:suppressLineNumbers w:val="0"/>
              <w:spacing w:before="0" w:beforeAutospacing="0" w:after="0" w:afterAutospacing="0"/>
              <w:ind w:left="0" w:right="0" w:firstLine="480"/>
              <w:rPr>
                <w:rFonts w:hint="default"/>
                <w:color w:val="auto"/>
              </w:rPr>
            </w:pPr>
            <w:r>
              <w:rPr>
                <w:rFonts w:hint="default"/>
                <w:color w:val="auto"/>
              </w:rPr>
              <w:t>本评价采用</w:t>
            </w:r>
            <w:r>
              <w:rPr>
                <w:rFonts w:hint="eastAsia"/>
                <w:color w:val="auto"/>
                <w:lang w:eastAsia="zh-CN"/>
              </w:rPr>
              <w:t>最大浓度占标率</w:t>
            </w:r>
            <w:r>
              <w:rPr>
                <w:rFonts w:hint="default"/>
                <w:color w:val="auto"/>
              </w:rPr>
              <w:t>，用以下公式计算而得：</w:t>
            </w:r>
          </w:p>
          <w:p w14:paraId="5038BFE9">
            <w:pPr>
              <w:keepNext w:val="0"/>
              <w:keepLines w:val="0"/>
              <w:suppressLineNumbers w:val="0"/>
              <w:spacing w:before="0" w:beforeAutospacing="0" w:after="0" w:afterAutospacing="0"/>
              <w:ind w:left="0" w:right="0" w:firstLine="480"/>
              <w:jc w:val="center"/>
              <w:rPr>
                <w:rFonts w:hint="default" w:eastAsia="宋体"/>
                <w:color w:val="auto"/>
                <w:lang w:val="en-US" w:eastAsia="zh-CN"/>
              </w:rPr>
            </w:pPr>
            <w:bookmarkStart w:id="8" w:name="_Toc9636_WPSOffice_Level1"/>
            <w:r>
              <w:rPr>
                <w:rFonts w:hint="eastAsia"/>
                <w:color w:val="auto"/>
                <w:lang w:val="en-US" w:eastAsia="zh-CN"/>
              </w:rPr>
              <w:t>P</w:t>
            </w:r>
            <w:r>
              <w:rPr>
                <w:rFonts w:hint="default"/>
                <w:color w:val="auto"/>
                <w:vertAlign w:val="subscript"/>
              </w:rPr>
              <w:t>i</w:t>
            </w:r>
            <w:r>
              <w:rPr>
                <w:rFonts w:hint="default"/>
                <w:color w:val="auto"/>
              </w:rPr>
              <w:t xml:space="preserve"> = C</w:t>
            </w:r>
            <w:r>
              <w:rPr>
                <w:rFonts w:hint="default"/>
                <w:color w:val="auto"/>
                <w:vertAlign w:val="subscript"/>
              </w:rPr>
              <w:t>i</w:t>
            </w:r>
            <w:r>
              <w:rPr>
                <w:rFonts w:hint="default"/>
                <w:color w:val="auto"/>
              </w:rPr>
              <w:t>/ C</w:t>
            </w:r>
            <w:bookmarkEnd w:id="8"/>
            <w:r>
              <w:rPr>
                <w:rFonts w:hint="default"/>
                <w:color w:val="auto"/>
                <w:vertAlign w:val="subscript"/>
              </w:rPr>
              <w:t>o</w:t>
            </w:r>
            <w:r>
              <w:rPr>
                <w:rFonts w:hint="eastAsia"/>
                <w:color w:val="auto"/>
                <w:vertAlign w:val="subscript"/>
                <w:lang w:val="en-US" w:eastAsia="zh-CN"/>
              </w:rPr>
              <w:t>i</w:t>
            </w:r>
            <w:r>
              <w:rPr>
                <w:rFonts w:hint="eastAsia"/>
                <w:color w:val="auto"/>
                <w:lang w:val="en-US" w:eastAsia="zh-CN"/>
              </w:rPr>
              <w:t>×100%</w:t>
            </w:r>
          </w:p>
          <w:p w14:paraId="6E051135">
            <w:pPr>
              <w:keepNext w:val="0"/>
              <w:keepLines w:val="0"/>
              <w:suppressLineNumbers w:val="0"/>
              <w:spacing w:before="0" w:beforeAutospacing="0" w:after="0" w:afterAutospacing="0"/>
              <w:ind w:left="0" w:right="0" w:firstLine="480"/>
              <w:rPr>
                <w:rFonts w:hint="default"/>
                <w:color w:val="auto"/>
              </w:rPr>
            </w:pPr>
            <w:r>
              <w:rPr>
                <w:rFonts w:hint="default"/>
                <w:color w:val="auto"/>
              </w:rPr>
              <w:t>式中：</w:t>
            </w:r>
            <w:r>
              <w:rPr>
                <w:rFonts w:hint="eastAsia"/>
                <w:color w:val="auto"/>
                <w:lang w:val="en-US" w:eastAsia="zh-CN"/>
              </w:rPr>
              <w:t>P</w:t>
            </w:r>
            <w:r>
              <w:rPr>
                <w:rFonts w:hint="default"/>
                <w:color w:val="auto"/>
                <w:vertAlign w:val="subscript"/>
              </w:rPr>
              <w:t>i</w:t>
            </w:r>
            <w:r>
              <w:rPr>
                <w:rFonts w:hint="default"/>
                <w:color w:val="auto"/>
              </w:rPr>
              <w:t>——</w:t>
            </w:r>
            <w:r>
              <w:rPr>
                <w:rFonts w:hint="eastAsia"/>
                <w:color w:val="auto"/>
                <w:lang w:eastAsia="zh-CN"/>
              </w:rPr>
              <w:t>第</w:t>
            </w:r>
            <w:r>
              <w:rPr>
                <w:rFonts w:hint="eastAsia"/>
                <w:color w:val="auto"/>
                <w:lang w:val="en-US" w:eastAsia="zh-CN"/>
              </w:rPr>
              <w:t>i个污染物的最大环境空气质量浓度的占标率，%</w:t>
            </w:r>
            <w:r>
              <w:rPr>
                <w:rFonts w:hint="default"/>
                <w:color w:val="auto"/>
              </w:rPr>
              <w:t>；</w:t>
            </w:r>
          </w:p>
          <w:p w14:paraId="4D448B4E">
            <w:pPr>
              <w:keepNext w:val="0"/>
              <w:keepLines w:val="0"/>
              <w:suppressLineNumbers w:val="0"/>
              <w:spacing w:before="0" w:beforeAutospacing="0" w:after="0" w:afterAutospacing="0"/>
              <w:ind w:left="0" w:right="0" w:firstLine="480"/>
              <w:rPr>
                <w:rFonts w:hint="default"/>
                <w:color w:val="auto"/>
              </w:rPr>
            </w:pPr>
            <w:r>
              <w:rPr>
                <w:rFonts w:hint="default"/>
                <w:color w:val="auto"/>
              </w:rPr>
              <w:t xml:space="preserve">      C</w:t>
            </w:r>
            <w:r>
              <w:rPr>
                <w:rFonts w:hint="default"/>
                <w:color w:val="auto"/>
                <w:vertAlign w:val="subscript"/>
              </w:rPr>
              <w:t>i</w:t>
            </w:r>
            <w:r>
              <w:rPr>
                <w:rFonts w:hint="default"/>
                <w:color w:val="auto"/>
              </w:rPr>
              <w:t>——</w:t>
            </w:r>
            <w:r>
              <w:rPr>
                <w:rFonts w:hint="eastAsia"/>
                <w:color w:val="auto"/>
                <w:lang w:eastAsia="zh-CN"/>
              </w:rPr>
              <w:t>预测的第</w:t>
            </w:r>
            <w:r>
              <w:rPr>
                <w:rFonts w:hint="eastAsia"/>
                <w:color w:val="auto"/>
                <w:lang w:val="en-US" w:eastAsia="zh-CN"/>
              </w:rPr>
              <w:t>i个污染物的短期或长期环境空气质量浓度</w:t>
            </w:r>
            <w:r>
              <w:rPr>
                <w:rFonts w:hint="default"/>
                <w:color w:val="auto"/>
              </w:rPr>
              <w:t>，</w:t>
            </w:r>
            <w:r>
              <w:rPr>
                <w:rFonts w:hint="eastAsia"/>
                <w:color w:val="auto"/>
                <w:lang w:eastAsia="zh-CN"/>
              </w:rPr>
              <w:t>μg/m</w:t>
            </w:r>
            <w:r>
              <w:rPr>
                <w:rFonts w:hint="eastAsia"/>
                <w:color w:val="auto"/>
                <w:vertAlign w:val="superscript"/>
                <w:lang w:eastAsia="zh-CN"/>
              </w:rPr>
              <w:t>3</w:t>
            </w:r>
            <w:r>
              <w:rPr>
                <w:rFonts w:hint="default"/>
                <w:color w:val="auto"/>
              </w:rPr>
              <w:t>；</w:t>
            </w:r>
          </w:p>
          <w:p w14:paraId="25A457ED">
            <w:pPr>
              <w:keepNext w:val="0"/>
              <w:keepLines w:val="0"/>
              <w:suppressLineNumbers w:val="0"/>
              <w:spacing w:before="0" w:beforeAutospacing="0" w:after="0" w:afterAutospacing="0"/>
              <w:ind w:left="0" w:right="0" w:firstLine="480"/>
              <w:rPr>
                <w:rFonts w:hint="default"/>
                <w:color w:val="auto"/>
              </w:rPr>
            </w:pPr>
            <w:r>
              <w:rPr>
                <w:rFonts w:hint="default"/>
                <w:color w:val="auto"/>
              </w:rPr>
              <w:t xml:space="preserve">      C</w:t>
            </w:r>
            <w:r>
              <w:rPr>
                <w:rFonts w:hint="default"/>
                <w:color w:val="auto"/>
                <w:vertAlign w:val="subscript"/>
              </w:rPr>
              <w:t>o</w:t>
            </w:r>
            <w:r>
              <w:rPr>
                <w:rFonts w:hint="eastAsia"/>
                <w:color w:val="auto"/>
                <w:vertAlign w:val="subscript"/>
                <w:lang w:val="en-US" w:eastAsia="zh-CN"/>
              </w:rPr>
              <w:t>i</w:t>
            </w:r>
            <w:r>
              <w:rPr>
                <w:rFonts w:hint="default"/>
                <w:color w:val="auto"/>
              </w:rPr>
              <w:t>——</w:t>
            </w:r>
            <w:r>
              <w:rPr>
                <w:rFonts w:hint="eastAsia"/>
                <w:color w:val="auto"/>
                <w:lang w:eastAsia="zh-CN"/>
              </w:rPr>
              <w:t>第</w:t>
            </w:r>
            <w:r>
              <w:rPr>
                <w:rFonts w:hint="eastAsia"/>
                <w:color w:val="auto"/>
                <w:lang w:val="en-US" w:eastAsia="zh-CN"/>
              </w:rPr>
              <w:t>i个</w:t>
            </w:r>
            <w:r>
              <w:rPr>
                <w:rFonts w:hint="default"/>
                <w:color w:val="auto"/>
              </w:rPr>
              <w:t>污染物</w:t>
            </w:r>
            <w:r>
              <w:rPr>
                <w:rFonts w:hint="eastAsia"/>
                <w:color w:val="auto"/>
                <w:lang w:eastAsia="zh-CN"/>
              </w:rPr>
              <w:t>的环境空气质量浓度标准</w:t>
            </w:r>
            <w:r>
              <w:rPr>
                <w:rFonts w:hint="default"/>
                <w:color w:val="auto"/>
              </w:rPr>
              <w:t>，</w:t>
            </w:r>
            <w:r>
              <w:rPr>
                <w:rFonts w:hint="eastAsia"/>
                <w:color w:val="auto"/>
                <w:lang w:eastAsia="zh-CN"/>
              </w:rPr>
              <w:t>μg/m</w:t>
            </w:r>
            <w:r>
              <w:rPr>
                <w:rFonts w:hint="eastAsia"/>
                <w:color w:val="auto"/>
                <w:vertAlign w:val="superscript"/>
                <w:lang w:eastAsia="zh-CN"/>
              </w:rPr>
              <w:t>3</w:t>
            </w:r>
            <w:r>
              <w:rPr>
                <w:rFonts w:hint="default"/>
                <w:color w:val="auto"/>
              </w:rPr>
              <w:t>；</w:t>
            </w:r>
          </w:p>
          <w:p w14:paraId="2DFBC58D">
            <w:pPr>
              <w:keepNext w:val="0"/>
              <w:keepLines w:val="0"/>
              <w:suppressLineNumbers w:val="0"/>
              <w:spacing w:before="0" w:beforeAutospacing="0" w:after="0" w:afterAutospacing="0"/>
              <w:ind w:left="0" w:right="0" w:firstLine="480"/>
              <w:rPr>
                <w:rFonts w:hint="default"/>
                <w:color w:val="auto"/>
              </w:rPr>
            </w:pPr>
            <w:r>
              <w:rPr>
                <w:rFonts w:hint="default"/>
                <w:color w:val="auto"/>
              </w:rPr>
              <w:t>根据结果，当</w:t>
            </w:r>
            <w:r>
              <w:rPr>
                <w:rFonts w:hint="eastAsia"/>
                <w:color w:val="auto"/>
                <w:lang w:val="en-US" w:eastAsia="zh-CN"/>
              </w:rPr>
              <w:t>P</w:t>
            </w:r>
            <w:r>
              <w:rPr>
                <w:rFonts w:hint="default"/>
                <w:color w:val="auto"/>
              </w:rPr>
              <w:t>i</w:t>
            </w:r>
            <w:r>
              <w:rPr>
                <w:rFonts w:hint="eastAsia"/>
                <w:color w:val="auto"/>
              </w:rPr>
              <w:t>≤</w:t>
            </w:r>
            <w:r>
              <w:rPr>
                <w:rFonts w:hint="default"/>
                <w:color w:val="auto"/>
              </w:rPr>
              <w:t>1时，表示大气中该污染物浓度不超标；当</w:t>
            </w:r>
            <w:r>
              <w:rPr>
                <w:rFonts w:hint="eastAsia"/>
                <w:color w:val="auto"/>
                <w:lang w:val="en-US" w:eastAsia="zh-CN"/>
              </w:rPr>
              <w:t>P</w:t>
            </w:r>
            <w:r>
              <w:rPr>
                <w:rFonts w:hint="default"/>
                <w:color w:val="auto"/>
              </w:rPr>
              <w:t>i</w:t>
            </w:r>
            <w:r>
              <w:rPr>
                <w:rFonts w:hint="eastAsia"/>
                <w:color w:val="auto"/>
              </w:rPr>
              <w:t>＞</w:t>
            </w:r>
            <w:r>
              <w:rPr>
                <w:rFonts w:hint="default"/>
                <w:color w:val="auto"/>
              </w:rPr>
              <w:t>1时，表示大气中该污染物浓度超过评价标准。</w:t>
            </w:r>
          </w:p>
          <w:p w14:paraId="642F4B5C">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lang w:val="en-US" w:eastAsia="zh-CN"/>
              </w:rPr>
            </w:pPr>
            <w:r>
              <w:rPr>
                <w:rFonts w:hint="eastAsia"/>
                <w:lang w:val="en-US" w:eastAsia="zh-CN"/>
              </w:rPr>
              <w:t>（4）评价结果及结论</w:t>
            </w:r>
          </w:p>
          <w:bookmarkEnd w:id="7"/>
          <w:p w14:paraId="65F38E12">
            <w:pPr>
              <w:pStyle w:val="6"/>
              <w:keepNext w:val="0"/>
              <w:keepLines w:val="0"/>
              <w:suppressLineNumbers w:val="0"/>
              <w:shd w:val="clear"/>
              <w:bidi w:val="0"/>
              <w:spacing w:before="0" w:beforeAutospacing="0" w:after="0" w:afterAutospacing="0"/>
              <w:ind w:left="0" w:right="0"/>
              <w:rPr>
                <w:rFonts w:hint="eastAsia"/>
                <w:lang w:val="en-US" w:eastAsia="zh-CN"/>
              </w:rPr>
            </w:pPr>
            <w:r>
              <w:rPr>
                <w:rFonts w:hint="eastAsia"/>
                <w:lang w:val="en-US" w:eastAsia="zh-CN"/>
              </w:rPr>
              <w:t>表3-3             项目区环境空气质量评价结果统计表</w:t>
            </w:r>
          </w:p>
          <w:tbl>
            <w:tblPr>
              <w:tblStyle w:val="31"/>
              <w:tblW w:w="82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4"/>
              <w:gridCol w:w="975"/>
              <w:gridCol w:w="1150"/>
              <w:gridCol w:w="756"/>
              <w:gridCol w:w="531"/>
              <w:gridCol w:w="1195"/>
              <w:gridCol w:w="1195"/>
              <w:gridCol w:w="689"/>
              <w:gridCol w:w="602"/>
              <w:gridCol w:w="427"/>
            </w:tblGrid>
            <w:tr w14:paraId="1B8B6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44" w:type="dxa"/>
                  <w:vMerge w:val="restart"/>
                  <w:tcBorders>
                    <w:top w:val="single" w:color="000000" w:sz="4" w:space="0"/>
                    <w:bottom w:val="single" w:color="000000" w:sz="4" w:space="0"/>
                    <w:right w:val="single" w:color="000000" w:sz="4" w:space="0"/>
                    <w:tl2br w:val="nil"/>
                    <w:tr2bl w:val="nil"/>
                  </w:tcBorders>
                  <w:shd w:val="clear" w:color="auto" w:fill="auto"/>
                  <w:noWrap w:val="0"/>
                  <w:vAlign w:val="center"/>
                </w:tcPr>
                <w:p w14:paraId="10DA701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w:t>
                  </w:r>
                </w:p>
              </w:tc>
              <w:tc>
                <w:tcPr>
                  <w:tcW w:w="2125"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C670FC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监测点位坐标/m</w:t>
                  </w:r>
                </w:p>
              </w:tc>
              <w:tc>
                <w:tcPr>
                  <w:tcW w:w="756"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5EB9CB3">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w:t>
                  </w:r>
                </w:p>
              </w:tc>
              <w:tc>
                <w:tcPr>
                  <w:tcW w:w="531"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1CA3E4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平均时间</w:t>
                  </w:r>
                </w:p>
              </w:tc>
              <w:tc>
                <w:tcPr>
                  <w:tcW w:w="119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5D20B05">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评价</w:t>
                  </w:r>
                  <w:r>
                    <w:rPr>
                      <w:rFonts w:hint="eastAsia"/>
                      <w:lang w:val="en-US" w:eastAsia="zh-CN"/>
                    </w:rPr>
                    <w:t>标准/（m</w:t>
                  </w:r>
                  <w:r>
                    <w:rPr>
                      <w:rFonts w:hint="default"/>
                    </w:rPr>
                    <w:t>g/m3</w:t>
                  </w:r>
                  <w:r>
                    <w:rPr>
                      <w:rFonts w:hint="eastAsia"/>
                      <w:lang w:val="en-US" w:eastAsia="zh-CN"/>
                    </w:rPr>
                    <w:t>）</w:t>
                  </w:r>
                </w:p>
              </w:tc>
              <w:tc>
                <w:tcPr>
                  <w:tcW w:w="119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E57135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监测浓度范围/（m</w:t>
                  </w:r>
                  <w:r>
                    <w:rPr>
                      <w:rFonts w:hint="default"/>
                    </w:rPr>
                    <w:t>g/m</w:t>
                  </w:r>
                  <w:r>
                    <w:rPr>
                      <w:rFonts w:hint="default"/>
                      <w:vertAlign w:val="superscript"/>
                    </w:rPr>
                    <w:t>3</w:t>
                  </w:r>
                  <w:r>
                    <w:rPr>
                      <w:rFonts w:hint="eastAsia"/>
                      <w:lang w:val="en-US" w:eastAsia="zh-CN"/>
                    </w:rPr>
                    <w:t>）</w:t>
                  </w:r>
                </w:p>
              </w:tc>
              <w:tc>
                <w:tcPr>
                  <w:tcW w:w="689"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E7EB92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最大浓度</w:t>
                  </w:r>
                  <w:r>
                    <w:rPr>
                      <w:rFonts w:hint="default"/>
                      <w:lang w:val="en-US" w:eastAsia="zh-CN"/>
                    </w:rPr>
                    <w:t>占标率</w:t>
                  </w:r>
                  <w:r>
                    <w:rPr>
                      <w:rFonts w:hint="eastAsia"/>
                      <w:lang w:val="en-US" w:eastAsia="zh-CN"/>
                    </w:rPr>
                    <w:t>%</w:t>
                  </w:r>
                </w:p>
              </w:tc>
              <w:tc>
                <w:tcPr>
                  <w:tcW w:w="60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1183AB5">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超标</w:t>
                  </w:r>
                  <w:r>
                    <w:rPr>
                      <w:rFonts w:hint="eastAsia"/>
                      <w:lang w:val="en-US" w:eastAsia="zh-CN"/>
                    </w:rPr>
                    <w:t>率%</w:t>
                  </w:r>
                </w:p>
              </w:tc>
              <w:tc>
                <w:tcPr>
                  <w:tcW w:w="427"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AFAA3D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达标情况</w:t>
                  </w:r>
                </w:p>
              </w:tc>
            </w:tr>
            <w:tr w14:paraId="0C812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4" w:type="dxa"/>
                  <w:vMerge w:val="continue"/>
                  <w:tcBorders>
                    <w:top w:val="single" w:color="000000" w:sz="4" w:space="0"/>
                    <w:bottom w:val="single" w:color="000000" w:sz="4" w:space="0"/>
                    <w:right w:val="single" w:color="000000" w:sz="4" w:space="0"/>
                    <w:tl2br w:val="nil"/>
                    <w:tr2bl w:val="nil"/>
                  </w:tcBorders>
                  <w:shd w:val="clear" w:color="auto" w:fill="auto"/>
                  <w:noWrap w:val="0"/>
                  <w:vAlign w:val="center"/>
                </w:tcPr>
                <w:p w14:paraId="57DC976E">
                  <w:pPr>
                    <w:pStyle w:val="8"/>
                    <w:keepNext w:val="0"/>
                    <w:keepLines w:val="0"/>
                    <w:suppressLineNumbers w:val="0"/>
                    <w:bidi w:val="0"/>
                    <w:spacing w:before="0" w:beforeAutospacing="0" w:after="0" w:afterAutospacing="0"/>
                    <w:ind w:left="0" w:right="0"/>
                    <w:rPr>
                      <w:rFonts w:hint="eastAsia"/>
                      <w:lang w:val="en-US" w:eastAsia="zh-CN"/>
                    </w:rPr>
                  </w:pPr>
                </w:p>
              </w:tc>
              <w:tc>
                <w:tcPr>
                  <w:tcW w:w="97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7A79CB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X</w:t>
                  </w:r>
                </w:p>
              </w:tc>
              <w:tc>
                <w:tcPr>
                  <w:tcW w:w="115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37BF42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Y</w:t>
                  </w:r>
                </w:p>
              </w:tc>
              <w:tc>
                <w:tcPr>
                  <w:tcW w:w="756"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9EF0E3E">
                  <w:pPr>
                    <w:pStyle w:val="8"/>
                    <w:keepNext w:val="0"/>
                    <w:keepLines w:val="0"/>
                    <w:suppressLineNumbers w:val="0"/>
                    <w:bidi w:val="0"/>
                    <w:spacing w:before="0" w:beforeAutospacing="0" w:after="0" w:afterAutospacing="0"/>
                    <w:ind w:left="0" w:right="0"/>
                    <w:rPr>
                      <w:rFonts w:hint="eastAsia"/>
                      <w:lang w:val="en-US" w:eastAsia="zh-CN"/>
                    </w:rPr>
                  </w:pPr>
                </w:p>
              </w:tc>
              <w:tc>
                <w:tcPr>
                  <w:tcW w:w="531"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4E084E0">
                  <w:pPr>
                    <w:pStyle w:val="8"/>
                    <w:keepNext w:val="0"/>
                    <w:keepLines w:val="0"/>
                    <w:suppressLineNumbers w:val="0"/>
                    <w:bidi w:val="0"/>
                    <w:spacing w:before="0" w:beforeAutospacing="0" w:after="0" w:afterAutospacing="0"/>
                    <w:ind w:left="0" w:right="0"/>
                    <w:rPr>
                      <w:rFonts w:hint="eastAsia"/>
                      <w:lang w:val="en-US" w:eastAsia="zh-CN"/>
                    </w:rPr>
                  </w:pPr>
                </w:p>
              </w:tc>
              <w:tc>
                <w:tcPr>
                  <w:tcW w:w="119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0BB465B">
                  <w:pPr>
                    <w:pStyle w:val="8"/>
                    <w:keepNext w:val="0"/>
                    <w:keepLines w:val="0"/>
                    <w:suppressLineNumbers w:val="0"/>
                    <w:bidi w:val="0"/>
                    <w:spacing w:before="0" w:beforeAutospacing="0" w:after="0" w:afterAutospacing="0"/>
                    <w:ind w:left="0" w:right="0"/>
                    <w:rPr>
                      <w:rFonts w:hint="default"/>
                      <w:lang w:val="en-US" w:eastAsia="zh-CN"/>
                    </w:rPr>
                  </w:pPr>
                </w:p>
              </w:tc>
              <w:tc>
                <w:tcPr>
                  <w:tcW w:w="119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FB26863">
                  <w:pPr>
                    <w:pStyle w:val="8"/>
                    <w:keepNext w:val="0"/>
                    <w:keepLines w:val="0"/>
                    <w:suppressLineNumbers w:val="0"/>
                    <w:bidi w:val="0"/>
                    <w:spacing w:before="0" w:beforeAutospacing="0" w:after="0" w:afterAutospacing="0"/>
                    <w:ind w:left="0" w:right="0"/>
                    <w:rPr>
                      <w:rFonts w:hint="eastAsia"/>
                      <w:lang w:val="en-US" w:eastAsia="zh-CN"/>
                    </w:rPr>
                  </w:pPr>
                </w:p>
              </w:tc>
              <w:tc>
                <w:tcPr>
                  <w:tcW w:w="689"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0330F44E">
                  <w:pPr>
                    <w:pStyle w:val="8"/>
                    <w:keepNext w:val="0"/>
                    <w:keepLines w:val="0"/>
                    <w:suppressLineNumbers w:val="0"/>
                    <w:bidi w:val="0"/>
                    <w:spacing w:before="0" w:beforeAutospacing="0" w:after="0" w:afterAutospacing="0"/>
                    <w:ind w:left="0" w:right="0"/>
                    <w:rPr>
                      <w:rFonts w:hint="eastAsia"/>
                      <w:lang w:val="en-US" w:eastAsia="zh-CN"/>
                    </w:rPr>
                  </w:pPr>
                </w:p>
              </w:tc>
              <w:tc>
                <w:tcPr>
                  <w:tcW w:w="60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32EEAEE1">
                  <w:pPr>
                    <w:pStyle w:val="8"/>
                    <w:keepNext w:val="0"/>
                    <w:keepLines w:val="0"/>
                    <w:suppressLineNumbers w:val="0"/>
                    <w:bidi w:val="0"/>
                    <w:spacing w:before="0" w:beforeAutospacing="0" w:after="0" w:afterAutospacing="0"/>
                    <w:ind w:left="0" w:right="0"/>
                    <w:rPr>
                      <w:rFonts w:hint="default"/>
                      <w:lang w:val="en-US" w:eastAsia="zh-CN"/>
                    </w:rPr>
                  </w:pPr>
                </w:p>
              </w:tc>
              <w:tc>
                <w:tcPr>
                  <w:tcW w:w="42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D796A7B">
                  <w:pPr>
                    <w:pStyle w:val="8"/>
                    <w:keepNext w:val="0"/>
                    <w:keepLines w:val="0"/>
                    <w:suppressLineNumbers w:val="0"/>
                    <w:bidi w:val="0"/>
                    <w:spacing w:before="0" w:beforeAutospacing="0" w:after="0" w:afterAutospacing="0"/>
                    <w:ind w:left="0" w:right="0"/>
                    <w:rPr>
                      <w:rFonts w:hint="eastAsia"/>
                      <w:lang w:val="en-US" w:eastAsia="zh-CN"/>
                    </w:rPr>
                  </w:pPr>
                </w:p>
              </w:tc>
            </w:tr>
            <w:tr w14:paraId="0D49C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44" w:type="dxa"/>
                  <w:tcBorders>
                    <w:top w:val="single" w:color="000000" w:sz="4" w:space="0"/>
                    <w:bottom w:val="single" w:color="000000" w:sz="4" w:space="0"/>
                    <w:right w:val="single" w:color="000000" w:sz="4" w:space="0"/>
                    <w:tl2br w:val="nil"/>
                    <w:tr2bl w:val="nil"/>
                  </w:tcBorders>
                  <w:shd w:val="clear" w:color="auto" w:fill="auto"/>
                  <w:noWrap w:val="0"/>
                  <w:vAlign w:val="center"/>
                </w:tcPr>
                <w:p w14:paraId="70F062CC">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项目区西南侧3.3km处</w:t>
                  </w:r>
                </w:p>
              </w:tc>
              <w:tc>
                <w:tcPr>
                  <w:tcW w:w="97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1AC60FA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-3166</w:t>
                  </w:r>
                </w:p>
              </w:tc>
              <w:tc>
                <w:tcPr>
                  <w:tcW w:w="1150"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708D34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-1388</w:t>
                  </w:r>
                </w:p>
              </w:tc>
              <w:tc>
                <w:tcPr>
                  <w:tcW w:w="756"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4EF08BD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总悬浮颗粒物</w:t>
                  </w:r>
                </w:p>
              </w:tc>
              <w:tc>
                <w:tcPr>
                  <w:tcW w:w="531"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67585DF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24h</w:t>
                  </w:r>
                </w:p>
              </w:tc>
              <w:tc>
                <w:tcPr>
                  <w:tcW w:w="11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547BB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w:t>
                  </w:r>
                </w:p>
              </w:tc>
              <w:tc>
                <w:tcPr>
                  <w:tcW w:w="1195"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D70746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0.2-0.209</w:t>
                  </w:r>
                </w:p>
              </w:tc>
              <w:tc>
                <w:tcPr>
                  <w:tcW w:w="68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C089ED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69.7</w:t>
                  </w:r>
                </w:p>
              </w:tc>
              <w:tc>
                <w:tcPr>
                  <w:tcW w:w="602"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C5D37B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427"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57EC1EC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达标</w:t>
                  </w:r>
                </w:p>
              </w:tc>
            </w:tr>
            <w:tr w14:paraId="005F7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64" w:type="dxa"/>
                  <w:gridSpan w:val="10"/>
                  <w:tcBorders>
                    <w:top w:val="single" w:color="000000" w:sz="4" w:space="0"/>
                    <w:bottom w:val="single" w:color="000000" w:sz="4" w:space="0"/>
                    <w:right w:val="single" w:color="000000" w:sz="4" w:space="0"/>
                    <w:tl2br w:val="nil"/>
                    <w:tr2bl w:val="nil"/>
                  </w:tcBorders>
                  <w:shd w:val="clear" w:color="auto" w:fill="auto"/>
                  <w:noWrap w:val="0"/>
                  <w:vAlign w:val="center"/>
                </w:tcPr>
                <w:p w14:paraId="15B7D73B">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原点坐标：东经</w:t>
                  </w:r>
                  <w:r>
                    <w:rPr>
                      <w:rFonts w:hint="default"/>
                      <w:lang w:val="en-US" w:eastAsia="zh-CN"/>
                    </w:rPr>
                    <w:t>86°19′11.183″</w:t>
                  </w:r>
                  <w:r>
                    <w:rPr>
                      <w:rFonts w:hint="eastAsia"/>
                      <w:lang w:eastAsia="zh-CN"/>
                    </w:rPr>
                    <w:t>，</w:t>
                  </w:r>
                  <w:r>
                    <w:rPr>
                      <w:rFonts w:hint="eastAsia"/>
                      <w:lang w:val="en-US" w:eastAsia="zh-CN"/>
                    </w:rPr>
                    <w:t>北纬</w:t>
                  </w:r>
                  <w:r>
                    <w:rPr>
                      <w:rFonts w:hint="default"/>
                      <w:lang w:val="en-US" w:eastAsia="zh-CN"/>
                    </w:rPr>
                    <w:t>41°52′22.551″</w:t>
                  </w:r>
                </w:p>
              </w:tc>
            </w:tr>
          </w:tbl>
          <w:p w14:paraId="04030B22">
            <w:pPr>
              <w:keepNext w:val="0"/>
              <w:keepLines w:val="0"/>
              <w:suppressLineNumbers w:val="0"/>
              <w:shd w:val="clear"/>
              <w:spacing w:before="0" w:beforeAutospacing="0" w:after="0" w:afterAutospacing="0"/>
              <w:ind w:left="0" w:right="0"/>
              <w:rPr>
                <w:rFonts w:hint="eastAsia"/>
                <w:lang w:val="en-US" w:eastAsia="zh-CN"/>
              </w:rPr>
            </w:pPr>
            <w:r>
              <w:rPr>
                <w:rFonts w:hint="eastAsia"/>
                <w:lang w:val="en-US" w:eastAsia="zh-CN"/>
              </w:rPr>
              <w:t>根据表3-3中的统计结果显示，该</w:t>
            </w:r>
            <w:r>
              <w:rPr>
                <w:rFonts w:hint="default"/>
                <w:lang w:val="en-US" w:eastAsia="zh-CN"/>
              </w:rPr>
              <w:t>项目所在区域</w:t>
            </w:r>
            <w:r>
              <w:rPr>
                <w:rFonts w:hint="eastAsia"/>
                <w:lang w:val="en-US" w:eastAsia="zh-CN"/>
              </w:rPr>
              <w:t>总悬浮颗粒物</w:t>
            </w:r>
            <w:r>
              <w:rPr>
                <w:rFonts w:hint="default"/>
                <w:lang w:val="en-US" w:eastAsia="zh-CN"/>
              </w:rPr>
              <w:t>环境质量现状满足</w:t>
            </w:r>
            <w:r>
              <w:rPr>
                <w:rFonts w:hint="default" w:ascii="Times New Roman" w:hAnsi="Times New Roman" w:eastAsia="宋体" w:cs="Times New Roman"/>
                <w:color w:val="auto"/>
              </w:rPr>
              <w:t>《环境空气质量标准》（GB3095-</w:t>
            </w:r>
            <w:r>
              <w:rPr>
                <w:rFonts w:hint="eastAsia" w:cs="Times New Roman"/>
                <w:color w:val="auto"/>
                <w:lang w:val="en-US" w:eastAsia="zh-CN"/>
              </w:rPr>
              <w:t>2026</w:t>
            </w:r>
            <w:r>
              <w:rPr>
                <w:rFonts w:hint="default" w:ascii="Times New Roman" w:hAnsi="Times New Roman" w:eastAsia="宋体" w:cs="Times New Roman"/>
                <w:color w:val="auto"/>
              </w:rPr>
              <w:t>）二级</w:t>
            </w:r>
            <w:r>
              <w:rPr>
                <w:rFonts w:hint="eastAsia" w:cs="Times New Roman"/>
                <w:color w:val="auto"/>
                <w:lang w:eastAsia="zh-CN"/>
              </w:rPr>
              <w:t>过渡阶段</w:t>
            </w:r>
            <w:r>
              <w:rPr>
                <w:rFonts w:hint="default" w:ascii="Times New Roman" w:hAnsi="Times New Roman" w:eastAsia="宋体" w:cs="Times New Roman"/>
                <w:color w:val="auto"/>
              </w:rPr>
              <w:t>限值</w:t>
            </w:r>
            <w:r>
              <w:rPr>
                <w:rFonts w:hint="eastAsia"/>
                <w:lang w:val="en-US" w:eastAsia="zh-CN"/>
              </w:rPr>
              <w:t>要求。</w:t>
            </w:r>
          </w:p>
          <w:p w14:paraId="0D0C9403">
            <w:pPr>
              <w:pStyle w:val="4"/>
              <w:numPr>
                <w:ilvl w:val="0"/>
                <w:numId w:val="0"/>
              </w:numPr>
              <w:suppressLineNumbers w:val="0"/>
              <w:bidi w:val="0"/>
              <w:spacing w:before="0" w:beforeAutospacing="0" w:after="0" w:afterAutospacing="0"/>
              <w:ind w:left="0" w:leftChars="0" w:right="0" w:rightChars="0"/>
              <w:rPr>
                <w:rFonts w:hint="eastAsia"/>
                <w:lang w:val="en-US" w:eastAsia="zh-CN"/>
              </w:rPr>
            </w:pPr>
            <w:r>
              <w:rPr>
                <w:rFonts w:hint="eastAsia"/>
                <w:lang w:val="en-US" w:eastAsia="zh-CN"/>
              </w:rPr>
              <w:t>2、地表</w:t>
            </w:r>
            <w:r>
              <w:rPr>
                <w:rFonts w:hint="default"/>
                <w:lang w:val="en-US" w:eastAsia="zh-CN"/>
              </w:rPr>
              <w:t>水环境</w:t>
            </w:r>
            <w:r>
              <w:rPr>
                <w:rFonts w:hint="eastAsia"/>
                <w:lang w:val="en-US" w:eastAsia="zh-CN"/>
              </w:rPr>
              <w:t>质量现状</w:t>
            </w:r>
          </w:p>
          <w:p w14:paraId="03556AB1">
            <w:pPr>
              <w:keepNext w:val="0"/>
              <w:keepLines w:val="0"/>
              <w:suppressLineNumbers w:val="0"/>
              <w:spacing w:before="0" w:beforeAutospacing="0" w:after="0" w:afterAutospacing="0"/>
              <w:ind w:left="0" w:right="0" w:firstLine="480"/>
              <w:rPr>
                <w:rFonts w:hint="default"/>
              </w:rPr>
            </w:pPr>
            <w:r>
              <w:rPr>
                <w:rFonts w:hint="eastAsia"/>
              </w:rPr>
              <w:t>根据《2024年巴音郭楞蒙古自治州生态环境状况公报》可知：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14:paraId="09D5E99D">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距</w:t>
            </w:r>
            <w:r>
              <w:rPr>
                <w:rFonts w:hint="default"/>
                <w:lang w:val="en-US" w:eastAsia="zh-CN"/>
              </w:rPr>
              <w:t>本项目最近地表水环境为</w:t>
            </w:r>
            <w:r>
              <w:rPr>
                <w:rFonts w:hint="eastAsia"/>
                <w:lang w:val="en-US" w:eastAsia="zh-CN"/>
              </w:rPr>
              <w:t>孔雀河，</w:t>
            </w:r>
            <w:r>
              <w:rPr>
                <w:rFonts w:hint="eastAsia"/>
                <w:lang w:eastAsia="zh-CN"/>
              </w:rPr>
              <w:t>位于项目区</w:t>
            </w:r>
            <w:r>
              <w:rPr>
                <w:rFonts w:hint="eastAsia"/>
                <w:lang w:val="en-US" w:eastAsia="zh-CN"/>
              </w:rPr>
              <w:t>西</w:t>
            </w:r>
            <w:r>
              <w:rPr>
                <w:rFonts w:hint="eastAsia"/>
                <w:lang w:eastAsia="zh-CN"/>
              </w:rPr>
              <w:t>南侧</w:t>
            </w:r>
            <w:r>
              <w:rPr>
                <w:rFonts w:hint="eastAsia"/>
                <w:color w:val="000000" w:themeColor="text1"/>
                <w:lang w:val="en-US" w:eastAsia="zh-CN"/>
                <w14:textFill>
                  <w14:solidFill>
                    <w14:schemeClr w14:val="tx1"/>
                  </w14:solidFill>
                </w14:textFill>
              </w:rPr>
              <w:t>5.3k</w:t>
            </w:r>
            <w:r>
              <w:rPr>
                <w:rFonts w:hint="eastAsia"/>
                <w:lang w:val="en-US" w:eastAsia="zh-CN"/>
              </w:rPr>
              <w:t>m处，孔雀河监测断面水质均能达到</w:t>
            </w:r>
            <w:r>
              <w:rPr>
                <w:rFonts w:hint="default"/>
                <w:lang w:val="en-US" w:eastAsia="zh-CN"/>
              </w:rPr>
              <w:t>Ⅱ类</w:t>
            </w:r>
            <w:r>
              <w:rPr>
                <w:rFonts w:hint="eastAsia"/>
                <w:lang w:val="en-US" w:eastAsia="zh-CN"/>
              </w:rPr>
              <w:t>水质，其水质满足《地表水环境质量标准》（GB3838-2002）中</w:t>
            </w:r>
            <w:r>
              <w:rPr>
                <w:rFonts w:hint="default"/>
                <w:lang w:val="en-US" w:eastAsia="zh-CN"/>
              </w:rPr>
              <w:t>Ⅱ类标准</w:t>
            </w:r>
            <w:r>
              <w:rPr>
                <w:rFonts w:hint="eastAsia"/>
                <w:lang w:val="en-US" w:eastAsia="zh-CN"/>
              </w:rPr>
              <w:t>限值要求。</w:t>
            </w:r>
          </w:p>
          <w:p w14:paraId="11188E11">
            <w:pPr>
              <w:pStyle w:val="4"/>
              <w:numPr>
                <w:ilvl w:val="0"/>
                <w:numId w:val="4"/>
              </w:numPr>
              <w:suppressLineNumbers w:val="0"/>
              <w:bidi w:val="0"/>
              <w:spacing w:before="0" w:beforeAutospacing="0" w:after="0" w:afterAutospacing="0"/>
              <w:ind w:left="0" w:right="0"/>
              <w:rPr>
                <w:rFonts w:hint="eastAsia"/>
                <w:lang w:val="en-US" w:eastAsia="zh-CN"/>
              </w:rPr>
            </w:pPr>
            <w:bookmarkStart w:id="9" w:name="_Toc422212916"/>
            <w:r>
              <w:rPr>
                <w:rFonts w:hint="default"/>
                <w:lang w:val="en-US" w:eastAsia="zh-CN"/>
              </w:rPr>
              <w:t>声环境</w:t>
            </w:r>
            <w:bookmarkEnd w:id="9"/>
            <w:r>
              <w:rPr>
                <w:rFonts w:hint="eastAsia"/>
                <w:lang w:val="en-US" w:eastAsia="zh-CN"/>
              </w:rPr>
              <w:t>质量现状</w:t>
            </w:r>
          </w:p>
          <w:p w14:paraId="76998C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rPr>
            </w:pPr>
            <w:r>
              <w:rPr>
                <w:rFonts w:hint="eastAsia"/>
                <w:lang w:val="en-US" w:eastAsia="zh-CN"/>
              </w:rPr>
              <w:t>本项目周边</w:t>
            </w:r>
            <w:r>
              <w:rPr>
                <w:rFonts w:hint="default"/>
                <w:lang w:val="en-US" w:eastAsia="zh-CN"/>
              </w:rPr>
              <w:t>50m</w:t>
            </w:r>
            <w:r>
              <w:rPr>
                <w:rFonts w:hint="eastAsia"/>
                <w:lang w:val="en-US" w:eastAsia="zh-CN"/>
              </w:rPr>
              <w:t>范围内无声环境保护目标，故不进行声环境质量现状监测</w:t>
            </w:r>
            <w:r>
              <w:rPr>
                <w:rFonts w:hint="default"/>
              </w:rPr>
              <w:t>。</w:t>
            </w:r>
          </w:p>
          <w:p w14:paraId="16783939">
            <w:pPr>
              <w:pStyle w:val="4"/>
              <w:suppressLineNumbers w:val="0"/>
              <w:bidi w:val="0"/>
              <w:spacing w:before="0" w:beforeAutospacing="0" w:after="0" w:afterAutospacing="0"/>
              <w:ind w:left="0" w:right="0"/>
              <w:rPr>
                <w:rFonts w:hint="default"/>
                <w:b/>
                <w:bCs/>
                <w:kern w:val="0"/>
                <w:sz w:val="24"/>
              </w:rPr>
            </w:pPr>
            <w:r>
              <w:rPr>
                <w:rFonts w:hint="eastAsia"/>
                <w:lang w:val="en-US" w:eastAsia="zh-CN"/>
              </w:rPr>
              <w:t>4、</w:t>
            </w:r>
            <w:r>
              <w:rPr>
                <w:rFonts w:hint="default"/>
                <w:b/>
                <w:bCs/>
                <w:kern w:val="0"/>
                <w:sz w:val="24"/>
              </w:rPr>
              <w:t>生态环境现状</w:t>
            </w:r>
          </w:p>
          <w:p w14:paraId="50EF1115">
            <w:pPr>
              <w:keepNext w:val="0"/>
              <w:keepLines w:val="0"/>
              <w:suppressLineNumbers w:val="0"/>
              <w:bidi w:val="0"/>
              <w:spacing w:before="0" w:beforeAutospacing="0" w:after="0" w:afterAutospacing="0"/>
              <w:ind w:left="0" w:right="0"/>
              <w:rPr>
                <w:rFonts w:hint="default"/>
              </w:rPr>
            </w:pPr>
            <w:r>
              <w:rPr>
                <w:rFonts w:hint="default"/>
              </w:rPr>
              <w:t>本项目</w:t>
            </w:r>
            <w:r>
              <w:rPr>
                <w:rFonts w:hint="eastAsia"/>
                <w:lang w:eastAsia="zh-CN"/>
              </w:rPr>
              <w:t>位于产业园区内，</w:t>
            </w:r>
            <w:r>
              <w:rPr>
                <w:rFonts w:hint="default"/>
              </w:rPr>
              <w:t>故不进行生态现状调查。</w:t>
            </w:r>
          </w:p>
          <w:p w14:paraId="38A304E4">
            <w:pPr>
              <w:pStyle w:val="4"/>
              <w:suppressLineNumbers w:val="0"/>
              <w:bidi w:val="0"/>
              <w:spacing w:before="0" w:beforeAutospacing="0" w:after="0" w:afterAutospacing="0"/>
              <w:ind w:left="0" w:right="0"/>
              <w:rPr>
                <w:rFonts w:hint="default"/>
                <w:lang w:val="en-US"/>
              </w:rPr>
            </w:pPr>
            <w:r>
              <w:rPr>
                <w:rFonts w:hint="eastAsia"/>
                <w:lang w:val="en-US" w:eastAsia="zh-CN"/>
              </w:rPr>
              <w:t>5、地下水、土壤现状</w:t>
            </w:r>
          </w:p>
          <w:p w14:paraId="14CA1EC4">
            <w:pPr>
              <w:keepNext w:val="0"/>
              <w:keepLines w:val="0"/>
              <w:suppressLineNumbers w:val="0"/>
              <w:bidi w:val="0"/>
              <w:spacing w:before="0" w:beforeAutospacing="0" w:after="0" w:afterAutospacing="0"/>
              <w:ind w:left="0" w:right="0"/>
              <w:rPr>
                <w:rFonts w:hint="eastAsia"/>
                <w:lang w:val="en-US" w:eastAsia="zh-CN"/>
              </w:rPr>
            </w:pPr>
            <w:r>
              <w:rPr>
                <w:rFonts w:hint="default"/>
                <w:kern w:val="0"/>
                <w:sz w:val="24"/>
              </w:rPr>
              <w:t xml:space="preserve">根据《环境影响评价技术导则  </w:t>
            </w:r>
            <w:r>
              <w:rPr>
                <w:rFonts w:hint="eastAsia"/>
                <w:kern w:val="0"/>
                <w:sz w:val="24"/>
              </w:rPr>
              <w:t>地下水环境</w:t>
            </w:r>
            <w:r>
              <w:rPr>
                <w:rFonts w:hint="default"/>
                <w:kern w:val="0"/>
                <w:sz w:val="24"/>
              </w:rPr>
              <w:t>》（HJ</w:t>
            </w:r>
            <w:r>
              <w:rPr>
                <w:rFonts w:hint="eastAsia"/>
                <w:kern w:val="0"/>
                <w:sz w:val="24"/>
              </w:rPr>
              <w:t>610</w:t>
            </w:r>
            <w:r>
              <w:rPr>
                <w:rFonts w:hint="default"/>
                <w:kern w:val="0"/>
                <w:sz w:val="24"/>
              </w:rPr>
              <w:t>-201</w:t>
            </w:r>
            <w:r>
              <w:rPr>
                <w:rFonts w:hint="eastAsia"/>
                <w:kern w:val="0"/>
                <w:sz w:val="24"/>
              </w:rPr>
              <w:t>6</w:t>
            </w:r>
            <w:r>
              <w:rPr>
                <w:rFonts w:hint="default"/>
                <w:kern w:val="0"/>
                <w:sz w:val="24"/>
              </w:rPr>
              <w:t>）中附录A中确定本项目为Ⅳ类项目，不进行</w:t>
            </w:r>
            <w:r>
              <w:rPr>
                <w:rFonts w:hint="eastAsia"/>
                <w:kern w:val="0"/>
                <w:sz w:val="24"/>
              </w:rPr>
              <w:t>地下水</w:t>
            </w:r>
            <w:r>
              <w:rPr>
                <w:rFonts w:hint="default"/>
                <w:kern w:val="0"/>
                <w:sz w:val="24"/>
              </w:rPr>
              <w:t>评价</w:t>
            </w:r>
            <w:r>
              <w:rPr>
                <w:rFonts w:hint="eastAsia" w:ascii="宋体" w:hAnsi="宋体" w:cs="宋体"/>
                <w:kern w:val="0"/>
                <w:sz w:val="24"/>
              </w:rPr>
              <w:t>。</w:t>
            </w:r>
            <w:r>
              <w:rPr>
                <w:rFonts w:hint="default"/>
                <w:kern w:val="0"/>
                <w:sz w:val="24"/>
              </w:rPr>
              <w:t xml:space="preserve">根据《环境影响评价技术导则  </w:t>
            </w:r>
            <w:r>
              <w:rPr>
                <w:rFonts w:hint="eastAsia"/>
                <w:kern w:val="0"/>
                <w:sz w:val="24"/>
              </w:rPr>
              <w:t>土壤环境（试行）</w:t>
            </w:r>
            <w:r>
              <w:rPr>
                <w:rFonts w:hint="default"/>
                <w:kern w:val="0"/>
                <w:sz w:val="24"/>
              </w:rPr>
              <w:t>》（HJ</w:t>
            </w:r>
            <w:r>
              <w:rPr>
                <w:rFonts w:hint="eastAsia"/>
                <w:kern w:val="0"/>
                <w:sz w:val="24"/>
              </w:rPr>
              <w:t>964</w:t>
            </w:r>
            <w:r>
              <w:rPr>
                <w:rFonts w:hint="default"/>
                <w:kern w:val="0"/>
                <w:sz w:val="24"/>
              </w:rPr>
              <w:t>-201</w:t>
            </w:r>
            <w:r>
              <w:rPr>
                <w:rFonts w:hint="eastAsia"/>
                <w:kern w:val="0"/>
                <w:sz w:val="24"/>
              </w:rPr>
              <w:t>8</w:t>
            </w:r>
            <w:r>
              <w:rPr>
                <w:rFonts w:hint="default"/>
                <w:kern w:val="0"/>
                <w:sz w:val="24"/>
              </w:rPr>
              <w:t>）</w:t>
            </w:r>
            <w:r>
              <w:rPr>
                <w:rFonts w:hint="eastAsia"/>
                <w:kern w:val="0"/>
                <w:sz w:val="24"/>
              </w:rPr>
              <w:t>确定</w:t>
            </w:r>
            <w:r>
              <w:rPr>
                <w:rFonts w:hint="eastAsia" w:ascii="宋体" w:hAnsi="宋体" w:cs="宋体"/>
                <w:kern w:val="0"/>
                <w:sz w:val="24"/>
              </w:rPr>
              <w:t>本项目不进行土壤评价。</w:t>
            </w:r>
            <w:r>
              <w:rPr>
                <w:rFonts w:hint="eastAsia" w:cs="Times New Roman"/>
                <w:lang w:val="en-US" w:eastAsia="zh-CN"/>
              </w:rPr>
              <w:t>本项目正常工况下不存在土壤、地下水污染途径，本项目可不开展土壤、地下水环境质量现状调查。</w:t>
            </w:r>
          </w:p>
          <w:p w14:paraId="7E664729">
            <w:pPr>
              <w:pStyle w:val="4"/>
              <w:suppressLineNumbers w:val="0"/>
              <w:bidi w:val="0"/>
              <w:spacing w:before="0" w:beforeAutospacing="0" w:after="0" w:afterAutospacing="0"/>
              <w:ind w:left="0" w:right="0"/>
              <w:rPr>
                <w:rFonts w:hint="eastAsia"/>
                <w:lang w:val="en-US" w:eastAsia="zh-CN"/>
              </w:rPr>
            </w:pPr>
            <w:r>
              <w:rPr>
                <w:rFonts w:hint="eastAsia"/>
                <w:lang w:val="en-US" w:eastAsia="zh-CN"/>
              </w:rPr>
              <w:t>6、土地沙化</w:t>
            </w:r>
          </w:p>
          <w:p w14:paraId="54BC2FED">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lang w:val="en-US" w:eastAsia="zh-CN"/>
              </w:rPr>
              <w:t>根据《新疆第六次沙化监测报告》，本项目位于非沙化区</w:t>
            </w:r>
            <w:r>
              <w:rPr>
                <w:rFonts w:hint="eastAsia"/>
                <w:color w:val="auto"/>
                <w:lang w:eastAsia="zh-CN"/>
              </w:rPr>
              <w:t>。</w:t>
            </w:r>
          </w:p>
          <w:p w14:paraId="197943E1">
            <w:pPr>
              <w:pStyle w:val="9"/>
              <w:keepLines w:val="0"/>
              <w:suppressLineNumbers w:val="0"/>
              <w:bidi w:val="0"/>
              <w:spacing w:before="0" w:beforeAutospacing="0" w:after="0" w:afterAutospacing="0"/>
              <w:ind w:left="0" w:leftChars="0" w:right="0" w:firstLine="0" w:firstLineChars="0"/>
              <w:jc w:val="both"/>
              <w:rPr>
                <w:rFonts w:hint="default" w:ascii="Times New Roman" w:hAnsi="Times New Roman" w:cs="Times New Roman"/>
                <w:color w:val="auto"/>
                <w:szCs w:val="28"/>
                <w:highlight w:val="none"/>
              </w:rPr>
            </w:pPr>
            <w:r>
              <w:rPr>
                <w:rFonts w:hint="default"/>
                <w:color w:val="auto"/>
                <w:sz w:val="21"/>
              </w:rPr>
              <mc:AlternateContent>
                <mc:Choice Requires="wps">
                  <w:drawing>
                    <wp:anchor distT="0" distB="0" distL="114300" distR="114300" simplePos="0" relativeHeight="251660288" behindDoc="0" locked="0" layoutInCell="1" allowOverlap="1">
                      <wp:simplePos x="0" y="0"/>
                      <wp:positionH relativeFrom="column">
                        <wp:posOffset>2528570</wp:posOffset>
                      </wp:positionH>
                      <wp:positionV relativeFrom="paragraph">
                        <wp:posOffset>397510</wp:posOffset>
                      </wp:positionV>
                      <wp:extent cx="695960" cy="291465"/>
                      <wp:effectExtent l="12700" t="12700" r="243840" b="95885"/>
                      <wp:wrapNone/>
                      <wp:docPr id="3" name="矩形标注 3"/>
                      <wp:cNvGraphicFramePr/>
                      <a:graphic xmlns:a="http://schemas.openxmlformats.org/drawingml/2006/main">
                        <a:graphicData uri="http://schemas.microsoft.com/office/word/2010/wordprocessingShape">
                          <wps:wsp>
                            <wps:cNvSpPr/>
                            <wps:spPr>
                              <a:xfrm>
                                <a:off x="4573905" y="1409700"/>
                                <a:ext cx="695960" cy="291465"/>
                              </a:xfrm>
                              <a:prstGeom prst="wedgeRectCallout">
                                <a:avLst>
                                  <a:gd name="adj1" fmla="val 83029"/>
                                  <a:gd name="adj2" fmla="val 7636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83E2C81">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9.1pt;margin-top:31.3pt;height:22.95pt;width:54.8pt;z-index:251660288;v-text-anchor:middle;mso-width-relative:page;mso-height-relative:page;" filled="f" stroked="t" coordsize="21600,21600" o:gfxdata="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Ut5kdgAAAAKAQAADwAAAAAAAAABACAAAAAiAAAAZHJzL2Rvd25yZXYu&#10;eG1sUEsBAhQAFAAAAAgAh07iQHFau6imAgAALQUAAA4AAAAAAAAAAQAgAAAAJwEAAGRycy9lMm9E&#10;b2MueG1sUEsFBgAAAAAGAAYAWQEAAD8GAAAAAA==&#10;" adj="28734,27294">
                      <v:fill on="f" focussize="0,0"/>
                      <v:stroke weight="2pt" color="#FF0000 [2404]" joinstyle="round"/>
                      <v:imagedata o:title=""/>
                      <o:lock v:ext="edit" aspectratio="f"/>
                      <v:textbox>
                        <w:txbxContent>
                          <w:p w14:paraId="383E2C81">
                            <w:pPr>
                              <w:ind w:left="0" w:leftChars="0" w:firstLine="0" w:firstLineChars="0"/>
                              <w:jc w:val="both"/>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default" w:ascii="Times New Roman" w:hAnsi="Times New Roman" w:cs="Times New Roman"/>
                <w:color w:val="auto"/>
                <w:szCs w:val="28"/>
                <w:highlight w:val="none"/>
              </w:rPr>
              <w:drawing>
                <wp:inline distT="0" distB="0" distL="114300" distR="114300">
                  <wp:extent cx="5183505" cy="3795395"/>
                  <wp:effectExtent l="0" t="0" r="17145" b="14605"/>
                  <wp:docPr id="5" name="图片 2" descr="C:/Users/lenovo/AppData/Local/Temp/picturecompress_202110130057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lenovo/AppData/Local/Temp/picturecompress_20211013005746/output_1.jpgoutput_1"/>
                          <pic:cNvPicPr>
                            <a:picLocks noChangeAspect="1"/>
                          </pic:cNvPicPr>
                        </pic:nvPicPr>
                        <pic:blipFill>
                          <a:blip r:embed="rId15"/>
                          <a:srcRect l="2438"/>
                          <a:stretch>
                            <a:fillRect/>
                          </a:stretch>
                        </pic:blipFill>
                        <pic:spPr>
                          <a:xfrm>
                            <a:off x="0" y="0"/>
                            <a:ext cx="5183505" cy="3795395"/>
                          </a:xfrm>
                          <a:prstGeom prst="rect">
                            <a:avLst/>
                          </a:prstGeom>
                          <a:noFill/>
                          <a:ln>
                            <a:noFill/>
                          </a:ln>
                        </pic:spPr>
                      </pic:pic>
                    </a:graphicData>
                  </a:graphic>
                </wp:inline>
              </w:drawing>
            </w:r>
          </w:p>
          <w:p w14:paraId="428091C6">
            <w:pPr>
              <w:pStyle w:val="9"/>
              <w:keepLines w:val="0"/>
              <w:suppressLineNumbers w:val="0"/>
              <w:bidi w:val="0"/>
              <w:spacing w:before="0" w:beforeAutospacing="0" w:after="0" w:afterAutospacing="0"/>
              <w:ind w:left="0" w:leftChars="0" w:right="0" w:firstLine="0" w:firstLineChars="0"/>
              <w:jc w:val="center"/>
              <w:rPr>
                <w:rFonts w:hint="default"/>
                <w:lang w:val="en-US" w:eastAsia="zh-CN"/>
              </w:rPr>
            </w:pPr>
            <w:r>
              <w:rPr>
                <w:rFonts w:hint="eastAsia"/>
                <w:color w:val="auto"/>
                <w:lang w:val="en-US" w:eastAsia="zh-CN"/>
              </w:rPr>
              <w:t>图3-6 土地沙化现状示意图</w:t>
            </w:r>
          </w:p>
          <w:p w14:paraId="13172832">
            <w:pPr>
              <w:keepNext w:val="0"/>
              <w:keepLines w:val="0"/>
              <w:suppressLineNumbers w:val="0"/>
              <w:spacing w:before="0" w:beforeAutospacing="0" w:after="0" w:afterAutospacing="0"/>
              <w:ind w:left="0" w:right="0"/>
              <w:rPr>
                <w:rFonts w:hint="default"/>
                <w:lang w:val="en-US" w:eastAsia="zh-CN"/>
              </w:rPr>
            </w:pPr>
          </w:p>
          <w:p w14:paraId="0F2B92AA">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center"/>
              <w:rPr>
                <w:rFonts w:hint="eastAsia"/>
                <w:lang w:val="en-US" w:eastAsia="zh-CN"/>
              </w:rPr>
            </w:pPr>
          </w:p>
          <w:p w14:paraId="1353CB6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center"/>
              <w:rPr>
                <w:rFonts w:hint="eastAsia"/>
                <w:lang w:val="en-US" w:eastAsia="zh-CN"/>
              </w:rPr>
            </w:pPr>
          </w:p>
          <w:p w14:paraId="38612CF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textAlignment w:val="center"/>
              <w:rPr>
                <w:rFonts w:hint="default"/>
              </w:rPr>
            </w:pPr>
          </w:p>
        </w:tc>
      </w:tr>
      <w:tr w14:paraId="0BB98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1" w:hRule="atLeast"/>
          <w:jc w:val="center"/>
        </w:trPr>
        <w:tc>
          <w:tcPr>
            <w:tcW w:w="584" w:type="dxa"/>
            <w:vAlign w:val="center"/>
          </w:tcPr>
          <w:p w14:paraId="32380AF7">
            <w:pPr>
              <w:pStyle w:val="11"/>
              <w:keepNext w:val="0"/>
              <w:keepLines w:val="0"/>
              <w:suppressLineNumbers w:val="0"/>
              <w:bidi w:val="0"/>
              <w:spacing w:before="0" w:beforeAutospacing="0" w:after="0" w:afterAutospacing="0"/>
              <w:ind w:left="0" w:right="0"/>
              <w:rPr>
                <w:rFonts w:hint="default"/>
              </w:rPr>
            </w:pPr>
            <w:r>
              <w:rPr>
                <w:rFonts w:hint="eastAsia" w:ascii="宋体" w:hAnsi="宋体" w:cs="宋体"/>
                <w:b/>
                <w:bCs/>
                <w:color w:val="000000" w:themeColor="text1"/>
                <w:kern w:val="0"/>
                <w:szCs w:val="28"/>
                <w14:textFill>
                  <w14:solidFill>
                    <w14:schemeClr w14:val="tx1"/>
                  </w14:solidFill>
                </w14:textFill>
              </w:rPr>
              <w:t>环</w:t>
            </w:r>
            <w:r>
              <w:rPr>
                <w:rFonts w:hint="eastAsia"/>
              </w:rPr>
              <w:t>境</w:t>
            </w:r>
          </w:p>
          <w:p w14:paraId="3DF0AF00">
            <w:pPr>
              <w:pStyle w:val="11"/>
              <w:keepNext w:val="0"/>
              <w:keepLines w:val="0"/>
              <w:suppressLineNumbers w:val="0"/>
              <w:bidi w:val="0"/>
              <w:spacing w:before="0" w:beforeAutospacing="0" w:after="0" w:afterAutospacing="0"/>
              <w:ind w:left="0" w:right="0"/>
              <w:rPr>
                <w:rFonts w:hint="default"/>
              </w:rPr>
            </w:pPr>
            <w:r>
              <w:rPr>
                <w:rFonts w:hint="eastAsia"/>
              </w:rPr>
              <w:t>保护</w:t>
            </w:r>
          </w:p>
          <w:p w14:paraId="56BF0AC7">
            <w:pPr>
              <w:pStyle w:val="11"/>
              <w:keepNext w:val="0"/>
              <w:keepLines w:val="0"/>
              <w:suppressLineNumbers w:val="0"/>
              <w:bidi w:val="0"/>
              <w:spacing w:before="0" w:beforeAutospacing="0" w:after="0" w:afterAutospacing="0"/>
              <w:ind w:left="0" w:right="0"/>
              <w:rPr>
                <w:rFonts w:hint="default" w:ascii="宋体" w:hAnsi="宋体" w:cs="宋体"/>
                <w:color w:val="000000" w:themeColor="text1"/>
                <w:kern w:val="0"/>
                <w:szCs w:val="21"/>
                <w14:textFill>
                  <w14:solidFill>
                    <w14:schemeClr w14:val="tx1"/>
                  </w14:solidFill>
                </w14:textFill>
              </w:rPr>
            </w:pPr>
            <w:r>
              <w:rPr>
                <w:rFonts w:hint="eastAsia"/>
              </w:rPr>
              <w:t>目标</w:t>
            </w:r>
          </w:p>
        </w:tc>
        <w:tc>
          <w:tcPr>
            <w:tcW w:w="8406" w:type="dxa"/>
            <w:vAlign w:val="center"/>
          </w:tcPr>
          <w:p w14:paraId="74785162">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default"/>
                <w:lang w:val="en-US" w:eastAsia="zh-CN"/>
              </w:rPr>
              <w:t>大气环境</w:t>
            </w:r>
          </w:p>
          <w:p w14:paraId="55A83A6E">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本项目位于新疆维吾尔自治区</w:t>
            </w:r>
            <w:r>
              <w:rPr>
                <w:rFonts w:hint="default"/>
                <w:lang w:val="en-US" w:eastAsia="zh-CN"/>
              </w:rPr>
              <w:fldChar w:fldCharType="begin"/>
            </w:r>
            <w:r>
              <w:rPr>
                <w:rFonts w:hint="default"/>
                <w:lang w:val="en-US" w:eastAsia="zh-CN"/>
              </w:rPr>
              <w:instrText xml:space="preserve"> HYPERLINK "https://baike.baidu.com/item/%E5%B7%B4%E9%9F%B3%E9%83%AD%E6%A5%9E%E8%92%99%E5%8F%A4%E8%87%AA%E6%B2%BB%E5%B7%9E/5310284" \t "https://baike.baidu.com/item/%E7%84%89%E8%80%86%E5%9B%9E%E6%97%8F%E8%87%AA%E6%B2%BB%E5%8E%BF/_blank" </w:instrText>
            </w:r>
            <w:r>
              <w:rPr>
                <w:rFonts w:hint="default"/>
                <w:lang w:val="en-US" w:eastAsia="zh-CN"/>
              </w:rPr>
              <w:fldChar w:fldCharType="separate"/>
            </w:r>
            <w:r>
              <w:rPr>
                <w:rFonts w:hint="default"/>
                <w:lang w:val="en-US" w:eastAsia="zh-CN"/>
              </w:rPr>
              <w:t>巴音郭楞蒙古自治州</w:t>
            </w:r>
            <w:r>
              <w:rPr>
                <w:rFonts w:hint="default"/>
                <w:lang w:val="en-US" w:eastAsia="zh-CN"/>
              </w:rPr>
              <w:fldChar w:fldCharType="end"/>
            </w:r>
            <w:r>
              <w:rPr>
                <w:rFonts w:hint="default"/>
                <w:lang w:val="en-US" w:eastAsia="zh-CN"/>
              </w:rPr>
              <w:t>焉耆回族自治县河北巴州生态产业园区内。根据现场踏勘和资料搜集，项目评价范围内无风景名胜、文物古迹、自然保护区、人口集中居住区等环境敏感目标分布，厂界外500m范围内</w:t>
            </w:r>
            <w:r>
              <w:rPr>
                <w:rFonts w:hint="eastAsia"/>
                <w:lang w:val="en-US" w:eastAsia="zh-CN"/>
              </w:rPr>
              <w:t>无大气</w:t>
            </w:r>
            <w:r>
              <w:rPr>
                <w:rFonts w:hint="default"/>
                <w:lang w:val="en-US" w:eastAsia="zh-CN"/>
              </w:rPr>
              <w:t>环境敏感保护目标。</w:t>
            </w:r>
          </w:p>
          <w:p w14:paraId="4F5622C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声环境</w:t>
            </w:r>
          </w:p>
          <w:p w14:paraId="42C60B24">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本项目厂界外50m范围内无声环境保护目标。</w:t>
            </w:r>
          </w:p>
          <w:p w14:paraId="674A39F4">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w:t>
            </w:r>
            <w:r>
              <w:rPr>
                <w:rFonts w:hint="default"/>
                <w:lang w:val="en-US" w:eastAsia="zh-CN"/>
              </w:rPr>
              <w:t>地下水环境</w:t>
            </w:r>
          </w:p>
          <w:p w14:paraId="1E50D99B">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本项目厂界外500m范围内无地下水集中式饮用水水源和热水、矿泉水、温泉等特殊地下水资源。</w:t>
            </w:r>
          </w:p>
          <w:p w14:paraId="6910F2C8">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（4）</w:t>
            </w:r>
            <w:r>
              <w:rPr>
                <w:rFonts w:hint="default"/>
                <w:lang w:val="en-US" w:eastAsia="zh-CN"/>
              </w:rPr>
              <w:t>生态环境</w:t>
            </w:r>
          </w:p>
          <w:p w14:paraId="16B80B55">
            <w:pPr>
              <w:keepNext w:val="0"/>
              <w:keepLines w:val="0"/>
              <w:suppressLineNumbers w:val="0"/>
              <w:bidi w:val="0"/>
              <w:spacing w:before="0" w:beforeAutospacing="0" w:after="0" w:afterAutospacing="0"/>
              <w:ind w:left="0" w:right="0"/>
              <w:rPr>
                <w:rFonts w:hint="default"/>
              </w:rPr>
            </w:pPr>
            <w:r>
              <w:rPr>
                <w:rFonts w:hint="default"/>
                <w:lang w:val="en-US" w:eastAsia="zh-CN"/>
              </w:rPr>
              <w:t>本项目位于新疆维吾尔自治区</w:t>
            </w:r>
            <w:r>
              <w:rPr>
                <w:rFonts w:hint="default"/>
                <w:lang w:val="en-US" w:eastAsia="zh-CN"/>
              </w:rPr>
              <w:fldChar w:fldCharType="begin"/>
            </w:r>
            <w:r>
              <w:rPr>
                <w:rFonts w:hint="default"/>
                <w:lang w:val="en-US" w:eastAsia="zh-CN"/>
              </w:rPr>
              <w:instrText xml:space="preserve"> HYPERLINK "https://baike.baidu.com/item/%E5%B7%B4%E9%9F%B3%E9%83%AD%E6%A5%9E%E8%92%99%E5%8F%A4%E8%87%AA%E6%B2%BB%E5%B7%9E/5310284" \t "https://baike.baidu.com/item/%E7%84%89%E8%80%86%E5%9B%9E%E6%97%8F%E8%87%AA%E6%B2%BB%E5%8E%BF/_blank" </w:instrText>
            </w:r>
            <w:r>
              <w:rPr>
                <w:rFonts w:hint="default"/>
                <w:lang w:val="en-US" w:eastAsia="zh-CN"/>
              </w:rPr>
              <w:fldChar w:fldCharType="separate"/>
            </w:r>
            <w:r>
              <w:rPr>
                <w:rFonts w:hint="default"/>
                <w:lang w:val="en-US" w:eastAsia="zh-CN"/>
              </w:rPr>
              <w:t>巴音郭楞蒙古自治州</w:t>
            </w:r>
            <w:r>
              <w:rPr>
                <w:rFonts w:hint="default"/>
                <w:lang w:val="en-US" w:eastAsia="zh-CN"/>
              </w:rPr>
              <w:fldChar w:fldCharType="end"/>
            </w:r>
            <w:r>
              <w:rPr>
                <w:rFonts w:hint="default"/>
                <w:lang w:val="en-US" w:eastAsia="zh-CN"/>
              </w:rPr>
              <w:t>焉耆回族自治县河北巴州生态产业园区内，用地性质为工业用地，无生态环境保护目标。</w:t>
            </w:r>
          </w:p>
        </w:tc>
      </w:tr>
      <w:tr w14:paraId="4C419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584" w:type="dxa"/>
            <w:tcMar>
              <w:left w:w="28" w:type="dxa"/>
              <w:right w:w="28" w:type="dxa"/>
            </w:tcMar>
            <w:vAlign w:val="center"/>
          </w:tcPr>
          <w:p w14:paraId="30FA40B6">
            <w:pPr>
              <w:pStyle w:val="11"/>
              <w:keepNext w:val="0"/>
              <w:keepLines w:val="0"/>
              <w:suppressLineNumbers w:val="0"/>
              <w:bidi w:val="0"/>
              <w:spacing w:before="0" w:beforeAutospacing="0" w:after="0" w:afterAutospacing="0"/>
              <w:ind w:left="0" w:right="0"/>
              <w:rPr>
                <w:rFonts w:hint="default"/>
              </w:rPr>
            </w:pPr>
            <w:r>
              <w:rPr>
                <w:rFonts w:hint="eastAsia" w:ascii="宋体" w:hAnsi="宋体" w:cs="宋体"/>
                <w:b/>
                <w:bCs/>
                <w:color w:val="000000" w:themeColor="text1"/>
                <w:kern w:val="0"/>
                <w:szCs w:val="28"/>
                <w14:textFill>
                  <w14:solidFill>
                    <w14:schemeClr w14:val="tx1"/>
                  </w14:solidFill>
                </w14:textFill>
              </w:rPr>
              <w:t>污</w:t>
            </w:r>
            <w:r>
              <w:rPr>
                <w:rFonts w:hint="eastAsia"/>
              </w:rPr>
              <w:t>染</w:t>
            </w:r>
          </w:p>
          <w:p w14:paraId="58C264A3">
            <w:pPr>
              <w:pStyle w:val="11"/>
              <w:keepNext w:val="0"/>
              <w:keepLines w:val="0"/>
              <w:suppressLineNumbers w:val="0"/>
              <w:bidi w:val="0"/>
              <w:spacing w:before="0" w:beforeAutospacing="0" w:after="0" w:afterAutospacing="0"/>
              <w:ind w:left="0" w:right="0"/>
              <w:rPr>
                <w:rFonts w:hint="default"/>
              </w:rPr>
            </w:pPr>
            <w:r>
              <w:rPr>
                <w:rFonts w:hint="eastAsia"/>
              </w:rPr>
              <w:t>物排</w:t>
            </w:r>
          </w:p>
          <w:p w14:paraId="0F44EE18">
            <w:pPr>
              <w:pStyle w:val="11"/>
              <w:keepNext w:val="0"/>
              <w:keepLines w:val="0"/>
              <w:suppressLineNumbers w:val="0"/>
              <w:bidi w:val="0"/>
              <w:spacing w:before="0" w:beforeAutospacing="0" w:after="0" w:afterAutospacing="0"/>
              <w:ind w:left="0" w:right="0"/>
              <w:rPr>
                <w:rFonts w:hint="default"/>
              </w:rPr>
            </w:pPr>
            <w:r>
              <w:rPr>
                <w:rFonts w:hint="eastAsia"/>
              </w:rPr>
              <w:t>放控</w:t>
            </w:r>
          </w:p>
          <w:p w14:paraId="6FFEF9FB">
            <w:pPr>
              <w:pStyle w:val="11"/>
              <w:keepNext w:val="0"/>
              <w:keepLines w:val="0"/>
              <w:suppressLineNumbers w:val="0"/>
              <w:bidi w:val="0"/>
              <w:spacing w:before="0" w:beforeAutospacing="0" w:after="0" w:afterAutospacing="0"/>
              <w:ind w:left="0" w:right="0"/>
              <w:rPr>
                <w:rFonts w:hint="default"/>
              </w:rPr>
            </w:pPr>
            <w:r>
              <w:rPr>
                <w:rFonts w:hint="eastAsia"/>
              </w:rPr>
              <w:t>制标</w:t>
            </w:r>
          </w:p>
          <w:p w14:paraId="02883B0A">
            <w:pPr>
              <w:keepNext w:val="0"/>
              <w:keepLines w:val="0"/>
              <w:suppressLineNumbers w:val="0"/>
              <w:adjustRightInd w:val="0"/>
              <w:snapToGrid w:val="0"/>
              <w:spacing w:before="0" w:beforeAutospacing="0" w:after="0" w:afterAutospacing="0"/>
              <w:ind w:left="0" w:right="0"/>
              <w:jc w:val="center"/>
              <w:rPr>
                <w:rFonts w:hint="default"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 w:val="28"/>
                <w:szCs w:val="28"/>
                <w14:textFill>
                  <w14:solidFill>
                    <w14:schemeClr w14:val="tx1"/>
                  </w14:solidFill>
                </w14:textFill>
              </w:rPr>
              <w:t>准</w:t>
            </w:r>
          </w:p>
        </w:tc>
        <w:tc>
          <w:tcPr>
            <w:tcW w:w="8406" w:type="dxa"/>
          </w:tcPr>
          <w:p w14:paraId="08878EF4">
            <w:pPr>
              <w:pStyle w:val="4"/>
              <w:numPr>
                <w:ilvl w:val="0"/>
                <w:numId w:val="6"/>
              </w:numPr>
              <w:suppressLineNumbers w:val="0"/>
              <w:bidi w:val="0"/>
              <w:spacing w:before="0" w:beforeAutospacing="0" w:after="0" w:afterAutospacing="0"/>
              <w:ind w:left="0" w:right="0"/>
              <w:rPr>
                <w:rFonts w:hint="eastAsia" w:cs="Times New Roman"/>
                <w:color w:val="000000" w:themeColor="text1"/>
                <w:lang w:val="en-US" w:eastAsia="zh-CN"/>
                <w14:textFill>
                  <w14:solidFill>
                    <w14:schemeClr w14:val="tx1"/>
                  </w14:solidFill>
                </w14:textFill>
              </w:rPr>
            </w:pPr>
            <w:bookmarkStart w:id="10" w:name="_Toc29182"/>
            <w:bookmarkStart w:id="11" w:name="_Toc13030"/>
            <w:r>
              <w:rPr>
                <w:rFonts w:hint="eastAsia" w:cs="Times New Roman"/>
                <w:color w:val="000000" w:themeColor="text1"/>
                <w:lang w:val="en-US" w:eastAsia="zh-CN"/>
                <w14:textFill>
                  <w14:solidFill>
                    <w14:schemeClr w14:val="tx1"/>
                  </w14:solidFill>
                </w14:textFill>
              </w:rPr>
              <w:t>施工期</w:t>
            </w:r>
          </w:p>
          <w:p w14:paraId="594C9591">
            <w:pPr>
              <w:pStyle w:val="4"/>
              <w:suppressLineNumbers w:val="0"/>
              <w:bidi w:val="0"/>
              <w:spacing w:before="0" w:beforeAutospacing="0" w:after="0" w:afterAutospacing="0"/>
              <w:ind w:left="0" w:right="0"/>
              <w:rPr>
                <w:rFonts w:hint="default"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1.1</w:t>
            </w:r>
            <w:bookmarkEnd w:id="10"/>
            <w:bookmarkEnd w:id="11"/>
            <w:bookmarkStart w:id="12" w:name="_Toc7071"/>
            <w:bookmarkStart w:id="13" w:name="_Toc24181"/>
            <w:r>
              <w:rPr>
                <w:rFonts w:hint="default" w:cs="Times New Roman"/>
                <w:color w:val="000000" w:themeColor="text1"/>
                <w:lang w:eastAsia="zh-CN"/>
                <w14:textFill>
                  <w14:solidFill>
                    <w14:schemeClr w14:val="tx1"/>
                  </w14:solidFill>
                </w14:textFill>
              </w:rPr>
              <w:t>噪声</w:t>
            </w:r>
          </w:p>
          <w:p w14:paraId="2C8F0686">
            <w:pPr>
              <w:keepNext w:val="0"/>
              <w:keepLines w:val="0"/>
              <w:suppressLineNumbers w:val="0"/>
              <w:spacing w:before="0" w:beforeAutospacing="0" w:after="0" w:afterAutospacing="0"/>
              <w:ind w:left="0" w:right="0" w:firstLine="480"/>
              <w:rPr>
                <w:rFonts w:hint="default"/>
              </w:rPr>
            </w:pPr>
            <w:r>
              <w:rPr>
                <w:rFonts w:hint="default"/>
              </w:rPr>
              <w:t>施工期噪声执行《建筑</w:t>
            </w:r>
            <w:r>
              <w:rPr>
                <w:rFonts w:hint="eastAsia"/>
                <w:lang w:val="en-US" w:eastAsia="zh-CN"/>
              </w:rPr>
              <w:t>施工</w:t>
            </w:r>
            <w:r>
              <w:rPr>
                <w:rFonts w:hint="default"/>
              </w:rPr>
              <w:t>噪声排放标准》（GB12523-20</w:t>
            </w:r>
            <w:r>
              <w:rPr>
                <w:rFonts w:hint="eastAsia"/>
                <w:lang w:val="en-US" w:eastAsia="zh-CN"/>
              </w:rPr>
              <w:t>25</w:t>
            </w:r>
            <w:r>
              <w:rPr>
                <w:rFonts w:hint="default"/>
              </w:rPr>
              <w:t>）限值。即昼间≤70dB(A)，夜间≤55dB(A)。</w:t>
            </w:r>
          </w:p>
          <w:bookmarkEnd w:id="12"/>
          <w:bookmarkEnd w:id="13"/>
          <w:p w14:paraId="5B766244">
            <w:pPr>
              <w:pStyle w:val="4"/>
              <w:suppressLineNumbers w:val="0"/>
              <w:bidi w:val="0"/>
              <w:spacing w:before="0" w:beforeAutospacing="0" w:after="0" w:afterAutospacing="0"/>
              <w:ind w:left="0" w:right="0"/>
              <w:rPr>
                <w:rFonts w:hint="eastAsia"/>
                <w:lang w:val="en-US" w:eastAsia="zh-CN"/>
              </w:rPr>
            </w:pPr>
            <w:r>
              <w:rPr>
                <w:rFonts w:hint="eastAsia"/>
                <w:lang w:val="en-US" w:eastAsia="zh-CN"/>
              </w:rPr>
              <w:t>1.2大气</w:t>
            </w:r>
          </w:p>
          <w:p w14:paraId="67564AD3">
            <w:pPr>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施工废气执行</w:t>
            </w:r>
            <w:r>
              <w:rPr>
                <w:rFonts w:hint="default" w:ascii="宋体" w:hAnsi="宋体" w:eastAsia="宋体" w:cs="宋体"/>
                <w:color w:val="000000" w:themeColor="text1"/>
                <w:spacing w:val="8"/>
                <w:sz w:val="24"/>
                <w:szCs w:val="24"/>
                <w14:textFill>
                  <w14:solidFill>
                    <w14:schemeClr w14:val="tx1"/>
                  </w14:solidFill>
                </w14:textFill>
              </w:rPr>
              <w:t>《大气污染物综合</w:t>
            </w:r>
            <w:r>
              <w:rPr>
                <w:rFonts w:hint="default" w:ascii="宋体" w:hAnsi="宋体" w:eastAsia="宋体" w:cs="宋体"/>
                <w:color w:val="000000" w:themeColor="text1"/>
                <w:spacing w:val="-3"/>
                <w:sz w:val="24"/>
                <w:szCs w:val="24"/>
                <w14:textFill>
                  <w14:solidFill>
                    <w14:schemeClr w14:val="tx1"/>
                  </w14:solidFill>
                </w14:textFill>
              </w:rPr>
              <w:t>排放标准》</w:t>
            </w:r>
            <w:r>
              <w:rPr>
                <w:rFonts w:hint="eastAsia" w:ascii="宋体" w:hAnsi="宋体" w:cs="宋体"/>
                <w:color w:val="000000" w:themeColor="text1"/>
                <w:spacing w:val="-3"/>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pacing w:val="-3"/>
                <w:sz w:val="24"/>
                <w:szCs w:val="24"/>
                <w14:textFill>
                  <w14:solidFill>
                    <w14:schemeClr w14:val="tx1"/>
                  </w14:solidFill>
                </w14:textFill>
              </w:rPr>
              <w:t>GB16297- 1996</w:t>
            </w:r>
            <w:r>
              <w:rPr>
                <w:rFonts w:hint="eastAsia" w:ascii="宋体" w:hAnsi="宋体" w:cs="宋体"/>
                <w:color w:val="000000" w:themeColor="text1"/>
                <w:spacing w:val="-3"/>
                <w:sz w:val="24"/>
                <w:szCs w:val="24"/>
                <w:lang w:eastAsia="zh-CN"/>
                <w14:textFill>
                  <w14:solidFill>
                    <w14:schemeClr w14:val="tx1"/>
                  </w14:solidFill>
                </w14:textFill>
              </w:rPr>
              <w:t>）</w:t>
            </w:r>
            <w:r>
              <w:rPr>
                <w:rFonts w:hint="default" w:ascii="宋体" w:hAnsi="宋体" w:eastAsia="宋体" w:cs="宋体"/>
                <w:color w:val="000000" w:themeColor="text1"/>
                <w:spacing w:val="-3"/>
                <w:sz w:val="24"/>
                <w:szCs w:val="24"/>
                <w14:textFill>
                  <w14:solidFill>
                    <w14:schemeClr w14:val="tx1"/>
                  </w14:solidFill>
                </w14:textFill>
              </w:rPr>
              <w:t>表</w:t>
            </w:r>
            <w:r>
              <w:rPr>
                <w:rFonts w:hint="default" w:ascii="Times New Roman" w:hAnsi="Times New Roman" w:eastAsia="Times New Roman" w:cs="Times New Roman"/>
                <w:color w:val="000000" w:themeColor="text1"/>
                <w:spacing w:val="-3"/>
                <w:sz w:val="24"/>
                <w:szCs w:val="24"/>
                <w14:textFill>
                  <w14:solidFill>
                    <w14:schemeClr w14:val="tx1"/>
                  </w14:solidFill>
                </w14:textFill>
              </w:rPr>
              <w:t>2</w:t>
            </w:r>
            <w:r>
              <w:rPr>
                <w:rFonts w:hint="default" w:ascii="宋体" w:hAnsi="宋体" w:eastAsia="宋体" w:cs="宋体"/>
                <w:color w:val="000000" w:themeColor="text1"/>
                <w:spacing w:val="-3"/>
                <w:sz w:val="24"/>
                <w:szCs w:val="24"/>
                <w14:textFill>
                  <w14:solidFill>
                    <w14:schemeClr w14:val="tx1"/>
                  </w14:solidFill>
                </w14:textFill>
              </w:rPr>
              <w:t>中</w:t>
            </w:r>
            <w:r>
              <w:rPr>
                <w:rFonts w:hint="eastAsia" w:ascii="宋体" w:hAnsi="宋体" w:eastAsia="宋体" w:cs="宋体"/>
                <w:color w:val="000000" w:themeColor="text1"/>
                <w:spacing w:val="-3"/>
                <w:sz w:val="24"/>
                <w:szCs w:val="24"/>
                <w:lang w:val="en-US" w:eastAsia="zh-CN"/>
                <w14:textFill>
                  <w14:solidFill>
                    <w14:schemeClr w14:val="tx1"/>
                  </w14:solidFill>
                </w14:textFill>
              </w:rPr>
              <w:t>限值</w:t>
            </w:r>
            <w:r>
              <w:rPr>
                <w:rFonts w:hint="default" w:ascii="宋体" w:hAnsi="宋体" w:eastAsia="宋体" w:cs="宋体"/>
                <w:color w:val="000000" w:themeColor="text1"/>
                <w:spacing w:val="-3"/>
                <w:sz w:val="24"/>
                <w:szCs w:val="24"/>
                <w14:textFill>
                  <w14:solidFill>
                    <w14:schemeClr w14:val="tx1"/>
                  </w14:solidFill>
                </w14:textFill>
              </w:rPr>
              <w:t>要求</w:t>
            </w:r>
            <w:r>
              <w:rPr>
                <w:rFonts w:hint="eastAsia" w:ascii="宋体" w:hAnsi="宋体" w:eastAsia="宋体" w:cs="宋体"/>
                <w:color w:val="000000" w:themeColor="text1"/>
                <w:spacing w:val="-3"/>
                <w:sz w:val="24"/>
                <w:szCs w:val="24"/>
                <w:lang w:eastAsia="zh-CN"/>
                <w14:textFill>
                  <w14:solidFill>
                    <w14:schemeClr w14:val="tx1"/>
                  </w14:solidFill>
                </w14:textFill>
              </w:rPr>
              <w:t>。</w:t>
            </w:r>
          </w:p>
          <w:p w14:paraId="3A7ADFED">
            <w:pPr>
              <w:pStyle w:val="4"/>
              <w:numPr>
                <w:ilvl w:val="0"/>
                <w:numId w:val="0"/>
              </w:numPr>
              <w:suppressLineNumbers w:val="0"/>
              <w:bidi w:val="0"/>
              <w:spacing w:before="0" w:beforeAutospacing="0" w:after="0" w:afterAutospacing="0"/>
              <w:ind w:left="0" w:leftChars="0" w:right="0" w:rightChars="0"/>
              <w:rPr>
                <w:rFonts w:hint="default"/>
                <w:lang w:val="en-US" w:eastAsia="zh-CN"/>
              </w:rPr>
            </w:pPr>
            <w:r>
              <w:rPr>
                <w:rFonts w:hint="eastAsia"/>
                <w:lang w:val="en-US" w:eastAsia="zh-CN"/>
              </w:rPr>
              <w:t>2、运营期</w:t>
            </w:r>
          </w:p>
          <w:p w14:paraId="769548F4">
            <w:pPr>
              <w:pStyle w:val="4"/>
              <w:numPr>
                <w:ilvl w:val="0"/>
                <w:numId w:val="0"/>
              </w:numPr>
              <w:suppressLineNumbers w:val="0"/>
              <w:bidi w:val="0"/>
              <w:spacing w:before="0" w:beforeAutospacing="0" w:after="0" w:afterAutospacing="0"/>
              <w:ind w:left="0" w:leftChars="0" w:right="0" w:rightChars="0"/>
              <w:rPr>
                <w:rFonts w:hint="eastAsia"/>
                <w:lang w:val="en-US" w:eastAsia="zh-CN"/>
              </w:rPr>
            </w:pPr>
            <w:r>
              <w:rPr>
                <w:rFonts w:hint="eastAsia"/>
                <w:lang w:val="en-US" w:eastAsia="zh-CN"/>
              </w:rPr>
              <w:t>2.1</w:t>
            </w:r>
            <w:r>
              <w:rPr>
                <w:rFonts w:hint="default"/>
              </w:rPr>
              <w:t>大气</w:t>
            </w:r>
          </w:p>
          <w:p w14:paraId="286F84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12" w:firstLineChars="200"/>
              <w:textAlignment w:val="auto"/>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spacing w:val="8"/>
                <w:sz w:val="24"/>
                <w:szCs w:val="24"/>
                <w:lang w:eastAsia="zh-CN"/>
                <w14:textFill>
                  <w14:solidFill>
                    <w14:schemeClr w14:val="tx1"/>
                  </w14:solidFill>
                </w14:textFill>
              </w:rPr>
              <w:t>颗粒物、</w:t>
            </w:r>
            <w:r>
              <w:rPr>
                <w:rFonts w:hint="default" w:ascii="宋体" w:hAnsi="宋体" w:eastAsia="宋体" w:cs="宋体"/>
                <w:color w:val="000000" w:themeColor="text1"/>
                <w:spacing w:val="8"/>
                <w:sz w:val="24"/>
                <w:szCs w:val="24"/>
                <w14:textFill>
                  <w14:solidFill>
                    <w14:schemeClr w14:val="tx1"/>
                  </w14:solidFill>
                </w14:textFill>
              </w:rPr>
              <w:t>非甲烷总烃有组织执行《大气污染物综合</w:t>
            </w:r>
            <w:r>
              <w:rPr>
                <w:rFonts w:hint="default" w:ascii="宋体" w:hAnsi="宋体" w:eastAsia="宋体" w:cs="宋体"/>
                <w:color w:val="000000" w:themeColor="text1"/>
                <w:spacing w:val="-3"/>
                <w:sz w:val="24"/>
                <w:szCs w:val="24"/>
                <w14:textFill>
                  <w14:solidFill>
                    <w14:schemeClr w14:val="tx1"/>
                  </w14:solidFill>
                </w14:textFill>
              </w:rPr>
              <w:t>排放标准》</w:t>
            </w:r>
            <w:r>
              <w:rPr>
                <w:rFonts w:hint="eastAsia" w:ascii="宋体" w:hAnsi="宋体" w:cs="宋体"/>
                <w:color w:val="000000" w:themeColor="text1"/>
                <w:spacing w:val="-3"/>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pacing w:val="-3"/>
                <w:sz w:val="24"/>
                <w:szCs w:val="24"/>
                <w14:textFill>
                  <w14:solidFill>
                    <w14:schemeClr w14:val="tx1"/>
                  </w14:solidFill>
                </w14:textFill>
              </w:rPr>
              <w:t>GB16297- 1996</w:t>
            </w:r>
            <w:r>
              <w:rPr>
                <w:rFonts w:hint="eastAsia" w:ascii="宋体" w:hAnsi="宋体" w:cs="宋体"/>
                <w:color w:val="000000" w:themeColor="text1"/>
                <w:spacing w:val="-3"/>
                <w:sz w:val="24"/>
                <w:szCs w:val="24"/>
                <w:lang w:eastAsia="zh-CN"/>
                <w14:textFill>
                  <w14:solidFill>
                    <w14:schemeClr w14:val="tx1"/>
                  </w14:solidFill>
                </w14:textFill>
              </w:rPr>
              <w:t>）</w:t>
            </w:r>
            <w:r>
              <w:rPr>
                <w:rFonts w:hint="default" w:ascii="宋体" w:hAnsi="宋体" w:eastAsia="宋体" w:cs="宋体"/>
                <w:color w:val="000000" w:themeColor="text1"/>
                <w:spacing w:val="-3"/>
                <w:sz w:val="24"/>
                <w:szCs w:val="24"/>
                <w14:textFill>
                  <w14:solidFill>
                    <w14:schemeClr w14:val="tx1"/>
                  </w14:solidFill>
                </w14:textFill>
              </w:rPr>
              <w:t>表</w:t>
            </w:r>
            <w:r>
              <w:rPr>
                <w:rFonts w:hint="default" w:ascii="Times New Roman" w:hAnsi="Times New Roman" w:eastAsia="Times New Roman" w:cs="Times New Roman"/>
                <w:color w:val="000000" w:themeColor="text1"/>
                <w:spacing w:val="-3"/>
                <w:sz w:val="24"/>
                <w:szCs w:val="24"/>
                <w14:textFill>
                  <w14:solidFill>
                    <w14:schemeClr w14:val="tx1"/>
                  </w14:solidFill>
                </w14:textFill>
              </w:rPr>
              <w:t>2</w:t>
            </w:r>
            <w:r>
              <w:rPr>
                <w:rFonts w:hint="default" w:ascii="宋体" w:hAnsi="宋体" w:eastAsia="宋体" w:cs="宋体"/>
                <w:color w:val="000000" w:themeColor="text1"/>
                <w:spacing w:val="-3"/>
                <w:sz w:val="24"/>
                <w:szCs w:val="24"/>
                <w14:textFill>
                  <w14:solidFill>
                    <w14:schemeClr w14:val="tx1"/>
                  </w14:solidFill>
                </w14:textFill>
              </w:rPr>
              <w:t>中二级标准要求</w:t>
            </w:r>
            <w:r>
              <w:rPr>
                <w:rFonts w:hint="eastAsia" w:ascii="宋体" w:hAnsi="宋体" w:eastAsia="宋体" w:cs="宋体"/>
                <w:color w:val="000000" w:themeColor="text1"/>
                <w:spacing w:val="2"/>
                <w:sz w:val="24"/>
                <w:szCs w:val="24"/>
                <w:lang w:eastAsia="zh-CN"/>
                <w14:textFill>
                  <w14:solidFill>
                    <w14:schemeClr w14:val="tx1"/>
                  </w14:solidFill>
                </w14:textFill>
              </w:rPr>
              <w:t>；</w:t>
            </w:r>
            <w:r>
              <w:rPr>
                <w:rFonts w:hint="default" w:ascii="宋体" w:hAnsi="宋体" w:eastAsia="宋体" w:cs="宋体"/>
                <w:color w:val="000000" w:themeColor="text1"/>
                <w:spacing w:val="2"/>
                <w:sz w:val="24"/>
                <w:szCs w:val="24"/>
                <w14:textFill>
                  <w14:solidFill>
                    <w14:schemeClr w14:val="tx1"/>
                  </w14:solidFill>
                </w14:textFill>
              </w:rPr>
              <w:t>厂界非甲烷总烃、</w:t>
            </w:r>
            <w:r>
              <w:rPr>
                <w:rFonts w:hint="eastAsia" w:ascii="宋体" w:hAnsi="宋体" w:eastAsia="宋体" w:cs="宋体"/>
                <w:color w:val="000000" w:themeColor="text1"/>
                <w:spacing w:val="2"/>
                <w:sz w:val="24"/>
                <w:szCs w:val="24"/>
                <w:lang w:eastAsia="zh-CN"/>
                <w14:textFill>
                  <w14:solidFill>
                    <w14:schemeClr w14:val="tx1"/>
                  </w14:solidFill>
                </w14:textFill>
              </w:rPr>
              <w:t>颗粒物</w:t>
            </w:r>
            <w:r>
              <w:rPr>
                <w:rFonts w:hint="default" w:ascii="宋体" w:hAnsi="宋体" w:eastAsia="宋体" w:cs="宋体"/>
                <w:color w:val="000000" w:themeColor="text1"/>
                <w:spacing w:val="2"/>
                <w:sz w:val="24"/>
                <w:szCs w:val="24"/>
                <w14:textFill>
                  <w14:solidFill>
                    <w14:schemeClr w14:val="tx1"/>
                  </w14:solidFill>
                </w14:textFill>
              </w:rPr>
              <w:t>无组织排放浓度执行《大</w:t>
            </w:r>
            <w:r>
              <w:rPr>
                <w:rFonts w:hint="default" w:ascii="宋体" w:hAnsi="宋体" w:eastAsia="宋体" w:cs="宋体"/>
                <w:color w:val="000000" w:themeColor="text1"/>
                <w:spacing w:val="5"/>
                <w:sz w:val="24"/>
                <w:szCs w:val="24"/>
                <w14:textFill>
                  <w14:solidFill>
                    <w14:schemeClr w14:val="tx1"/>
                  </w14:solidFill>
                </w14:textFill>
              </w:rPr>
              <w:t>气污染物综合排放标准》</w:t>
            </w:r>
            <w:r>
              <w:rPr>
                <w:rFonts w:hint="eastAsia" w:ascii="宋体" w:hAnsi="宋体" w:cs="宋体"/>
                <w:color w:val="000000" w:themeColor="text1"/>
                <w:spacing w:val="5"/>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GB</w:t>
            </w:r>
            <w:r>
              <w:rPr>
                <w:rFonts w:hint="default" w:ascii="Times New Roman" w:hAnsi="Times New Roman" w:eastAsia="Times New Roman" w:cs="Times New Roman"/>
                <w:color w:val="000000" w:themeColor="text1"/>
                <w:spacing w:val="5"/>
                <w:sz w:val="24"/>
                <w:szCs w:val="24"/>
                <w14:textFill>
                  <w14:solidFill>
                    <w14:schemeClr w14:val="tx1"/>
                  </w14:solidFill>
                </w14:textFill>
              </w:rPr>
              <w:t>16297- 1996</w:t>
            </w:r>
            <w:r>
              <w:rPr>
                <w:rFonts w:hint="eastAsia" w:ascii="宋体" w:hAnsi="宋体" w:cs="宋体"/>
                <w:color w:val="000000" w:themeColor="text1"/>
                <w:spacing w:val="5"/>
                <w:sz w:val="24"/>
                <w:szCs w:val="24"/>
                <w:lang w:eastAsia="zh-CN"/>
                <w14:textFill>
                  <w14:solidFill>
                    <w14:schemeClr w14:val="tx1"/>
                  </w14:solidFill>
                </w14:textFill>
              </w:rPr>
              <w:t>）</w:t>
            </w:r>
            <w:r>
              <w:rPr>
                <w:rFonts w:hint="default" w:ascii="宋体" w:hAnsi="宋体" w:eastAsia="宋体" w:cs="宋体"/>
                <w:color w:val="000000" w:themeColor="text1"/>
                <w:spacing w:val="5"/>
                <w:sz w:val="24"/>
                <w:szCs w:val="24"/>
                <w14:textFill>
                  <w14:solidFill>
                    <w14:schemeClr w14:val="tx1"/>
                  </w14:solidFill>
                </w14:textFill>
              </w:rPr>
              <w:t>表</w:t>
            </w:r>
            <w:r>
              <w:rPr>
                <w:rFonts w:hint="default" w:ascii="Times New Roman" w:hAnsi="Times New Roman" w:eastAsia="Times New Roman" w:cs="Times New Roman"/>
                <w:color w:val="000000" w:themeColor="text1"/>
                <w:spacing w:val="5"/>
                <w:sz w:val="24"/>
                <w:szCs w:val="24"/>
                <w14:textFill>
                  <w14:solidFill>
                    <w14:schemeClr w14:val="tx1"/>
                  </w14:solidFill>
                </w14:textFill>
              </w:rPr>
              <w:t>2</w:t>
            </w:r>
            <w:r>
              <w:rPr>
                <w:rFonts w:hint="default" w:ascii="宋体" w:hAnsi="宋体" w:eastAsia="宋体" w:cs="宋体"/>
                <w:color w:val="000000" w:themeColor="text1"/>
                <w:spacing w:val="5"/>
                <w:sz w:val="24"/>
                <w:szCs w:val="24"/>
                <w14:textFill>
                  <w14:solidFill>
                    <w14:schemeClr w14:val="tx1"/>
                  </w14:solidFill>
                </w14:textFill>
              </w:rPr>
              <w:t>中无组织排放监控浓度限值要</w:t>
            </w:r>
            <w:r>
              <w:rPr>
                <w:rFonts w:hint="default" w:ascii="宋体" w:hAnsi="宋体" w:eastAsia="宋体" w:cs="宋体"/>
                <w:color w:val="000000" w:themeColor="text1"/>
                <w:spacing w:val="8"/>
                <w:sz w:val="24"/>
                <w:szCs w:val="24"/>
                <w14:textFill>
                  <w14:solidFill>
                    <w14:schemeClr w14:val="tx1"/>
                  </w14:solidFill>
                </w14:textFill>
              </w:rPr>
              <w:t>求</w:t>
            </w:r>
            <w:r>
              <w:rPr>
                <w:rFonts w:hint="default" w:ascii="宋体" w:hAnsi="宋体" w:eastAsia="宋体" w:cs="宋体"/>
                <w:color w:val="000000" w:themeColor="text1"/>
                <w:spacing w:val="4"/>
                <w:sz w:val="24"/>
                <w:szCs w:val="24"/>
                <w14:textFill>
                  <w14:solidFill>
                    <w14:schemeClr w14:val="tx1"/>
                  </w14:solidFill>
                </w14:textFill>
              </w:rPr>
              <w:t>；</w:t>
            </w:r>
            <w:r>
              <w:rPr>
                <w:rFonts w:hint="eastAsia" w:ascii="宋体" w:hAnsi="宋体" w:eastAsia="宋体" w:cs="宋体"/>
                <w:color w:val="000000" w:themeColor="text1"/>
                <w:spacing w:val="4"/>
                <w:sz w:val="24"/>
                <w:szCs w:val="24"/>
                <w:lang w:eastAsia="zh-CN"/>
                <w14:textFill>
                  <w14:solidFill>
                    <w14:schemeClr w14:val="tx1"/>
                  </w14:solidFill>
                </w14:textFill>
              </w:rPr>
              <w:t>车间外</w:t>
            </w:r>
            <w:r>
              <w:rPr>
                <w:rFonts w:hint="default" w:ascii="宋体" w:hAnsi="宋体" w:eastAsia="宋体" w:cs="宋体"/>
                <w:color w:val="000000" w:themeColor="text1"/>
                <w:spacing w:val="4"/>
                <w:sz w:val="24"/>
                <w:szCs w:val="24"/>
                <w14:textFill>
                  <w14:solidFill>
                    <w14:schemeClr w14:val="tx1"/>
                  </w14:solidFill>
                </w14:textFill>
              </w:rPr>
              <w:t>非甲烷总烃排放浓度执行</w:t>
            </w:r>
            <w:r>
              <w:rPr>
                <w:rFonts w:hint="default" w:ascii="宋体" w:hAnsi="宋体" w:eastAsia="宋体" w:cs="宋体"/>
                <w:color w:val="000000" w:themeColor="text1"/>
                <w:spacing w:val="2"/>
                <w:sz w:val="24"/>
                <w:szCs w:val="24"/>
                <w14:textFill>
                  <w14:solidFill>
                    <w14:schemeClr w14:val="tx1"/>
                  </w14:solidFill>
                </w14:textFill>
              </w:rPr>
              <w:t>《挥发性有机物无组织排放控制标准</w:t>
            </w:r>
            <w:r>
              <w:rPr>
                <w:rFonts w:hint="default" w:ascii="宋体" w:hAnsi="宋体" w:eastAsia="宋体" w:cs="宋体"/>
                <w:color w:val="000000" w:themeColor="text1"/>
                <w:spacing w:val="1"/>
                <w:sz w:val="24"/>
                <w:szCs w:val="24"/>
                <w14:textFill>
                  <w14:solidFill>
                    <w14:schemeClr w14:val="tx1"/>
                  </w14:solidFill>
                </w14:textFill>
              </w:rPr>
              <w:t>》</w:t>
            </w:r>
            <w:r>
              <w:rPr>
                <w:rFonts w:hint="eastAsia" w:ascii="宋体" w:hAnsi="宋体" w:cs="宋体"/>
                <w:color w:val="000000" w:themeColor="text1"/>
                <w:spacing w:val="1"/>
                <w:sz w:val="24"/>
                <w:szCs w:val="24"/>
                <w:lang w:eastAsia="zh-CN"/>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GB</w:t>
            </w:r>
            <w:r>
              <w:rPr>
                <w:rFonts w:hint="default" w:ascii="Times New Roman" w:hAnsi="Times New Roman" w:eastAsia="Times New Roman" w:cs="Times New Roman"/>
                <w:color w:val="000000" w:themeColor="text1"/>
                <w:spacing w:val="1"/>
                <w:sz w:val="24"/>
                <w:szCs w:val="24"/>
                <w14:textFill>
                  <w14:solidFill>
                    <w14:schemeClr w14:val="tx1"/>
                  </w14:solidFill>
                </w14:textFill>
              </w:rPr>
              <w:t xml:space="preserve"> 37822-2019</w:t>
            </w:r>
            <w:r>
              <w:rPr>
                <w:rFonts w:hint="eastAsia" w:ascii="宋体" w:hAnsi="宋体" w:cs="宋体"/>
                <w:color w:val="000000" w:themeColor="text1"/>
                <w:spacing w:val="1"/>
                <w:sz w:val="24"/>
                <w:szCs w:val="24"/>
                <w:lang w:eastAsia="zh-CN"/>
                <w14:textFill>
                  <w14:solidFill>
                    <w14:schemeClr w14:val="tx1"/>
                  </w14:solidFill>
                </w14:textFill>
              </w:rPr>
              <w:t>）</w:t>
            </w:r>
            <w:r>
              <w:rPr>
                <w:rFonts w:hint="default" w:ascii="宋体" w:hAnsi="宋体" w:eastAsia="宋体" w:cs="宋体"/>
                <w:color w:val="000000" w:themeColor="text1"/>
                <w:spacing w:val="1"/>
                <w:sz w:val="24"/>
                <w:szCs w:val="24"/>
                <w14:textFill>
                  <w14:solidFill>
                    <w14:schemeClr w14:val="tx1"/>
                  </w14:solidFill>
                </w14:textFill>
              </w:rPr>
              <w:t>中表</w:t>
            </w:r>
            <w:r>
              <w:rPr>
                <w:rFonts w:hint="default" w:ascii="Times New Roman" w:hAnsi="Times New Roman" w:eastAsia="Times New Roman" w:cs="Times New Roman"/>
                <w:color w:val="000000" w:themeColor="text1"/>
                <w:sz w:val="24"/>
                <w:szCs w:val="24"/>
                <w14:textFill>
                  <w14:solidFill>
                    <w14:schemeClr w14:val="tx1"/>
                  </w14:solidFill>
                </w14:textFill>
              </w:rPr>
              <w:t>A</w:t>
            </w:r>
            <w:r>
              <w:rPr>
                <w:rFonts w:hint="default" w:ascii="Times New Roman" w:hAnsi="Times New Roman" w:eastAsia="Times New Roman" w:cs="Times New Roman"/>
                <w:color w:val="000000" w:themeColor="text1"/>
                <w:spacing w:val="1"/>
                <w:sz w:val="24"/>
                <w:szCs w:val="24"/>
                <w14:textFill>
                  <w14:solidFill>
                    <w14:schemeClr w14:val="tx1"/>
                  </w14:solidFill>
                </w14:textFill>
              </w:rPr>
              <w:t>. 1</w:t>
            </w:r>
            <w:r>
              <w:rPr>
                <w:rFonts w:hint="default" w:ascii="宋体" w:hAnsi="宋体" w:eastAsia="宋体" w:cs="宋体"/>
                <w:color w:val="000000" w:themeColor="text1"/>
                <w:spacing w:val="1"/>
                <w:sz w:val="24"/>
                <w:szCs w:val="24"/>
                <w14:textFill>
                  <w14:solidFill>
                    <w14:schemeClr w14:val="tx1"/>
                  </w14:solidFill>
                </w14:textFill>
              </w:rPr>
              <w:t>厂区内</w:t>
            </w:r>
            <w:r>
              <w:rPr>
                <w:rFonts w:hint="default" w:ascii="Times New Roman" w:hAnsi="Times New Roman" w:eastAsia="Times New Roman" w:cs="Times New Roman"/>
                <w:color w:val="000000" w:themeColor="text1"/>
                <w:sz w:val="24"/>
                <w:szCs w:val="24"/>
                <w14:textFill>
                  <w14:solidFill>
                    <w14:schemeClr w14:val="tx1"/>
                  </w14:solidFill>
                </w14:textFill>
              </w:rPr>
              <w:t>VOCs</w:t>
            </w:r>
            <w:r>
              <w:rPr>
                <w:rFonts w:hint="default" w:ascii="宋体" w:hAnsi="宋体" w:eastAsia="宋体" w:cs="宋体"/>
                <w:color w:val="000000" w:themeColor="text1"/>
                <w:spacing w:val="12"/>
                <w:sz w:val="24"/>
                <w:szCs w:val="24"/>
                <w14:textFill>
                  <w14:solidFill>
                    <w14:schemeClr w14:val="tx1"/>
                  </w14:solidFill>
                </w14:textFill>
              </w:rPr>
              <w:t>无组织排</w:t>
            </w:r>
            <w:r>
              <w:rPr>
                <w:rFonts w:hint="default" w:ascii="宋体" w:hAnsi="宋体" w:eastAsia="宋体" w:cs="宋体"/>
                <w:color w:val="000000" w:themeColor="text1"/>
                <w:spacing w:val="11"/>
                <w:sz w:val="24"/>
                <w:szCs w:val="24"/>
                <w14:textFill>
                  <w14:solidFill>
                    <w14:schemeClr w14:val="tx1"/>
                  </w14:solidFill>
                </w14:textFill>
              </w:rPr>
              <w:t>放</w:t>
            </w:r>
            <w:r>
              <w:rPr>
                <w:rFonts w:hint="default" w:ascii="宋体" w:hAnsi="宋体" w:eastAsia="宋体" w:cs="宋体"/>
                <w:color w:val="000000" w:themeColor="text1"/>
                <w:spacing w:val="6"/>
                <w:sz w:val="24"/>
                <w:szCs w:val="24"/>
                <w14:textFill>
                  <w14:solidFill>
                    <w14:schemeClr w14:val="tx1"/>
                  </w14:solidFill>
                </w14:textFill>
              </w:rPr>
              <w:t>限值中特别排放限值</w:t>
            </w:r>
            <w:r>
              <w:rPr>
                <w:rFonts w:hint="eastAsia" w:ascii="宋体" w:hAnsi="宋体" w:eastAsia="宋体" w:cs="宋体"/>
                <w:color w:val="000000" w:themeColor="text1"/>
                <w:spacing w:val="6"/>
                <w:sz w:val="24"/>
                <w:szCs w:val="24"/>
                <w:lang w:eastAsia="zh-CN"/>
                <w14:textFill>
                  <w14:solidFill>
                    <w14:schemeClr w14:val="tx1"/>
                  </w14:solidFill>
                </w14:textFill>
              </w:rPr>
              <w:t>。</w:t>
            </w:r>
          </w:p>
          <w:p w14:paraId="7524FCD6">
            <w:pPr>
              <w:pStyle w:val="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w:t>
            </w:r>
            <w:r>
              <w:rPr>
                <w:rFonts w:hint="eastAsia" w:cs="Times New Roman"/>
                <w:b/>
                <w:bCs/>
                <w:color w:val="000000" w:themeColor="text1"/>
                <w:kern w:val="2"/>
                <w:sz w:val="21"/>
                <w:szCs w:val="21"/>
                <w:lang w:val="en-US" w:eastAsia="zh-CN" w:bidi="ar-SA"/>
                <w14:textFill>
                  <w14:solidFill>
                    <w14:schemeClr w14:val="tx1"/>
                  </w14:solidFill>
                </w14:textFill>
              </w:rPr>
              <w:t>3-6</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eastAsia" w:cs="Times New Roman"/>
                <w:b/>
                <w:bCs/>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新污染源大气污染物排放限值     </w:t>
            </w:r>
            <w:r>
              <w:rPr>
                <w:rFonts w:hint="eastAsia" w:cs="Times New Roman"/>
                <w:b/>
                <w:bCs/>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单位mg/m</w:t>
            </w:r>
            <w:r>
              <w:rPr>
                <w:rFonts w:hint="eastAsia" w:ascii="Times New Roman" w:hAnsi="Times New Roman" w:eastAsia="宋体" w:cs="Times New Roman"/>
                <w:b/>
                <w:bCs/>
                <w:color w:val="000000" w:themeColor="text1"/>
                <w:kern w:val="2"/>
                <w:sz w:val="21"/>
                <w:szCs w:val="21"/>
                <w:vertAlign w:val="superscript"/>
                <w:lang w:val="en-US" w:eastAsia="zh-CN" w:bidi="ar-SA"/>
                <w14:textFill>
                  <w14:solidFill>
                    <w14:schemeClr w14:val="tx1"/>
                  </w14:solidFill>
                </w14:textFill>
              </w:rPr>
              <w:t>3</w:t>
            </w:r>
          </w:p>
          <w:tbl>
            <w:tblPr>
              <w:tblStyle w:val="30"/>
              <w:tblW w:w="8258" w:type="dxa"/>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1"/>
              <w:gridCol w:w="1340"/>
              <w:gridCol w:w="1572"/>
              <w:gridCol w:w="1499"/>
              <w:gridCol w:w="1388"/>
            </w:tblGrid>
            <w:tr w14:paraId="53E5A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778" w:type="dxa"/>
                  <w:vMerge w:val="restart"/>
                  <w:tcBorders>
                    <w:tl2br w:val="nil"/>
                    <w:tr2bl w:val="nil"/>
                  </w:tcBorders>
                  <w:noWrap w:val="0"/>
                  <w:vAlign w:val="center"/>
                </w:tcPr>
                <w:p w14:paraId="0DA05BF4">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污染物</w:t>
                  </w:r>
                </w:p>
              </w:tc>
              <w:tc>
                <w:tcPr>
                  <w:tcW w:w="3021" w:type="dxa"/>
                  <w:gridSpan w:val="2"/>
                  <w:tcBorders>
                    <w:tl2br w:val="nil"/>
                    <w:tr2bl w:val="nil"/>
                  </w:tcBorders>
                  <w:noWrap w:val="0"/>
                  <w:vAlign w:val="center"/>
                </w:tcPr>
                <w:p w14:paraId="377F847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无组织排放监控浓度限值</w:t>
                  </w:r>
                </w:p>
              </w:tc>
              <w:tc>
                <w:tcPr>
                  <w:tcW w:w="4459" w:type="dxa"/>
                  <w:gridSpan w:val="3"/>
                  <w:tcBorders>
                    <w:tl2br w:val="nil"/>
                    <w:tr2bl w:val="nil"/>
                  </w:tcBorders>
                  <w:noWrap w:val="0"/>
                  <w:vAlign w:val="center"/>
                </w:tcPr>
                <w:p w14:paraId="29059F5E">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有组织排放标准</w:t>
                  </w:r>
                </w:p>
              </w:tc>
            </w:tr>
            <w:tr w14:paraId="6B204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778" w:type="dxa"/>
                  <w:vMerge w:val="continue"/>
                  <w:tcBorders>
                    <w:tl2br w:val="nil"/>
                    <w:tr2bl w:val="nil"/>
                  </w:tcBorders>
                  <w:noWrap w:val="0"/>
                  <w:vAlign w:val="center"/>
                </w:tcPr>
                <w:p w14:paraId="6DE048BC">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p>
              </w:tc>
              <w:tc>
                <w:tcPr>
                  <w:tcW w:w="1681" w:type="dxa"/>
                  <w:vMerge w:val="restart"/>
                  <w:tcBorders>
                    <w:tl2br w:val="nil"/>
                    <w:tr2bl w:val="nil"/>
                  </w:tcBorders>
                  <w:noWrap w:val="0"/>
                  <w:vAlign w:val="center"/>
                </w:tcPr>
                <w:p w14:paraId="590FB1D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监控点</w:t>
                  </w:r>
                </w:p>
              </w:tc>
              <w:tc>
                <w:tcPr>
                  <w:tcW w:w="1340" w:type="dxa"/>
                  <w:vMerge w:val="restart"/>
                  <w:tcBorders>
                    <w:tl2br w:val="nil"/>
                    <w:tr2bl w:val="nil"/>
                  </w:tcBorders>
                  <w:noWrap w:val="0"/>
                  <w:vAlign w:val="center"/>
                </w:tcPr>
                <w:p w14:paraId="43C5F3E0">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浓度（mg/m</w:t>
                  </w:r>
                  <w:r>
                    <w:rPr>
                      <w:rFonts w:hint="eastAsia"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w:t>
                  </w:r>
                </w:p>
              </w:tc>
              <w:tc>
                <w:tcPr>
                  <w:tcW w:w="1572" w:type="dxa"/>
                  <w:vMerge w:val="restart"/>
                  <w:tcBorders>
                    <w:tl2br w:val="nil"/>
                    <w:tr2bl w:val="nil"/>
                  </w:tcBorders>
                  <w:noWrap w:val="0"/>
                  <w:vAlign w:val="center"/>
                </w:tcPr>
                <w:p w14:paraId="48E24D9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最高允许排放浓度mg/m</w:t>
                  </w:r>
                  <w:r>
                    <w:rPr>
                      <w:rFonts w:hint="eastAsia" w:ascii="Times New Roman" w:hAnsi="Times New Roman" w:eastAsia="宋体" w:cs="Times New Roman"/>
                      <w:color w:val="000000"/>
                      <w:sz w:val="21"/>
                      <w:szCs w:val="21"/>
                      <w:vertAlign w:val="superscript"/>
                      <w:lang w:val="en-US" w:eastAsia="zh-CN"/>
                    </w:rPr>
                    <w:t>3</w:t>
                  </w:r>
                </w:p>
              </w:tc>
              <w:tc>
                <w:tcPr>
                  <w:tcW w:w="2887" w:type="dxa"/>
                  <w:gridSpan w:val="2"/>
                  <w:tcBorders>
                    <w:tl2br w:val="nil"/>
                    <w:tr2bl w:val="nil"/>
                  </w:tcBorders>
                  <w:noWrap w:val="0"/>
                  <w:vAlign w:val="center"/>
                </w:tcPr>
                <w:p w14:paraId="0597D21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二级</w:t>
                  </w:r>
                </w:p>
              </w:tc>
            </w:tr>
            <w:tr w14:paraId="201AC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778" w:type="dxa"/>
                  <w:vMerge w:val="continue"/>
                  <w:tcBorders>
                    <w:tl2br w:val="nil"/>
                    <w:tr2bl w:val="nil"/>
                  </w:tcBorders>
                  <w:noWrap w:val="0"/>
                  <w:vAlign w:val="center"/>
                </w:tcPr>
                <w:p w14:paraId="5C77E07B">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p>
              </w:tc>
              <w:tc>
                <w:tcPr>
                  <w:tcW w:w="1681" w:type="dxa"/>
                  <w:vMerge w:val="continue"/>
                  <w:tcBorders>
                    <w:tl2br w:val="nil"/>
                    <w:tr2bl w:val="nil"/>
                  </w:tcBorders>
                  <w:noWrap w:val="0"/>
                  <w:vAlign w:val="center"/>
                </w:tcPr>
                <w:p w14:paraId="07A4115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p>
              </w:tc>
              <w:tc>
                <w:tcPr>
                  <w:tcW w:w="1340" w:type="dxa"/>
                  <w:vMerge w:val="continue"/>
                  <w:tcBorders>
                    <w:tl2br w:val="nil"/>
                    <w:tr2bl w:val="nil"/>
                  </w:tcBorders>
                  <w:noWrap w:val="0"/>
                  <w:vAlign w:val="center"/>
                </w:tcPr>
                <w:p w14:paraId="41AD0C10">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p>
              </w:tc>
              <w:tc>
                <w:tcPr>
                  <w:tcW w:w="1572" w:type="dxa"/>
                  <w:vMerge w:val="continue"/>
                  <w:tcBorders>
                    <w:tl2br w:val="nil"/>
                    <w:tr2bl w:val="nil"/>
                  </w:tcBorders>
                  <w:noWrap w:val="0"/>
                  <w:vAlign w:val="center"/>
                </w:tcPr>
                <w:p w14:paraId="73872781">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p>
              </w:tc>
              <w:tc>
                <w:tcPr>
                  <w:tcW w:w="1499" w:type="dxa"/>
                  <w:tcBorders>
                    <w:tl2br w:val="nil"/>
                    <w:tr2bl w:val="nil"/>
                  </w:tcBorders>
                  <w:noWrap w:val="0"/>
                  <w:vAlign w:val="center"/>
                </w:tcPr>
                <w:p w14:paraId="07F2086D">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排气筒高度</w:t>
                  </w:r>
                </w:p>
              </w:tc>
              <w:tc>
                <w:tcPr>
                  <w:tcW w:w="1388" w:type="dxa"/>
                  <w:tcBorders>
                    <w:tl2br w:val="nil"/>
                    <w:tr2bl w:val="nil"/>
                  </w:tcBorders>
                  <w:noWrap w:val="0"/>
                  <w:vAlign w:val="center"/>
                </w:tcPr>
                <w:p w14:paraId="1E2E29BA">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最高允许排放速率kg/h</w:t>
                  </w:r>
                </w:p>
              </w:tc>
            </w:tr>
            <w:tr w14:paraId="0AB0C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778" w:type="dxa"/>
                  <w:tcBorders>
                    <w:tl2br w:val="nil"/>
                    <w:tr2bl w:val="nil"/>
                  </w:tcBorders>
                  <w:noWrap w:val="0"/>
                  <w:vAlign w:val="center"/>
                </w:tcPr>
                <w:p w14:paraId="55587910">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颗粒物</w:t>
                  </w:r>
                </w:p>
              </w:tc>
              <w:tc>
                <w:tcPr>
                  <w:tcW w:w="1681" w:type="dxa"/>
                  <w:tcBorders>
                    <w:tl2br w:val="nil"/>
                    <w:tr2bl w:val="nil"/>
                  </w:tcBorders>
                  <w:noWrap w:val="0"/>
                  <w:vAlign w:val="center"/>
                </w:tcPr>
                <w:p w14:paraId="1AC88ECF">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周界外浓度最高点</w:t>
                  </w:r>
                </w:p>
              </w:tc>
              <w:tc>
                <w:tcPr>
                  <w:tcW w:w="1340" w:type="dxa"/>
                  <w:tcBorders>
                    <w:tl2br w:val="nil"/>
                    <w:tr2bl w:val="nil"/>
                  </w:tcBorders>
                  <w:noWrap w:val="0"/>
                  <w:vAlign w:val="center"/>
                </w:tcPr>
                <w:p w14:paraId="7F23ADA8">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c>
                <w:tcPr>
                  <w:tcW w:w="1572" w:type="dxa"/>
                  <w:tcBorders>
                    <w:tl2br w:val="nil"/>
                    <w:tr2bl w:val="nil"/>
                  </w:tcBorders>
                  <w:noWrap w:val="0"/>
                  <w:vAlign w:val="center"/>
                </w:tcPr>
                <w:p w14:paraId="178C36A1">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120</w:t>
                  </w:r>
                </w:p>
              </w:tc>
              <w:tc>
                <w:tcPr>
                  <w:tcW w:w="1499" w:type="dxa"/>
                  <w:tcBorders>
                    <w:tl2br w:val="nil"/>
                    <w:tr2bl w:val="nil"/>
                  </w:tcBorders>
                  <w:noWrap w:val="0"/>
                  <w:vAlign w:val="center"/>
                </w:tcPr>
                <w:p w14:paraId="5831956C">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w:t>
                  </w:r>
                </w:p>
              </w:tc>
              <w:tc>
                <w:tcPr>
                  <w:tcW w:w="1388" w:type="dxa"/>
                  <w:tcBorders>
                    <w:tl2br w:val="nil"/>
                    <w:tr2bl w:val="nil"/>
                  </w:tcBorders>
                  <w:noWrap w:val="0"/>
                  <w:vAlign w:val="center"/>
                </w:tcPr>
                <w:p w14:paraId="33930617">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3.5</w:t>
                  </w:r>
                </w:p>
              </w:tc>
            </w:tr>
            <w:tr w14:paraId="0074B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88" w:hRule="atLeast"/>
              </w:trPr>
              <w:tc>
                <w:tcPr>
                  <w:tcW w:w="778" w:type="dxa"/>
                  <w:tcBorders>
                    <w:tl2br w:val="nil"/>
                    <w:tr2bl w:val="nil"/>
                  </w:tcBorders>
                  <w:noWrap w:val="0"/>
                  <w:vAlign w:val="center"/>
                </w:tcPr>
                <w:p w14:paraId="53980D6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1681" w:type="dxa"/>
                  <w:tcBorders>
                    <w:tl2br w:val="nil"/>
                    <w:tr2bl w:val="nil"/>
                  </w:tcBorders>
                  <w:noWrap w:val="0"/>
                  <w:vAlign w:val="center"/>
                </w:tcPr>
                <w:p w14:paraId="5A40C440">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周界外浓度最高点</w:t>
                  </w:r>
                </w:p>
              </w:tc>
              <w:tc>
                <w:tcPr>
                  <w:tcW w:w="1340" w:type="dxa"/>
                  <w:tcBorders>
                    <w:tl2br w:val="nil"/>
                    <w:tr2bl w:val="nil"/>
                  </w:tcBorders>
                  <w:noWrap w:val="0"/>
                  <w:vAlign w:val="center"/>
                </w:tcPr>
                <w:p w14:paraId="79966B14">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r>
                    <w:rPr>
                      <w:rFonts w:hint="eastAsia" w:cs="Times New Roman"/>
                      <w:color w:val="000000"/>
                      <w:sz w:val="21"/>
                      <w:szCs w:val="21"/>
                      <w:lang w:val="en-US" w:eastAsia="zh-CN"/>
                    </w:rPr>
                    <w:t>0</w:t>
                  </w:r>
                </w:p>
              </w:tc>
              <w:tc>
                <w:tcPr>
                  <w:tcW w:w="1572" w:type="dxa"/>
                  <w:tcBorders>
                    <w:tl2br w:val="nil"/>
                    <w:tr2bl w:val="nil"/>
                  </w:tcBorders>
                  <w:noWrap w:val="0"/>
                  <w:vAlign w:val="center"/>
                </w:tcPr>
                <w:p w14:paraId="4AF82FD5">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120</w:t>
                  </w:r>
                </w:p>
              </w:tc>
              <w:tc>
                <w:tcPr>
                  <w:tcW w:w="1499" w:type="dxa"/>
                  <w:tcBorders>
                    <w:tl2br w:val="nil"/>
                    <w:tr2bl w:val="nil"/>
                  </w:tcBorders>
                  <w:noWrap w:val="0"/>
                  <w:vAlign w:val="center"/>
                </w:tcPr>
                <w:p w14:paraId="0D9375C8">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1388" w:type="dxa"/>
                  <w:tcBorders>
                    <w:tl2br w:val="nil"/>
                    <w:tr2bl w:val="nil"/>
                  </w:tcBorders>
                  <w:noWrap w:val="0"/>
                  <w:vAlign w:val="center"/>
                </w:tcPr>
                <w:p w14:paraId="651EA11D">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r>
          </w:tbl>
          <w:p w14:paraId="5E485439">
            <w:pPr>
              <w:pStyle w:val="6"/>
              <w:keepNext w:val="0"/>
              <w:keepLines w:val="0"/>
              <w:suppressLineNumbers w:val="0"/>
              <w:bidi w:val="0"/>
              <w:spacing w:before="0" w:beforeAutospacing="0" w:after="0" w:afterAutospacing="0"/>
              <w:ind w:left="0" w:right="0"/>
              <w:rPr>
                <w:rFonts w:hint="default"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表</w:t>
            </w:r>
            <w:r>
              <w:rPr>
                <w:rFonts w:hint="eastAsia" w:cs="Times New Roman"/>
                <w:b/>
                <w:bCs/>
                <w:color w:val="000000" w:themeColor="text1"/>
                <w:sz w:val="21"/>
                <w:szCs w:val="21"/>
                <w:highlight w:val="none"/>
                <w:lang w:val="en-US" w:eastAsia="zh-CN"/>
                <w14:textFill>
                  <w14:solidFill>
                    <w14:schemeClr w14:val="tx1"/>
                  </w14:solidFill>
                </w14:textFill>
              </w:rPr>
              <w:t>3-7</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挥发性有机物无组织排放控制标准   </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cs="Times New Roman"/>
                <w:b/>
                <w:bCs/>
                <w:color w:val="000000" w:themeColor="text1"/>
                <w:sz w:val="21"/>
                <w:szCs w:val="21"/>
                <w:highlight w:val="none"/>
                <w:lang w:val="en-US" w:eastAsia="zh-CN"/>
                <w14:textFill>
                  <w14:solidFill>
                    <w14:schemeClr w14:val="tx1"/>
                  </w14:solidFill>
                </w14:textFill>
              </w:rPr>
              <w:t>单位：mg/m</w:t>
            </w:r>
            <w:r>
              <w:rPr>
                <w:rFonts w:hint="eastAsia" w:cs="Times New Roman"/>
                <w:b/>
                <w:bCs/>
                <w:color w:val="000000" w:themeColor="text1"/>
                <w:sz w:val="21"/>
                <w:szCs w:val="21"/>
                <w:highlight w:val="none"/>
                <w:vertAlign w:val="superscript"/>
                <w:lang w:val="en-US" w:eastAsia="zh-CN"/>
                <w14:textFill>
                  <w14:solidFill>
                    <w14:schemeClr w14:val="tx1"/>
                  </w14:solidFill>
                </w14:textFill>
              </w:rPr>
              <w:t>3</w:t>
            </w:r>
          </w:p>
          <w:tbl>
            <w:tblPr>
              <w:tblStyle w:val="31"/>
              <w:tblW w:w="0" w:type="auto"/>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824"/>
              <w:gridCol w:w="2281"/>
              <w:gridCol w:w="2053"/>
            </w:tblGrid>
            <w:tr w14:paraId="4592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2" w:type="dxa"/>
                  <w:noWrap w:val="0"/>
                  <w:vAlign w:val="center"/>
                </w:tcPr>
                <w:p w14:paraId="5B57F201">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污染物项目</w:t>
                  </w:r>
                </w:p>
              </w:tc>
              <w:tc>
                <w:tcPr>
                  <w:tcW w:w="1824" w:type="dxa"/>
                  <w:noWrap w:val="0"/>
                  <w:vAlign w:val="center"/>
                </w:tcPr>
                <w:p w14:paraId="04B27511">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排放限值</w:t>
                  </w:r>
                </w:p>
              </w:tc>
              <w:tc>
                <w:tcPr>
                  <w:tcW w:w="2281" w:type="dxa"/>
                  <w:noWrap w:val="0"/>
                  <w:vAlign w:val="center"/>
                </w:tcPr>
                <w:p w14:paraId="355A282D">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限值含义</w:t>
                  </w:r>
                </w:p>
              </w:tc>
              <w:tc>
                <w:tcPr>
                  <w:tcW w:w="2053" w:type="dxa"/>
                  <w:noWrap w:val="0"/>
                  <w:vAlign w:val="center"/>
                </w:tcPr>
                <w:p w14:paraId="6453071E">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无组织排放监控位置</w:t>
                  </w:r>
                </w:p>
              </w:tc>
            </w:tr>
            <w:tr w14:paraId="18773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2" w:type="dxa"/>
                  <w:vMerge w:val="restart"/>
                  <w:noWrap w:val="0"/>
                  <w:vAlign w:val="center"/>
                </w:tcPr>
                <w:p w14:paraId="43CB8424">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NMHC</w:t>
                  </w:r>
                </w:p>
              </w:tc>
              <w:tc>
                <w:tcPr>
                  <w:tcW w:w="1824" w:type="dxa"/>
                  <w:noWrap w:val="0"/>
                  <w:vAlign w:val="center"/>
                </w:tcPr>
                <w:p w14:paraId="40434612">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2281" w:type="dxa"/>
                  <w:noWrap w:val="0"/>
                  <w:vAlign w:val="center"/>
                </w:tcPr>
                <w:p w14:paraId="3080E42E">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监控点处1h平均浓度</w:t>
                  </w:r>
                </w:p>
              </w:tc>
              <w:tc>
                <w:tcPr>
                  <w:tcW w:w="2053" w:type="dxa"/>
                  <w:vMerge w:val="restart"/>
                  <w:noWrap w:val="0"/>
                  <w:vAlign w:val="center"/>
                </w:tcPr>
                <w:p w14:paraId="11567AE1">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在厂房外设监控点</w:t>
                  </w:r>
                </w:p>
              </w:tc>
            </w:tr>
            <w:tr w14:paraId="66C0C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12" w:type="dxa"/>
                  <w:vMerge w:val="continue"/>
                  <w:noWrap w:val="0"/>
                  <w:vAlign w:val="center"/>
                </w:tcPr>
                <w:p w14:paraId="1FCAF580">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p>
              </w:tc>
              <w:tc>
                <w:tcPr>
                  <w:tcW w:w="1824" w:type="dxa"/>
                  <w:noWrap w:val="0"/>
                  <w:vAlign w:val="center"/>
                </w:tcPr>
                <w:p w14:paraId="3DC9E00E">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w:t>
                  </w:r>
                </w:p>
              </w:tc>
              <w:tc>
                <w:tcPr>
                  <w:tcW w:w="2281" w:type="dxa"/>
                  <w:noWrap w:val="0"/>
                  <w:vAlign w:val="center"/>
                </w:tcPr>
                <w:p w14:paraId="1E6E7DD2">
                  <w:pPr>
                    <w:pStyle w:val="90"/>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监控点处任意一次浓度值</w:t>
                  </w:r>
                </w:p>
              </w:tc>
              <w:tc>
                <w:tcPr>
                  <w:tcW w:w="2053" w:type="dxa"/>
                  <w:vMerge w:val="continue"/>
                  <w:noWrap w:val="0"/>
                  <w:vAlign w:val="center"/>
                </w:tcPr>
                <w:p w14:paraId="50FA4C83">
                  <w:pPr>
                    <w:keepNext w:val="0"/>
                    <w:keepLines w:val="0"/>
                    <w:pageBreakBefore w:val="0"/>
                    <w:widowControl w:val="0"/>
                    <w:suppressLineNumbers w:val="0"/>
                    <w:tabs>
                      <w:tab w:val="left" w:leader="dot" w:pos="877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highlight w:val="none"/>
                      <w:vertAlign w:val="baseline"/>
                      <w:lang w:eastAsia="zh-CN"/>
                      <w14:textFill>
                        <w14:solidFill>
                          <w14:schemeClr w14:val="tx1"/>
                        </w14:solidFill>
                      </w14:textFill>
                    </w:rPr>
                  </w:pPr>
                </w:p>
              </w:tc>
            </w:tr>
          </w:tbl>
          <w:p w14:paraId="67148BC7">
            <w:pPr>
              <w:pStyle w:val="4"/>
              <w:suppressLineNumbers w:val="0"/>
              <w:bidi w:val="0"/>
              <w:spacing w:before="0" w:beforeAutospacing="0" w:after="0" w:afterAutospacing="0"/>
              <w:ind w:left="0" w:right="0"/>
              <w:rPr>
                <w:rFonts w:hint="default"/>
              </w:rPr>
            </w:pPr>
            <w:r>
              <w:rPr>
                <w:rFonts w:hint="eastAsia"/>
                <w:lang w:val="en-US" w:eastAsia="zh-CN"/>
              </w:rPr>
              <w:t>2.2</w:t>
            </w:r>
            <w:r>
              <w:rPr>
                <w:rFonts w:hint="default"/>
              </w:rPr>
              <w:t>噪声</w:t>
            </w:r>
          </w:p>
          <w:p w14:paraId="4413D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bCs/>
                <w:color w:val="000000"/>
                <w:kern w:val="2"/>
                <w:sz w:val="24"/>
                <w:szCs w:val="24"/>
                <w:lang w:val="en-US" w:eastAsia="zh-CN" w:bidi="ar-SA"/>
              </w:rPr>
            </w:pPr>
            <w:r>
              <w:rPr>
                <w:rFonts w:hint="default" w:ascii="Times New Roman" w:hAnsi="Times New Roman" w:eastAsia="宋体" w:cs="Times New Roman"/>
                <w:bCs/>
                <w:color w:val="000000"/>
                <w:kern w:val="0"/>
                <w:sz w:val="24"/>
                <w:szCs w:val="24"/>
                <w:lang w:eastAsia="zh-CN"/>
              </w:rPr>
              <w:t>运营期噪声执行《工业企业厂界环境噪声排放标准》（GB 12348-2008）中</w:t>
            </w:r>
            <w:r>
              <w:rPr>
                <w:rFonts w:hint="eastAsia" w:ascii="Times New Roman" w:hAnsi="Times New Roman" w:eastAsia="宋体" w:cs="Times New Roman"/>
                <w:bCs/>
                <w:color w:val="000000"/>
                <w:kern w:val="0"/>
                <w:sz w:val="24"/>
                <w:szCs w:val="24"/>
                <w:lang w:val="en-US" w:eastAsia="zh-CN"/>
              </w:rPr>
              <w:t>3</w:t>
            </w:r>
            <w:r>
              <w:rPr>
                <w:rFonts w:hint="default" w:ascii="Times New Roman" w:hAnsi="Times New Roman" w:eastAsia="宋体" w:cs="Times New Roman"/>
                <w:bCs/>
                <w:color w:val="000000"/>
                <w:kern w:val="0"/>
                <w:sz w:val="24"/>
                <w:szCs w:val="24"/>
                <w:lang w:eastAsia="zh-CN"/>
              </w:rPr>
              <w:t>类声环境功能区标准，见表</w:t>
            </w:r>
            <w:r>
              <w:rPr>
                <w:rFonts w:hint="eastAsia" w:cs="Times New Roman"/>
                <w:bCs/>
                <w:color w:val="000000"/>
                <w:kern w:val="0"/>
                <w:sz w:val="24"/>
                <w:szCs w:val="24"/>
                <w:lang w:val="en-US" w:eastAsia="zh-CN"/>
              </w:rPr>
              <w:t>3-9</w:t>
            </w:r>
            <w:r>
              <w:rPr>
                <w:rFonts w:hint="default" w:ascii="Times New Roman" w:hAnsi="Times New Roman" w:eastAsia="宋体" w:cs="Times New Roman"/>
                <w:bCs/>
                <w:color w:val="000000"/>
                <w:kern w:val="0"/>
                <w:sz w:val="24"/>
                <w:szCs w:val="24"/>
                <w:lang w:eastAsia="zh-CN"/>
              </w:rPr>
              <w:t>。</w:t>
            </w:r>
            <w:r>
              <w:rPr>
                <w:rFonts w:hint="eastAsia" w:cs="Times New Roman"/>
                <w:b/>
                <w:bCs/>
                <w:color w:val="000000"/>
                <w:kern w:val="2"/>
                <w:sz w:val="24"/>
                <w:szCs w:val="24"/>
                <w:lang w:val="en-US" w:eastAsia="zh-CN" w:bidi="ar-SA"/>
              </w:rPr>
              <w:tab/>
            </w:r>
          </w:p>
          <w:p w14:paraId="3B8234EB">
            <w:pPr>
              <w:pStyle w:val="100"/>
              <w:keepNext w:val="0"/>
              <w:keepLines w:val="0"/>
              <w:pageBreakBefore w:val="0"/>
              <w:widowControl/>
              <w:suppressLineNumbers w:val="0"/>
              <w:tabs>
                <w:tab w:val="left" w:pos="462"/>
                <w:tab w:val="clear" w:pos="8400"/>
              </w:tabs>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both"/>
              <w:textAlignment w:val="auto"/>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color w:val="000000"/>
                <w:kern w:val="2"/>
                <w:sz w:val="21"/>
                <w:szCs w:val="21"/>
                <w:lang w:val="en-US" w:eastAsia="zh-CN" w:bidi="ar-SA"/>
              </w:rPr>
              <w:t>表</w:t>
            </w:r>
            <w:r>
              <w:rPr>
                <w:rFonts w:hint="eastAsia" w:cs="Times New Roman"/>
                <w:b/>
                <w:bCs/>
                <w:color w:val="000000"/>
                <w:kern w:val="2"/>
                <w:sz w:val="21"/>
                <w:szCs w:val="21"/>
                <w:lang w:val="en-US" w:eastAsia="zh-CN" w:bidi="ar-SA"/>
              </w:rPr>
              <w:t>3-9</w:t>
            </w:r>
            <w:r>
              <w:rPr>
                <w:rFonts w:hint="default" w:ascii="Times New Roman" w:hAnsi="Times New Roman" w:eastAsia="宋体" w:cs="Times New Roman"/>
                <w:b/>
                <w:bCs/>
                <w:color w:val="000000"/>
                <w:kern w:val="2"/>
                <w:sz w:val="21"/>
                <w:szCs w:val="21"/>
                <w:lang w:val="en-US" w:eastAsia="zh-CN" w:bidi="ar-SA"/>
              </w:rPr>
              <w:t xml:space="preserve">      </w:t>
            </w:r>
            <w:r>
              <w:rPr>
                <w:rFonts w:hint="eastAsia" w:cs="Times New Roman"/>
                <w:b/>
                <w:bCs/>
                <w:color w:val="000000"/>
                <w:kern w:val="2"/>
                <w:sz w:val="21"/>
                <w:szCs w:val="21"/>
                <w:lang w:val="en-US" w:eastAsia="zh-CN" w:bidi="ar-SA"/>
              </w:rPr>
              <w:t xml:space="preserve">       </w:t>
            </w:r>
            <w:r>
              <w:rPr>
                <w:rFonts w:hint="default" w:ascii="Times New Roman" w:hAnsi="Times New Roman" w:eastAsia="宋体" w:cs="Times New Roman"/>
                <w:b/>
                <w:bCs/>
                <w:color w:val="000000"/>
                <w:kern w:val="2"/>
                <w:sz w:val="21"/>
                <w:szCs w:val="21"/>
                <w:lang w:val="en-US" w:eastAsia="zh-CN" w:bidi="ar-SA"/>
              </w:rPr>
              <w:t xml:space="preserve">工业企业厂界环境噪声排放标准  </w:t>
            </w:r>
            <w:r>
              <w:rPr>
                <w:rFonts w:hint="eastAsia" w:cs="Times New Roman"/>
                <w:b/>
                <w:bCs/>
                <w:color w:val="000000"/>
                <w:kern w:val="2"/>
                <w:sz w:val="21"/>
                <w:szCs w:val="21"/>
                <w:lang w:val="en-US" w:eastAsia="zh-CN" w:bidi="ar-SA"/>
              </w:rPr>
              <w:t xml:space="preserve">     </w:t>
            </w:r>
            <w:r>
              <w:rPr>
                <w:rFonts w:hint="default" w:ascii="Times New Roman" w:hAnsi="Times New Roman" w:eastAsia="宋体" w:cs="Times New Roman"/>
                <w:b/>
                <w:bCs/>
                <w:color w:val="000000"/>
                <w:kern w:val="2"/>
                <w:sz w:val="21"/>
                <w:szCs w:val="21"/>
                <w:lang w:val="en-US" w:eastAsia="zh-CN" w:bidi="ar-SA"/>
              </w:rPr>
              <w:t xml:space="preserve">    单位：dB（A）</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6"/>
              <w:gridCol w:w="851"/>
              <w:gridCol w:w="895"/>
              <w:gridCol w:w="3715"/>
            </w:tblGrid>
            <w:tr w14:paraId="230B2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664" w:type="pct"/>
                  <w:tcBorders>
                    <w:tl2br w:val="nil"/>
                    <w:tr2bl w:val="nil"/>
                  </w:tcBorders>
                  <w:noWrap w:val="0"/>
                  <w:vAlign w:val="center"/>
                </w:tcPr>
                <w:p w14:paraId="4D292D12">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厂界外声环境功能区类别</w:t>
                  </w:r>
                </w:p>
              </w:tc>
              <w:tc>
                <w:tcPr>
                  <w:tcW w:w="520" w:type="pct"/>
                  <w:tcBorders>
                    <w:tl2br w:val="nil"/>
                    <w:tr2bl w:val="nil"/>
                  </w:tcBorders>
                  <w:noWrap w:val="0"/>
                  <w:vAlign w:val="center"/>
                </w:tcPr>
                <w:p w14:paraId="5E16A7B3">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p>
              </w:tc>
              <w:tc>
                <w:tcPr>
                  <w:tcW w:w="546" w:type="pct"/>
                  <w:tcBorders>
                    <w:tl2br w:val="nil"/>
                    <w:tr2bl w:val="nil"/>
                  </w:tcBorders>
                  <w:noWrap w:val="0"/>
                  <w:vAlign w:val="center"/>
                </w:tcPr>
                <w:p w14:paraId="5DF1EA69">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夜间</w:t>
                  </w:r>
                </w:p>
              </w:tc>
              <w:tc>
                <w:tcPr>
                  <w:tcW w:w="2268" w:type="pct"/>
                  <w:tcBorders>
                    <w:tl2br w:val="nil"/>
                    <w:tr2bl w:val="nil"/>
                  </w:tcBorders>
                  <w:noWrap w:val="0"/>
                  <w:vAlign w:val="center"/>
                </w:tcPr>
                <w:p w14:paraId="1CAA209A">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标准来源</w:t>
                  </w:r>
                </w:p>
              </w:tc>
            </w:tr>
            <w:tr w14:paraId="640CC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64" w:type="pct"/>
                  <w:tcBorders>
                    <w:tl2br w:val="nil"/>
                    <w:tr2bl w:val="nil"/>
                  </w:tcBorders>
                  <w:noWrap w:val="0"/>
                  <w:vAlign w:val="center"/>
                </w:tcPr>
                <w:p w14:paraId="3D0A1CD8">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类</w:t>
                  </w:r>
                </w:p>
              </w:tc>
              <w:tc>
                <w:tcPr>
                  <w:tcW w:w="520" w:type="pct"/>
                  <w:tcBorders>
                    <w:tl2br w:val="nil"/>
                    <w:tr2bl w:val="nil"/>
                  </w:tcBorders>
                  <w:noWrap w:val="0"/>
                  <w:vAlign w:val="center"/>
                </w:tcPr>
                <w:p w14:paraId="427CD88C">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65</w:t>
                  </w:r>
                </w:p>
              </w:tc>
              <w:tc>
                <w:tcPr>
                  <w:tcW w:w="546" w:type="pct"/>
                  <w:tcBorders>
                    <w:tl2br w:val="nil"/>
                    <w:tr2bl w:val="nil"/>
                  </w:tcBorders>
                  <w:noWrap w:val="0"/>
                  <w:vAlign w:val="center"/>
                </w:tcPr>
                <w:p w14:paraId="1D3400FF">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55</w:t>
                  </w:r>
                </w:p>
              </w:tc>
              <w:tc>
                <w:tcPr>
                  <w:tcW w:w="2268" w:type="pct"/>
                  <w:tcBorders>
                    <w:tl2br w:val="nil"/>
                    <w:tr2bl w:val="nil"/>
                  </w:tcBorders>
                  <w:noWrap w:val="0"/>
                  <w:vAlign w:val="center"/>
                </w:tcPr>
                <w:p w14:paraId="47962A84">
                  <w:pPr>
                    <w:pStyle w:val="90"/>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《工业企业厂界环境噪声排放标准》（GB12348-2008）</w:t>
                  </w:r>
                </w:p>
              </w:tc>
            </w:tr>
          </w:tbl>
          <w:p w14:paraId="3780B629">
            <w:pPr>
              <w:pStyle w:val="4"/>
              <w:numPr>
                <w:ilvl w:val="0"/>
                <w:numId w:val="0"/>
              </w:numPr>
              <w:suppressLineNumbers w:val="0"/>
              <w:bidi w:val="0"/>
              <w:spacing w:before="0" w:beforeAutospacing="0" w:after="0" w:afterAutospacing="0"/>
              <w:ind w:left="0" w:leftChars="0" w:right="0" w:rightChars="0"/>
              <w:rPr>
                <w:rFonts w:hint="eastAsia"/>
                <w:lang w:val="en-US" w:eastAsia="zh-CN"/>
              </w:rPr>
            </w:pPr>
            <w:r>
              <w:rPr>
                <w:rFonts w:hint="eastAsia"/>
                <w:lang w:val="en-US" w:eastAsia="zh-CN"/>
              </w:rPr>
              <w:t>2.3固废</w:t>
            </w:r>
          </w:p>
          <w:p w14:paraId="4C1890C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lang w:val="en-US" w:eastAsia="zh-CN"/>
              </w:rPr>
              <w:t>一般固废</w:t>
            </w:r>
            <w:r>
              <w:rPr>
                <w:rFonts w:hint="default"/>
                <w:lang w:eastAsia="zh-CN"/>
              </w:rPr>
              <w:t>执行</w:t>
            </w:r>
            <w:r>
              <w:rPr>
                <w:rFonts w:hint="default"/>
              </w:rPr>
              <w:t>《一般工业固体废物贮存和填埋污染控制标准》（GB18599-2020）</w:t>
            </w:r>
            <w:r>
              <w:rPr>
                <w:rFonts w:hint="eastAsia"/>
                <w:lang w:eastAsia="zh-CN"/>
              </w:rPr>
              <w:t>；</w:t>
            </w:r>
            <w:r>
              <w:rPr>
                <w:rFonts w:hint="default"/>
              </w:rPr>
              <w:t>危险废物执行《危险废物贮存污染控制标准》（GB18597-</w:t>
            </w:r>
            <w:r>
              <w:rPr>
                <w:rFonts w:hint="eastAsia"/>
                <w:lang w:val="en-US" w:eastAsia="zh-CN"/>
              </w:rPr>
              <w:t>2023</w:t>
            </w:r>
            <w:r>
              <w:rPr>
                <w:rFonts w:hint="default"/>
              </w:rPr>
              <w:t>）。</w:t>
            </w:r>
          </w:p>
        </w:tc>
      </w:tr>
      <w:tr w14:paraId="2EA06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4" w:type="dxa"/>
            <w:vAlign w:val="center"/>
          </w:tcPr>
          <w:p w14:paraId="1B689528">
            <w:pPr>
              <w:pStyle w:val="11"/>
              <w:keepNext w:val="0"/>
              <w:keepLines w:val="0"/>
              <w:suppressLineNumbers w:val="0"/>
              <w:bidi w:val="0"/>
              <w:spacing w:before="0" w:beforeAutospacing="0" w:after="0" w:afterAutospacing="0"/>
              <w:ind w:left="0" w:right="0"/>
              <w:rPr>
                <w:rFonts w:hint="default"/>
              </w:rPr>
            </w:pPr>
            <w:r>
              <w:rPr>
                <w:rFonts w:hint="eastAsia" w:ascii="宋体" w:hAnsi="宋体" w:cs="宋体"/>
                <w:b/>
                <w:bCs/>
                <w:color w:val="000000" w:themeColor="text1"/>
                <w:kern w:val="0"/>
                <w:szCs w:val="28"/>
                <w14:textFill>
                  <w14:solidFill>
                    <w14:schemeClr w14:val="tx1"/>
                  </w14:solidFill>
                </w14:textFill>
              </w:rPr>
              <w:t>总</w:t>
            </w:r>
            <w:r>
              <w:rPr>
                <w:rFonts w:hint="eastAsia"/>
              </w:rPr>
              <w:t>量</w:t>
            </w:r>
          </w:p>
          <w:p w14:paraId="65D01332">
            <w:pPr>
              <w:pStyle w:val="11"/>
              <w:keepNext w:val="0"/>
              <w:keepLines w:val="0"/>
              <w:suppressLineNumbers w:val="0"/>
              <w:bidi w:val="0"/>
              <w:spacing w:before="0" w:beforeAutospacing="0" w:after="0" w:afterAutospacing="0"/>
              <w:ind w:left="0" w:right="0"/>
              <w:rPr>
                <w:rFonts w:hint="default"/>
              </w:rPr>
            </w:pPr>
            <w:r>
              <w:rPr>
                <w:rFonts w:hint="eastAsia"/>
              </w:rPr>
              <w:t>控制</w:t>
            </w:r>
          </w:p>
          <w:p w14:paraId="41CE6451">
            <w:pPr>
              <w:pStyle w:val="11"/>
              <w:keepNext w:val="0"/>
              <w:keepLines w:val="0"/>
              <w:suppressLineNumbers w:val="0"/>
              <w:bidi w:val="0"/>
              <w:spacing w:before="0" w:beforeAutospacing="0" w:after="0" w:afterAutospacing="0"/>
              <w:ind w:left="0" w:right="0"/>
              <w:rPr>
                <w:rFonts w:hint="default" w:ascii="宋体" w:hAnsi="宋体" w:cs="宋体"/>
                <w:color w:val="000000" w:themeColor="text1"/>
                <w:kern w:val="0"/>
                <w:szCs w:val="21"/>
                <w14:textFill>
                  <w14:solidFill>
                    <w14:schemeClr w14:val="tx1"/>
                  </w14:solidFill>
                </w14:textFill>
              </w:rPr>
            </w:pPr>
            <w:r>
              <w:rPr>
                <w:rFonts w:hint="eastAsia"/>
              </w:rPr>
              <w:t>指标</w:t>
            </w:r>
          </w:p>
        </w:tc>
        <w:tc>
          <w:tcPr>
            <w:tcW w:w="8406" w:type="dxa"/>
            <w:vAlign w:val="center"/>
          </w:tcPr>
          <w:p w14:paraId="332BE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lang w:val="en-US" w:eastAsia="zh-CN"/>
              </w:rPr>
            </w:pPr>
            <w:r>
              <w:rPr>
                <w:rFonts w:hint="eastAsia"/>
                <w:lang w:val="en-US" w:eastAsia="zh-CN"/>
              </w:rPr>
              <w:t>本项目总量控制指标为VOCs（</w:t>
            </w:r>
            <w:r>
              <w:rPr>
                <w:rFonts w:hint="default"/>
                <w:lang w:val="en-US" w:eastAsia="zh-CN"/>
              </w:rPr>
              <w:t>以非甲烷总烃计</w:t>
            </w:r>
            <w:r>
              <w:rPr>
                <w:rFonts w:hint="eastAsia"/>
                <w:lang w:val="en-US" w:eastAsia="zh-CN"/>
              </w:rPr>
              <w:t>）：0.009t/a。</w:t>
            </w:r>
          </w:p>
          <w:p w14:paraId="769B0F1A">
            <w:pPr>
              <w:keepNext w:val="0"/>
              <w:keepLines w:val="0"/>
              <w:suppressLineNumbers w:val="0"/>
              <w:spacing w:before="0" w:beforeAutospacing="0" w:after="0" w:afterAutospacing="0"/>
              <w:ind w:left="0" w:leftChars="0" w:right="0" w:firstLine="0" w:firstLineChars="0"/>
              <w:rPr>
                <w:rFonts w:hint="default"/>
                <w:lang w:val="en-US" w:eastAsia="zh-CN"/>
              </w:rPr>
            </w:pPr>
          </w:p>
          <w:p w14:paraId="6F5C5653">
            <w:pPr>
              <w:pStyle w:val="2"/>
              <w:keepNext w:val="0"/>
              <w:keepLines w:val="0"/>
              <w:suppressLineNumbers w:val="0"/>
              <w:spacing w:before="0" w:beforeAutospacing="0" w:after="0" w:afterAutospacing="0"/>
              <w:ind w:left="0" w:right="0"/>
              <w:rPr>
                <w:rFonts w:hint="eastAsia"/>
                <w:lang w:val="en-US" w:eastAsia="zh-CN"/>
              </w:rPr>
            </w:pPr>
          </w:p>
          <w:p w14:paraId="6AB4C9AC">
            <w:pPr>
              <w:pStyle w:val="46"/>
              <w:keepNext w:val="0"/>
              <w:keepLines w:val="0"/>
              <w:suppressLineNumbers w:val="0"/>
              <w:spacing w:before="0" w:beforeAutospacing="0" w:after="0" w:afterAutospacing="0"/>
              <w:ind w:left="0" w:leftChars="0" w:right="0" w:firstLine="0" w:firstLineChars="0"/>
              <w:rPr>
                <w:rFonts w:hint="default"/>
              </w:rPr>
            </w:pPr>
          </w:p>
          <w:p w14:paraId="4FDCF645">
            <w:pPr>
              <w:keepNext w:val="0"/>
              <w:keepLines w:val="0"/>
              <w:suppressLineNumbers w:val="0"/>
              <w:spacing w:before="0" w:beforeAutospacing="0" w:after="0" w:afterAutospacing="0"/>
              <w:ind w:left="0" w:right="0"/>
              <w:rPr>
                <w:rFonts w:hint="default"/>
              </w:rPr>
            </w:pPr>
          </w:p>
          <w:p w14:paraId="7994E15D">
            <w:pPr>
              <w:pStyle w:val="12"/>
              <w:keepNext w:val="0"/>
              <w:keepLines w:val="0"/>
              <w:suppressLineNumbers w:val="0"/>
              <w:spacing w:before="0" w:beforeAutospacing="0" w:after="0" w:afterAutospacing="0"/>
              <w:ind w:left="0"/>
              <w:rPr>
                <w:rFonts w:hint="default"/>
              </w:rPr>
            </w:pPr>
          </w:p>
          <w:p w14:paraId="1D8212DB">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default"/>
              </w:rPr>
            </w:pPr>
          </w:p>
          <w:p w14:paraId="7E3B3F9D">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default"/>
              </w:rPr>
            </w:pPr>
          </w:p>
          <w:p w14:paraId="20DC227E">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default"/>
              </w:rPr>
            </w:pPr>
          </w:p>
          <w:p w14:paraId="2AE3C755">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default"/>
              </w:rPr>
            </w:pPr>
          </w:p>
          <w:p w14:paraId="6DC36BA3">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default"/>
              </w:rPr>
            </w:pPr>
          </w:p>
          <w:p w14:paraId="2B52D544">
            <w:pPr>
              <w:pStyle w:val="16"/>
              <w:keepNext w:val="0"/>
              <w:keepLines w:val="0"/>
              <w:numPr>
                <w:ilvl w:val="0"/>
                <w:numId w:val="0"/>
              </w:numPr>
              <w:suppressLineNumbers w:val="0"/>
              <w:spacing w:before="0" w:beforeAutospacing="0" w:after="0" w:afterAutospacing="0"/>
              <w:ind w:left="0" w:right="0"/>
              <w:rPr>
                <w:rFonts w:hint="default"/>
              </w:rPr>
            </w:pPr>
          </w:p>
        </w:tc>
      </w:tr>
    </w:tbl>
    <w:p w14:paraId="3DC7DDFC">
      <w:pPr>
        <w:pStyle w:val="3"/>
        <w:bidi w:val="0"/>
        <w:ind w:left="0" w:leftChars="0" w:firstLine="0" w:firstLineChars="0"/>
        <w:jc w:val="center"/>
        <w:rPr>
          <w:rFonts w:ascii="黑体" w:hAnsi="黑体" w:eastAsia="黑体"/>
          <w:snapToGrid w:val="0"/>
          <w:color w:val="000000" w:themeColor="text1"/>
          <w:szCs w:val="30"/>
          <w14:textFill>
            <w14:solidFill>
              <w14:schemeClr w14:val="tx1"/>
            </w14:solidFill>
          </w14:textFill>
        </w:rPr>
      </w:pPr>
      <w:r>
        <w:rPr>
          <w:rFonts w:ascii="黑体" w:hAnsi="黑体" w:eastAsia="黑体"/>
          <w:snapToGrid w:val="0"/>
          <w:color w:val="000000" w:themeColor="text1"/>
          <w:szCs w:val="36"/>
          <w14:textFill>
            <w14:solidFill>
              <w14:schemeClr w14:val="tx1"/>
            </w14:solidFill>
          </w14:textFill>
        </w:rPr>
        <w:br w:type="page"/>
      </w:r>
      <w:r>
        <w:rPr>
          <w:rFonts w:hint="eastAsia"/>
        </w:rPr>
        <w:t>四、主要环境影响和保护措施</w:t>
      </w:r>
    </w:p>
    <w:tbl>
      <w:tblPr>
        <w:tblStyle w:val="30"/>
        <w:tblW w:w="50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517"/>
      </w:tblGrid>
      <w:tr w14:paraId="5CFAC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41" w:type="pct"/>
            <w:tcMar>
              <w:left w:w="28" w:type="dxa"/>
              <w:right w:w="28" w:type="dxa"/>
            </w:tcMar>
            <w:vAlign w:val="center"/>
          </w:tcPr>
          <w:p w14:paraId="05C46474">
            <w:pPr>
              <w:pStyle w:val="11"/>
              <w:keepNext w:val="0"/>
              <w:keepLines w:val="0"/>
              <w:suppressLineNumbers w:val="0"/>
              <w:bidi w:val="0"/>
              <w:spacing w:before="0" w:beforeAutospacing="0" w:after="0" w:afterAutospacing="0"/>
              <w:ind w:left="0" w:right="0"/>
              <w:rPr>
                <w:rFonts w:hint="default"/>
              </w:rPr>
            </w:pPr>
            <w:r>
              <w:rPr>
                <w:rFonts w:hint="eastAsia" w:cs="宋体"/>
                <w:b/>
                <w:bCs/>
                <w:color w:val="000000" w:themeColor="text1"/>
                <w:kern w:val="2"/>
                <w:szCs w:val="28"/>
                <w14:textFill>
                  <w14:solidFill>
                    <w14:schemeClr w14:val="tx1"/>
                  </w14:solidFill>
                </w14:textFill>
              </w:rPr>
              <w:t>施</w:t>
            </w:r>
            <w:r>
              <w:rPr>
                <w:rFonts w:hint="eastAsia"/>
              </w:rPr>
              <w:t>工</w:t>
            </w:r>
          </w:p>
          <w:p w14:paraId="56D93E56">
            <w:pPr>
              <w:pStyle w:val="11"/>
              <w:keepNext w:val="0"/>
              <w:keepLines w:val="0"/>
              <w:suppressLineNumbers w:val="0"/>
              <w:bidi w:val="0"/>
              <w:spacing w:before="0" w:beforeAutospacing="0" w:after="0" w:afterAutospacing="0"/>
              <w:ind w:left="0" w:right="0"/>
              <w:rPr>
                <w:rFonts w:hint="default"/>
              </w:rPr>
            </w:pPr>
            <w:r>
              <w:rPr>
                <w:rFonts w:hint="eastAsia"/>
              </w:rPr>
              <w:t>期环</w:t>
            </w:r>
          </w:p>
          <w:p w14:paraId="2C7CB2F4">
            <w:pPr>
              <w:pStyle w:val="11"/>
              <w:keepNext w:val="0"/>
              <w:keepLines w:val="0"/>
              <w:suppressLineNumbers w:val="0"/>
              <w:bidi w:val="0"/>
              <w:spacing w:before="0" w:beforeAutospacing="0" w:after="0" w:afterAutospacing="0"/>
              <w:ind w:left="0" w:right="0"/>
              <w:rPr>
                <w:rFonts w:hint="default"/>
              </w:rPr>
            </w:pPr>
            <w:r>
              <w:rPr>
                <w:rFonts w:hint="eastAsia"/>
              </w:rPr>
              <w:t>境保</w:t>
            </w:r>
          </w:p>
          <w:p w14:paraId="1087C30D">
            <w:pPr>
              <w:pStyle w:val="11"/>
              <w:keepNext w:val="0"/>
              <w:keepLines w:val="0"/>
              <w:suppressLineNumbers w:val="0"/>
              <w:bidi w:val="0"/>
              <w:spacing w:before="0" w:beforeAutospacing="0" w:after="0" w:afterAutospacing="0"/>
              <w:ind w:left="0" w:right="0"/>
              <w:rPr>
                <w:rFonts w:hint="default" w:cs="宋体"/>
                <w:b/>
                <w:bCs/>
                <w:color w:val="000000" w:themeColor="text1"/>
                <w:kern w:val="2"/>
                <w:szCs w:val="28"/>
                <w14:textFill>
                  <w14:solidFill>
                    <w14:schemeClr w14:val="tx1"/>
                  </w14:solidFill>
                </w14:textFill>
              </w:rPr>
            </w:pPr>
            <w:r>
              <w:rPr>
                <w:rFonts w:hint="eastAsia"/>
              </w:rPr>
              <w:t>护措</w:t>
            </w:r>
          </w:p>
          <w:p w14:paraId="10B385A9">
            <w:pPr>
              <w:pStyle w:val="11"/>
              <w:keepNext w:val="0"/>
              <w:keepLines w:val="0"/>
              <w:suppressLineNumbers w:val="0"/>
              <w:bidi w:val="0"/>
              <w:spacing w:before="0" w:beforeAutospacing="0" w:after="0" w:afterAutospacing="0"/>
              <w:ind w:left="0" w:right="0"/>
              <w:rPr>
                <w:rFonts w:hint="default"/>
              </w:rPr>
            </w:pPr>
            <w:r>
              <w:rPr>
                <w:rFonts w:hint="eastAsia"/>
              </w:rPr>
              <w:t>施</w:t>
            </w:r>
          </w:p>
        </w:tc>
        <w:tc>
          <w:tcPr>
            <w:tcW w:w="4658" w:type="pct"/>
          </w:tcPr>
          <w:p w14:paraId="14132487">
            <w:pPr>
              <w:pStyle w:val="4"/>
              <w:suppressLineNumbers w:val="0"/>
              <w:bidi w:val="0"/>
              <w:spacing w:before="0" w:beforeAutospacing="0" w:after="0" w:afterAutospacing="0"/>
              <w:ind w:left="0" w:right="0"/>
              <w:rPr>
                <w:rFonts w:hint="eastAsia"/>
                <w:lang w:val="en-US" w:eastAsia="zh-CN"/>
              </w:rPr>
            </w:pPr>
            <w:r>
              <w:rPr>
                <w:rFonts w:hint="eastAsia"/>
                <w:lang w:val="en-US" w:eastAsia="zh-CN"/>
              </w:rPr>
              <w:t>1、施工期大气污染治理措施</w:t>
            </w:r>
          </w:p>
          <w:p w14:paraId="7F804795">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施工现场实行围挡、围护全封闭施工，根据调研分析，有围挡的施工现场，其扬尘污染相对无围挡的有明显改善，当风速为0.5m/s时，围挡施工可使被污染地区的TSP浓度减少四分之一左右，围挡高度一般不低于1.8m，不高于2.2m。推广使用新型轻质围挡材料。</w:t>
            </w:r>
          </w:p>
          <w:p w14:paraId="2B670F84">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禁止混凝土现场搅拌，使用商品混凝土；在施工场地安排员工定期对施工场地洒水以减少扬尘量，洒水次数根据天气状况而定，一般每天洒水1～2次；若遇到大风或干燥天气可适当增加洒水次数。场地洒水后，扬尘量将减低28%～75%，大大减少了其对环境的影响。</w:t>
            </w:r>
          </w:p>
          <w:p w14:paraId="7F598979">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）运输车辆必须根据核定的载重量装载，由于弃土弃渣等均是易产生扬尘物质，对于在运输过程中可能产生扬尘的装载物在运输过程中应加以覆盖，不得沿途飞扬、撒漏和带泥上路；注意建筑材料的堆放，尤其是</w:t>
            </w:r>
            <w:r>
              <w:rPr>
                <w:rFonts w:hint="eastAsia"/>
                <w:color w:val="auto"/>
                <w:sz w:val="24"/>
                <w:highlight w:val="none"/>
                <w:lang w:val="en-US" w:eastAsia="zh-CN"/>
              </w:rPr>
              <w:t>砂石料</w:t>
            </w:r>
            <w:r>
              <w:rPr>
                <w:rFonts w:hint="eastAsia"/>
                <w:color w:val="auto"/>
                <w:sz w:val="24"/>
                <w:highlight w:val="none"/>
                <w:lang w:eastAsia="zh-CN"/>
              </w:rPr>
              <w:t>、石灰等易产生扬尘的材料，应把易产生扬尘的材料堆放在工棚内。</w:t>
            </w:r>
          </w:p>
          <w:p w14:paraId="6E755193">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）加强行政管理，严格遵守国家和当地有关建筑施工管理的有关规定，当风力超过4级的天气，停止易产生扬尘的施工作业。</w:t>
            </w:r>
          </w:p>
          <w:p w14:paraId="2DC43DD8">
            <w:pPr>
              <w:keepNext w:val="0"/>
              <w:keepLines w:val="0"/>
              <w:suppressLineNumbers w:val="0"/>
              <w:spacing w:before="0" w:beforeAutospacing="0" w:after="0" w:afterAutospacing="0" w:line="360" w:lineRule="auto"/>
              <w:ind w:left="0" w:right="0" w:firstLine="456" w:firstLineChars="200"/>
              <w:rPr>
                <w:rFonts w:hint="eastAsia"/>
                <w:color w:val="auto"/>
                <w:spacing w:val="-6"/>
                <w:sz w:val="24"/>
                <w:highlight w:val="none"/>
                <w:lang w:eastAsia="zh-CN"/>
              </w:rPr>
            </w:pPr>
            <w:r>
              <w:rPr>
                <w:rFonts w:hint="eastAsia"/>
                <w:color w:val="auto"/>
                <w:spacing w:val="-6"/>
                <w:sz w:val="24"/>
                <w:highlight w:val="none"/>
                <w:lang w:eastAsia="zh-CN"/>
              </w:rPr>
              <w:t>（</w:t>
            </w:r>
            <w:r>
              <w:rPr>
                <w:rFonts w:hint="eastAsia"/>
                <w:color w:val="auto"/>
                <w:spacing w:val="-6"/>
                <w:sz w:val="24"/>
                <w:highlight w:val="none"/>
                <w:lang w:val="en-US" w:eastAsia="zh-CN"/>
              </w:rPr>
              <w:t>5</w:t>
            </w:r>
            <w:r>
              <w:rPr>
                <w:rFonts w:hint="eastAsia"/>
                <w:color w:val="auto"/>
                <w:spacing w:val="-6"/>
                <w:sz w:val="24"/>
                <w:highlight w:val="none"/>
                <w:lang w:eastAsia="zh-CN"/>
              </w:rPr>
              <w:t>）在施工场地上设置专人负责弃土、建筑垃圾、建筑材料的处置、清运和堆放，对建筑垃圾及弃土应及时填埋，以减少占地，而堆放场地应避开居民区的上风向，必要时加盖篷布或洒水，防止扬尘污染，改善施工场地的环境。</w:t>
            </w:r>
          </w:p>
          <w:p w14:paraId="0431DFC0">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）严格施工扬尘管理，各类工地在施工前，必须按照文明施工要求，制定控制扬尘污染方案，经主管部门审批后方可办理施工许可证。</w:t>
            </w:r>
          </w:p>
          <w:p w14:paraId="23454A1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）规范建筑渣场管理，做好建筑渣场的规范化、标准化管理，严格执行建筑</w:t>
            </w:r>
            <w:r>
              <w:rPr>
                <w:rFonts w:hint="eastAsia" w:ascii="Times New Roman" w:hAnsi="Times New Roman" w:cs="Times New Roman"/>
                <w:color w:val="auto"/>
                <w:sz w:val="24"/>
                <w:highlight w:val="none"/>
                <w:lang w:eastAsia="zh-CN"/>
              </w:rPr>
              <w:t>渣土准运证制度。</w:t>
            </w:r>
          </w:p>
          <w:p w14:paraId="3496861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施工机械设备</w:t>
            </w:r>
            <w:r>
              <w:rPr>
                <w:rFonts w:hint="default" w:ascii="Times New Roman" w:hAnsi="Times New Roman" w:cs="Times New Roman"/>
                <w:color w:val="auto"/>
                <w:sz w:val="24"/>
                <w:highlight w:val="none"/>
                <w:lang w:val="en-US" w:eastAsia="zh-CN"/>
              </w:rPr>
              <w:t>选用低能耗、高效率的燃油设备，加强日常检修及维护保养、管理，</w:t>
            </w:r>
            <w:r>
              <w:rPr>
                <w:rFonts w:hint="eastAsia" w:ascii="Times New Roman" w:hAnsi="Times New Roman" w:cs="Times New Roman"/>
                <w:color w:val="auto"/>
                <w:sz w:val="24"/>
                <w:highlight w:val="none"/>
                <w:lang w:val="en-US" w:eastAsia="zh-CN"/>
              </w:rPr>
              <w:t>最大程度减少</w:t>
            </w:r>
            <w:r>
              <w:rPr>
                <w:rFonts w:hint="default" w:ascii="Times New Roman" w:hAnsi="Times New Roman" w:cs="Times New Roman"/>
                <w:color w:val="auto"/>
                <w:sz w:val="24"/>
                <w:highlight w:val="none"/>
                <w:lang w:val="en-US" w:eastAsia="zh-CN"/>
              </w:rPr>
              <w:t>燃油废气对周围空气环境质量</w:t>
            </w:r>
            <w:r>
              <w:rPr>
                <w:rFonts w:hint="eastAsia"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lang w:val="en-US" w:eastAsia="zh-CN"/>
              </w:rPr>
              <w:t>影响</w:t>
            </w:r>
          </w:p>
          <w:p w14:paraId="5D0FDDBD">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lang w:eastAsia="zh-CN"/>
              </w:rPr>
            </w:pPr>
            <w:r>
              <w:rPr>
                <w:rFonts w:hint="eastAsia"/>
                <w:color w:val="auto"/>
                <w:sz w:val="24"/>
                <w:highlight w:val="none"/>
                <w:lang w:eastAsia="zh-CN"/>
              </w:rPr>
              <w:t>环评要求在采取有效的抑尘措施的同时，对车辆进行清洗，对场地进行洒水抑尘，减轻对项目区大气环境的影响。</w:t>
            </w:r>
          </w:p>
          <w:p w14:paraId="13FD50EF">
            <w:pPr>
              <w:pStyle w:val="4"/>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施工期废水污染防治措施</w:t>
            </w:r>
          </w:p>
          <w:p w14:paraId="4A1F15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施工废水主要为混凝土养护废水和设备、工具清洗废水，产生量较小，主要污染物为悬浮物。工地设置临时沉淀池，少量施工废水不直接排放，应集中收集，经过沉淀池沉淀后，用于洒水抑尘。</w:t>
            </w:r>
          </w:p>
          <w:p w14:paraId="7D535490">
            <w:pPr>
              <w:keepNext w:val="0"/>
              <w:keepLines w:val="0"/>
              <w:suppressLineNumbers w:val="0"/>
              <w:adjustRightInd w:val="0"/>
              <w:snapToGrid w:val="0"/>
              <w:spacing w:before="0" w:beforeAutospacing="0" w:after="0" w:afterAutospacing="0" w:line="360" w:lineRule="auto"/>
              <w:ind w:left="0" w:right="0" w:firstLine="480" w:firstLineChars="200"/>
              <w:rPr>
                <w:rFonts w:hint="eastAsia"/>
                <w:lang w:eastAsia="zh-CN"/>
              </w:rPr>
            </w:pPr>
            <w:r>
              <w:rPr>
                <w:rFonts w:hint="default"/>
              </w:rPr>
              <w:t>施工期</w:t>
            </w:r>
            <w:r>
              <w:rPr>
                <w:rFonts w:hint="eastAsia"/>
                <w:lang w:eastAsia="zh-CN"/>
              </w:rPr>
              <w:t>人员不在施工区食宿，无生活污水。</w:t>
            </w:r>
          </w:p>
          <w:p w14:paraId="1C6F5F2A">
            <w:pPr>
              <w:pStyle w:val="4"/>
              <w:suppressLineNumbers w:val="0"/>
              <w:bidi w:val="0"/>
              <w:spacing w:before="0" w:beforeAutospacing="0" w:after="0" w:afterAutospacing="0"/>
              <w:ind w:left="0" w:right="0"/>
              <w:rPr>
                <w:rFonts w:hint="default"/>
                <w:lang w:val="en-US" w:eastAsia="zh-CN"/>
              </w:rPr>
            </w:pPr>
            <w:r>
              <w:rPr>
                <w:rFonts w:hint="eastAsia"/>
                <w:lang w:val="en-US" w:eastAsia="zh-CN"/>
              </w:rPr>
              <w:t>3、</w:t>
            </w:r>
            <w:r>
              <w:rPr>
                <w:rFonts w:hint="default"/>
                <w:lang w:val="en-US" w:eastAsia="zh-CN"/>
              </w:rPr>
              <w:t>施工期噪声防治措施</w:t>
            </w:r>
          </w:p>
          <w:p w14:paraId="573B6999">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（1）合理安排施工时间，应尽可能避免大量高噪声设备同时施工，</w:t>
            </w:r>
            <w:r>
              <w:rPr>
                <w:rFonts w:hint="eastAsia"/>
                <w:lang w:val="en-US" w:eastAsia="zh-CN"/>
              </w:rPr>
              <w:t>除此</w:t>
            </w:r>
            <w:r>
              <w:rPr>
                <w:rFonts w:hint="default"/>
                <w:lang w:val="en-US" w:eastAsia="zh-CN"/>
              </w:rPr>
              <w:t>之外，使用高噪声设备的施工阶段应尽量安排在白天，减少夜间的施工量；</w:t>
            </w:r>
          </w:p>
          <w:p w14:paraId="454B3197">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（2）合理布置施工现场，应避免在施工现场的同一地点安排大量的高噪声设备，造成局部声级过高</w:t>
            </w:r>
            <w:r>
              <w:rPr>
                <w:rFonts w:hint="eastAsia"/>
                <w:lang w:val="en-US" w:eastAsia="zh-CN"/>
              </w:rPr>
              <w:t>；</w:t>
            </w:r>
          </w:p>
          <w:p w14:paraId="6422BA61">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（3）施工设备选型时尽量采用低噪声设备；</w:t>
            </w:r>
          </w:p>
          <w:p w14:paraId="3AAD596D">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（4）对动力机械设备定期进行维修和养护，避免因松动部件振动或消声器损坏而加大设备工作时的声级；</w:t>
            </w:r>
          </w:p>
          <w:p w14:paraId="27CAA400">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（5）尽量少用哨子、喇叭、笛等指挥作业，减少人为噪声；</w:t>
            </w:r>
          </w:p>
          <w:p w14:paraId="5F289B85">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（6）</w:t>
            </w:r>
            <w:r>
              <w:rPr>
                <w:rFonts w:hint="eastAsia"/>
                <w:lang w:val="en-US" w:eastAsia="zh-CN"/>
              </w:rPr>
              <w:t>禁止</w:t>
            </w:r>
            <w:r>
              <w:rPr>
                <w:rFonts w:hint="default"/>
                <w:lang w:val="en-US" w:eastAsia="zh-CN"/>
              </w:rPr>
              <w:t>运输车辆夜间的运输量，运输车辆在进入施工区附近区域后，要适当降低车速，避免或杜绝鸣笛</w:t>
            </w:r>
            <w:r>
              <w:rPr>
                <w:rFonts w:hint="eastAsia"/>
                <w:lang w:eastAsia="zh-CN"/>
              </w:rPr>
              <w:t>。</w:t>
            </w:r>
          </w:p>
          <w:p w14:paraId="09A49996">
            <w:pPr>
              <w:pStyle w:val="4"/>
              <w:suppressLineNumbers w:val="0"/>
              <w:bidi w:val="0"/>
              <w:spacing w:before="0" w:beforeAutospacing="0" w:after="0" w:afterAutospacing="0"/>
              <w:ind w:left="0" w:right="0"/>
              <w:rPr>
                <w:rFonts w:hint="default"/>
                <w:lang w:val="en-US" w:eastAsia="zh-CN"/>
              </w:rPr>
            </w:pPr>
            <w:r>
              <w:rPr>
                <w:rFonts w:hint="eastAsia"/>
                <w:lang w:val="en-US" w:eastAsia="zh-CN"/>
              </w:rPr>
              <w:t>4、</w:t>
            </w:r>
            <w:r>
              <w:rPr>
                <w:rFonts w:hint="default"/>
                <w:lang w:val="en-US" w:eastAsia="zh-CN"/>
              </w:rPr>
              <w:t>施工期固废污染防治措施</w:t>
            </w:r>
          </w:p>
          <w:p w14:paraId="063DDF1F">
            <w:pPr>
              <w:keepNext w:val="0"/>
              <w:keepLines w:val="0"/>
              <w:suppressLineNumbers w:val="0"/>
              <w:bidi w:val="0"/>
              <w:spacing w:before="0" w:beforeAutospacing="0" w:after="0" w:afterAutospacing="0"/>
              <w:ind w:left="0" w:right="0"/>
              <w:rPr>
                <w:rFonts w:hint="default"/>
                <w:lang w:val="en-US" w:eastAsia="zh-CN"/>
              </w:rPr>
            </w:pPr>
            <w:r>
              <w:rPr>
                <w:rFonts w:hint="default"/>
              </w:rPr>
              <w:t>本项目</w:t>
            </w:r>
            <w:r>
              <w:rPr>
                <w:rFonts w:hint="default"/>
                <w:lang w:val="en-US" w:eastAsia="zh-CN"/>
              </w:rPr>
              <w:t>基础工程挖土方量与回填土方量工程在场内周转，就地平衡。建筑垃圾主要包括砂石、石块、碎砖等，收集后堆放于指定地点，由施工方统一清运至当地建筑垃圾填埋场统一处理。</w:t>
            </w:r>
          </w:p>
          <w:p w14:paraId="646AEA37">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施工期固体废物处置及管理措施：</w:t>
            </w:r>
          </w:p>
          <w:p w14:paraId="40486466">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（1）施工单位应按照国家和当地有关建筑垃圾和工程渣土处置管理的规定，认真执行《中华人民共和国固体废物污染环境防治法》；</w:t>
            </w:r>
          </w:p>
          <w:p w14:paraId="347B6729">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（2）渣土尽量在场内周转，除就地平衡、道路等建设，必须外运的弃土以及建筑</w:t>
            </w:r>
            <w:r>
              <w:rPr>
                <w:rFonts w:hint="eastAsia"/>
                <w:lang w:val="en-US" w:eastAsia="zh-CN"/>
              </w:rPr>
              <w:t>垃圾清运至住建部门指定地点，严禁随意倾倒；</w:t>
            </w:r>
          </w:p>
          <w:p w14:paraId="53805659">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（3）在工程竣工以后，施工单位应拆除各种临时施工设施，并负责将工地的剩余建筑垃圾、工程渣土处理干净，做到</w:t>
            </w:r>
            <w:r>
              <w:rPr>
                <w:rFonts w:hint="eastAsia"/>
                <w:lang w:val="en-US" w:eastAsia="zh-CN"/>
              </w:rPr>
              <w:t>“</w:t>
            </w:r>
            <w:r>
              <w:rPr>
                <w:rFonts w:hint="default"/>
                <w:lang w:val="en-US" w:eastAsia="zh-CN"/>
              </w:rPr>
              <w:t>工完、料尽、场地清</w:t>
            </w:r>
            <w:r>
              <w:rPr>
                <w:rFonts w:hint="eastAsia"/>
                <w:lang w:val="en-US" w:eastAsia="zh-CN"/>
              </w:rPr>
              <w:t>”</w:t>
            </w:r>
            <w:r>
              <w:rPr>
                <w:rFonts w:hint="default"/>
                <w:lang w:val="en-US" w:eastAsia="zh-CN"/>
              </w:rPr>
              <w:t>，建设单位应负责督促施工单位的固体废物处置清理工作。只要加强管理，及时清运，随着施工期的结束，施工固体废物对环境的影响将随之消失，不会对环境产生长期影响</w:t>
            </w:r>
            <w:r>
              <w:rPr>
                <w:rFonts w:hint="eastAsia"/>
                <w:lang w:val="en-US" w:eastAsia="zh-CN"/>
              </w:rPr>
              <w:t>。</w:t>
            </w:r>
          </w:p>
          <w:p w14:paraId="7A06E5F9">
            <w:pPr>
              <w:keepNext w:val="0"/>
              <w:keepLines w:val="0"/>
              <w:suppressLineNumbers w:val="0"/>
              <w:bidi w:val="0"/>
              <w:spacing w:before="0" w:beforeAutospacing="0" w:after="0" w:afterAutospacing="0"/>
              <w:ind w:left="0" w:right="0"/>
              <w:rPr>
                <w:rFonts w:hint="eastAsia"/>
                <w:lang w:val="en-US" w:eastAsia="zh-CN"/>
              </w:rPr>
            </w:pPr>
          </w:p>
          <w:p w14:paraId="298ED300">
            <w:pPr>
              <w:keepNext w:val="0"/>
              <w:keepLines w:val="0"/>
              <w:suppressLineNumbers w:val="0"/>
              <w:spacing w:before="0" w:beforeAutospacing="0" w:after="0" w:afterAutospacing="0"/>
              <w:ind w:left="0" w:right="0"/>
              <w:rPr>
                <w:rFonts w:hint="eastAsia"/>
                <w:lang w:val="en-US" w:eastAsia="zh-CN"/>
              </w:rPr>
            </w:pPr>
          </w:p>
        </w:tc>
      </w:tr>
    </w:tbl>
    <w:p w14:paraId="4C54656C">
      <w:pPr>
        <w:pStyle w:val="11"/>
        <w:keepNext w:val="0"/>
        <w:keepLines w:val="0"/>
        <w:suppressLineNumbers w:val="0"/>
        <w:bidi w:val="0"/>
        <w:spacing w:before="0" w:beforeAutospacing="0" w:after="0" w:afterAutospacing="0"/>
        <w:ind w:left="0" w:right="0"/>
        <w:rPr>
          <w:rFonts w:hint="eastAsia" w:ascii="宋体" w:hAnsi="宋体" w:cs="宋体"/>
          <w:b/>
          <w:color w:val="000000" w:themeColor="text1"/>
          <w:szCs w:val="28"/>
          <w14:textFill>
            <w14:solidFill>
              <w14:schemeClr w14:val="tx1"/>
            </w14:solidFill>
          </w14:textFill>
        </w:rPr>
      </w:pPr>
      <w:r>
        <w:rPr>
          <w:rFonts w:hint="eastAsia" w:ascii="宋体" w:hAnsi="宋体" w:cs="宋体"/>
          <w:b/>
          <w:color w:val="000000" w:themeColor="text1"/>
          <w:szCs w:val="28"/>
          <w14:textFill>
            <w14:solidFill>
              <w14:schemeClr w14:val="tx1"/>
            </w14:solidFill>
          </w14:textFill>
        </w:rPr>
        <w:br w:type="page"/>
      </w:r>
    </w:p>
    <w:p w14:paraId="5D8B4C98">
      <w:pPr>
        <w:pStyle w:val="11"/>
        <w:keepNext w:val="0"/>
        <w:keepLines w:val="0"/>
        <w:suppressLineNumbers w:val="0"/>
        <w:bidi w:val="0"/>
        <w:spacing w:before="0" w:beforeAutospacing="0" w:after="0" w:afterAutospacing="0"/>
        <w:ind w:left="0" w:right="0"/>
        <w:rPr>
          <w:rFonts w:hint="eastAsia" w:ascii="宋体" w:hAnsi="宋体" w:cs="宋体"/>
          <w:b/>
          <w:color w:val="000000" w:themeColor="text1"/>
          <w:szCs w:val="28"/>
          <w14:textFill>
            <w14:solidFill>
              <w14:schemeClr w14:val="tx1"/>
            </w14:solidFill>
          </w14:textFill>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3753"/>
      </w:tblGrid>
      <w:tr w14:paraId="47FC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 w:type="pct"/>
            <w:vAlign w:val="center"/>
          </w:tcPr>
          <w:p w14:paraId="70953CAB">
            <w:pPr>
              <w:pStyle w:val="11"/>
              <w:keepNext w:val="0"/>
              <w:keepLines w:val="0"/>
              <w:suppressLineNumbers w:val="0"/>
              <w:bidi w:val="0"/>
              <w:spacing w:before="0" w:beforeAutospacing="0" w:after="0" w:afterAutospacing="0"/>
              <w:ind w:left="0" w:right="0"/>
              <w:jc w:val="center"/>
              <w:rPr>
                <w:rFonts w:hint="default"/>
              </w:rPr>
            </w:pPr>
            <w:r>
              <w:rPr>
                <w:rFonts w:hint="eastAsia" w:ascii="宋体" w:hAnsi="宋体" w:cs="宋体"/>
                <w:b/>
                <w:color w:val="000000" w:themeColor="text1"/>
                <w:szCs w:val="28"/>
                <w14:textFill>
                  <w14:solidFill>
                    <w14:schemeClr w14:val="tx1"/>
                  </w14:solidFill>
                </w14:textFill>
              </w:rPr>
              <w:t>运</w:t>
            </w:r>
            <w:r>
              <w:rPr>
                <w:rFonts w:hint="eastAsia"/>
              </w:rPr>
              <w:t>营</w:t>
            </w:r>
          </w:p>
          <w:p w14:paraId="2F5001C9">
            <w:pPr>
              <w:pStyle w:val="11"/>
              <w:keepNext w:val="0"/>
              <w:keepLines w:val="0"/>
              <w:suppressLineNumbers w:val="0"/>
              <w:bidi w:val="0"/>
              <w:spacing w:before="0" w:beforeAutospacing="0" w:after="0" w:afterAutospacing="0"/>
              <w:ind w:left="0" w:right="0"/>
              <w:jc w:val="center"/>
              <w:rPr>
                <w:rFonts w:hint="default"/>
              </w:rPr>
            </w:pPr>
            <w:r>
              <w:rPr>
                <w:rFonts w:hint="eastAsia"/>
              </w:rPr>
              <w:t>期环</w:t>
            </w:r>
          </w:p>
          <w:p w14:paraId="07AEED99">
            <w:pPr>
              <w:pStyle w:val="11"/>
              <w:keepNext w:val="0"/>
              <w:keepLines w:val="0"/>
              <w:suppressLineNumbers w:val="0"/>
              <w:bidi w:val="0"/>
              <w:spacing w:before="0" w:beforeAutospacing="0" w:after="0" w:afterAutospacing="0"/>
              <w:ind w:left="0" w:right="0"/>
              <w:jc w:val="center"/>
              <w:rPr>
                <w:rFonts w:hint="default"/>
              </w:rPr>
            </w:pPr>
            <w:r>
              <w:rPr>
                <w:rFonts w:hint="eastAsia"/>
              </w:rPr>
              <w:t>境影</w:t>
            </w:r>
          </w:p>
          <w:p w14:paraId="2DCCC1A1">
            <w:pPr>
              <w:pStyle w:val="11"/>
              <w:keepNext w:val="0"/>
              <w:keepLines w:val="0"/>
              <w:suppressLineNumbers w:val="0"/>
              <w:bidi w:val="0"/>
              <w:spacing w:before="0" w:beforeAutospacing="0" w:after="0" w:afterAutospacing="0"/>
              <w:ind w:left="0" w:right="0"/>
              <w:jc w:val="center"/>
              <w:rPr>
                <w:rFonts w:hint="default"/>
              </w:rPr>
            </w:pPr>
            <w:r>
              <w:rPr>
                <w:rFonts w:hint="eastAsia"/>
              </w:rPr>
              <w:t>响和</w:t>
            </w:r>
          </w:p>
          <w:p w14:paraId="38383542">
            <w:pPr>
              <w:pStyle w:val="11"/>
              <w:keepNext w:val="0"/>
              <w:keepLines w:val="0"/>
              <w:suppressLineNumbers w:val="0"/>
              <w:bidi w:val="0"/>
              <w:spacing w:before="0" w:beforeAutospacing="0" w:after="0" w:afterAutospacing="0"/>
              <w:ind w:left="0" w:right="0"/>
              <w:jc w:val="center"/>
              <w:rPr>
                <w:rFonts w:hint="default"/>
              </w:rPr>
            </w:pPr>
            <w:r>
              <w:rPr>
                <w:rFonts w:hint="eastAsia"/>
              </w:rPr>
              <w:t>保护</w:t>
            </w:r>
          </w:p>
          <w:p w14:paraId="3B01455F">
            <w:pPr>
              <w:pStyle w:val="11"/>
              <w:keepNext w:val="0"/>
              <w:keepLines w:val="0"/>
              <w:suppressLineNumbers w:val="0"/>
              <w:bidi w:val="0"/>
              <w:spacing w:before="0" w:beforeAutospacing="0" w:after="0" w:afterAutospacing="0"/>
              <w:ind w:left="0" w:right="0"/>
              <w:jc w:val="center"/>
              <w:rPr>
                <w:rFonts w:hint="eastAsia" w:ascii="宋体" w:hAnsi="宋体" w:cs="宋体"/>
                <w:b/>
                <w:color w:val="000000" w:themeColor="text1"/>
                <w:szCs w:val="28"/>
                <w:vertAlign w:val="baseline"/>
                <w14:textFill>
                  <w14:solidFill>
                    <w14:schemeClr w14:val="tx1"/>
                  </w14:solidFill>
                </w14:textFill>
              </w:rPr>
            </w:pPr>
            <w:r>
              <w:rPr>
                <w:rFonts w:hint="eastAsia"/>
              </w:rPr>
              <w:t>措施</w:t>
            </w:r>
          </w:p>
        </w:tc>
        <w:tc>
          <w:tcPr>
            <w:tcW w:w="4834" w:type="pct"/>
          </w:tcPr>
          <w:p w14:paraId="2A17128A">
            <w:pPr>
              <w:pStyle w:val="4"/>
              <w:suppressLineNumbers w:val="0"/>
              <w:bidi w:val="0"/>
              <w:spacing w:before="0" w:beforeAutospacing="0" w:after="0" w:afterAutospacing="0"/>
              <w:ind w:left="0" w:right="0"/>
              <w:rPr>
                <w:rFonts w:hint="eastAsia"/>
                <w:lang w:val="en-US" w:eastAsia="zh-CN"/>
              </w:rPr>
            </w:pPr>
            <w:r>
              <w:rPr>
                <w:rFonts w:hint="eastAsia"/>
                <w:lang w:val="en-US" w:eastAsia="zh-CN"/>
              </w:rPr>
              <w:t>本项目运营期废气产生及排放情况详见下表</w:t>
            </w:r>
          </w:p>
          <w:p w14:paraId="6A1BBD84">
            <w:pPr>
              <w:pStyle w:val="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表4-1                                                  本项目废气产生及排放情况一览表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409"/>
              <w:gridCol w:w="409"/>
              <w:gridCol w:w="672"/>
              <w:gridCol w:w="954"/>
              <w:gridCol w:w="1047"/>
              <w:gridCol w:w="409"/>
              <w:gridCol w:w="409"/>
              <w:gridCol w:w="640"/>
              <w:gridCol w:w="415"/>
              <w:gridCol w:w="672"/>
              <w:gridCol w:w="954"/>
              <w:gridCol w:w="992"/>
              <w:gridCol w:w="1345"/>
              <w:gridCol w:w="792"/>
              <w:gridCol w:w="409"/>
              <w:gridCol w:w="409"/>
              <w:gridCol w:w="630"/>
              <w:gridCol w:w="568"/>
              <w:gridCol w:w="993"/>
            </w:tblGrid>
            <w:tr w14:paraId="47B25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vMerge w:val="restart"/>
                  <w:tcBorders>
                    <w:tl2br w:val="nil"/>
                    <w:tr2bl w:val="nil"/>
                  </w:tcBorders>
                  <w:vAlign w:val="center"/>
                </w:tcPr>
                <w:p w14:paraId="63A59FF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w:t>
                  </w:r>
                </w:p>
                <w:p w14:paraId="47E4223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环节</w:t>
                  </w:r>
                </w:p>
              </w:tc>
              <w:tc>
                <w:tcPr>
                  <w:tcW w:w="151" w:type="pct"/>
                  <w:vMerge w:val="restart"/>
                  <w:tcBorders>
                    <w:tl2br w:val="nil"/>
                    <w:tr2bl w:val="nil"/>
                  </w:tcBorders>
                  <w:vAlign w:val="center"/>
                </w:tcPr>
                <w:p w14:paraId="175C0E7B">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工艺</w:t>
                  </w:r>
                </w:p>
              </w:tc>
              <w:tc>
                <w:tcPr>
                  <w:tcW w:w="151" w:type="pct"/>
                  <w:vMerge w:val="restart"/>
                  <w:tcBorders>
                    <w:tl2br w:val="nil"/>
                    <w:tr2bl w:val="nil"/>
                  </w:tcBorders>
                  <w:vAlign w:val="center"/>
                </w:tcPr>
                <w:p w14:paraId="07306FB8">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污染物</w:t>
                  </w:r>
                </w:p>
              </w:tc>
              <w:tc>
                <w:tcPr>
                  <w:tcW w:w="986" w:type="pct"/>
                  <w:gridSpan w:val="3"/>
                  <w:tcBorders>
                    <w:tl2br w:val="nil"/>
                    <w:tr2bl w:val="nil"/>
                  </w:tcBorders>
                  <w:vAlign w:val="center"/>
                </w:tcPr>
                <w:p w14:paraId="64F659A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产生情况</w:t>
                  </w:r>
                </w:p>
              </w:tc>
              <w:tc>
                <w:tcPr>
                  <w:tcW w:w="151" w:type="pct"/>
                  <w:vMerge w:val="restart"/>
                  <w:tcBorders>
                    <w:tl2br w:val="nil"/>
                    <w:tr2bl w:val="nil"/>
                  </w:tcBorders>
                  <w:vAlign w:val="center"/>
                </w:tcPr>
                <w:p w14:paraId="6FFE2A2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排放形式</w:t>
                  </w:r>
                </w:p>
              </w:tc>
              <w:tc>
                <w:tcPr>
                  <w:tcW w:w="540" w:type="pct"/>
                  <w:gridSpan w:val="3"/>
                  <w:tcBorders>
                    <w:tl2br w:val="nil"/>
                    <w:tr2bl w:val="nil"/>
                  </w:tcBorders>
                  <w:vAlign w:val="center"/>
                </w:tcPr>
                <w:p w14:paraId="13FDA80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治理情况</w:t>
                  </w:r>
                </w:p>
              </w:tc>
              <w:tc>
                <w:tcPr>
                  <w:tcW w:w="966" w:type="pct"/>
                  <w:gridSpan w:val="3"/>
                  <w:tcBorders>
                    <w:tl2br w:val="nil"/>
                    <w:tr2bl w:val="nil"/>
                  </w:tcBorders>
                  <w:vAlign w:val="center"/>
                </w:tcPr>
                <w:p w14:paraId="77FAFA7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排放情况</w:t>
                  </w:r>
                </w:p>
              </w:tc>
              <w:tc>
                <w:tcPr>
                  <w:tcW w:w="1531" w:type="pct"/>
                  <w:gridSpan w:val="6"/>
                  <w:tcBorders>
                    <w:tl2br w:val="nil"/>
                    <w:tr2bl w:val="nil"/>
                  </w:tcBorders>
                  <w:vAlign w:val="center"/>
                </w:tcPr>
                <w:p w14:paraId="1EB3621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排气筒参数</w:t>
                  </w:r>
                </w:p>
              </w:tc>
              <w:tc>
                <w:tcPr>
                  <w:tcW w:w="366" w:type="pct"/>
                  <w:vMerge w:val="restart"/>
                  <w:tcBorders>
                    <w:tl2br w:val="nil"/>
                    <w:tr2bl w:val="nil"/>
                  </w:tcBorders>
                  <w:vAlign w:val="center"/>
                </w:tcPr>
                <w:p w14:paraId="6D9D3A6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排放</w:t>
                  </w:r>
                  <w:r>
                    <w:rPr>
                      <w:rFonts w:hint="eastAsia"/>
                      <w:color w:val="auto"/>
                      <w:sz w:val="21"/>
                      <w:szCs w:val="21"/>
                      <w:lang w:val="en-US" w:eastAsia="zh-CN"/>
                    </w:rPr>
                    <w:t>限值（</w:t>
                  </w:r>
                  <w:r>
                    <w:rPr>
                      <w:rFonts w:hint="default"/>
                      <w:color w:val="auto"/>
                      <w:sz w:val="21"/>
                      <w:szCs w:val="21"/>
                      <w:highlight w:val="none"/>
                      <w:lang w:val="en-US" w:eastAsia="zh-CN"/>
                    </w:rPr>
                    <w:t>mg/</w:t>
                  </w:r>
                  <w:r>
                    <w:rPr>
                      <w:rFonts w:hint="eastAsia"/>
                      <w:color w:val="auto"/>
                      <w:sz w:val="21"/>
                      <w:szCs w:val="21"/>
                      <w:highlight w:val="none"/>
                      <w:lang w:val="en-US" w:eastAsia="zh-CN"/>
                    </w:rPr>
                    <w:t>m</w:t>
                  </w:r>
                  <w:r>
                    <w:rPr>
                      <w:rFonts w:hint="default" w:ascii="Times New Roman" w:hAnsi="Times New Roman" w:cs="Times New Roman"/>
                      <w:color w:val="auto"/>
                      <w:sz w:val="21"/>
                      <w:szCs w:val="21"/>
                      <w:highlight w:val="none"/>
                      <w:lang w:val="en-US" w:eastAsia="zh-CN"/>
                    </w:rPr>
                    <w:t>³</w:t>
                  </w:r>
                  <w:r>
                    <w:rPr>
                      <w:rFonts w:hint="eastAsia"/>
                      <w:color w:val="auto"/>
                      <w:sz w:val="21"/>
                      <w:szCs w:val="21"/>
                      <w:highlight w:val="none"/>
                      <w:lang w:val="en-US" w:eastAsia="zh-CN"/>
                    </w:rPr>
                    <w:t>)</w:t>
                  </w:r>
                </w:p>
              </w:tc>
            </w:tr>
            <w:tr w14:paraId="7DFA9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vMerge w:val="continue"/>
                  <w:tcBorders>
                    <w:tl2br w:val="nil"/>
                    <w:tr2bl w:val="nil"/>
                  </w:tcBorders>
                  <w:vAlign w:val="center"/>
                </w:tcPr>
                <w:p w14:paraId="1468369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p>
              </w:tc>
              <w:tc>
                <w:tcPr>
                  <w:tcW w:w="151" w:type="pct"/>
                  <w:vMerge w:val="continue"/>
                  <w:tcBorders>
                    <w:tl2br w:val="nil"/>
                    <w:tr2bl w:val="nil"/>
                  </w:tcBorders>
                  <w:vAlign w:val="center"/>
                </w:tcPr>
                <w:p w14:paraId="290B5BE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p>
              </w:tc>
              <w:tc>
                <w:tcPr>
                  <w:tcW w:w="151" w:type="pct"/>
                  <w:vMerge w:val="continue"/>
                  <w:tcBorders>
                    <w:tl2br w:val="nil"/>
                    <w:tr2bl w:val="nil"/>
                  </w:tcBorders>
                  <w:vAlign w:val="center"/>
                </w:tcPr>
                <w:p w14:paraId="649510A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p>
              </w:tc>
              <w:tc>
                <w:tcPr>
                  <w:tcW w:w="248" w:type="pct"/>
                  <w:tcBorders>
                    <w:tl2br w:val="nil"/>
                    <w:tr2bl w:val="nil"/>
                  </w:tcBorders>
                  <w:vAlign w:val="center"/>
                </w:tcPr>
                <w:p w14:paraId="0FEAEE6B">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产生量</w:t>
                  </w:r>
                  <w:r>
                    <w:rPr>
                      <w:rFonts w:hint="eastAsia"/>
                      <w:color w:val="auto"/>
                      <w:sz w:val="21"/>
                      <w:szCs w:val="21"/>
                      <w:lang w:val="en-US" w:eastAsia="zh-CN"/>
                    </w:rPr>
                    <w:t>（</w:t>
                  </w:r>
                  <w:r>
                    <w:rPr>
                      <w:rFonts w:hint="default"/>
                      <w:color w:val="auto"/>
                      <w:sz w:val="21"/>
                      <w:szCs w:val="21"/>
                      <w:lang w:val="en-US" w:eastAsia="zh-CN"/>
                    </w:rPr>
                    <w:t>t/a</w:t>
                  </w:r>
                  <w:r>
                    <w:rPr>
                      <w:rFonts w:hint="eastAsia"/>
                      <w:color w:val="auto"/>
                      <w:sz w:val="21"/>
                      <w:szCs w:val="21"/>
                      <w:lang w:val="en-US" w:eastAsia="zh-CN"/>
                    </w:rPr>
                    <w:t>)</w:t>
                  </w:r>
                </w:p>
              </w:tc>
              <w:tc>
                <w:tcPr>
                  <w:tcW w:w="352" w:type="pct"/>
                  <w:tcBorders>
                    <w:tl2br w:val="nil"/>
                    <w:tr2bl w:val="nil"/>
                  </w:tcBorders>
                  <w:vAlign w:val="center"/>
                </w:tcPr>
                <w:p w14:paraId="67420E8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产生速率（kg/h）</w:t>
                  </w:r>
                </w:p>
              </w:tc>
              <w:tc>
                <w:tcPr>
                  <w:tcW w:w="386" w:type="pct"/>
                  <w:tcBorders>
                    <w:tl2br w:val="nil"/>
                    <w:tr2bl w:val="nil"/>
                  </w:tcBorders>
                  <w:vAlign w:val="center"/>
                </w:tcPr>
                <w:p w14:paraId="370FA93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default"/>
                      <w:color w:val="auto"/>
                      <w:sz w:val="21"/>
                      <w:szCs w:val="21"/>
                      <w:highlight w:val="none"/>
                      <w:lang w:val="en-US" w:eastAsia="zh-CN"/>
                    </w:rPr>
                    <w:t>产生浓度</w:t>
                  </w:r>
                  <w:r>
                    <w:rPr>
                      <w:rFonts w:hint="eastAsia"/>
                      <w:color w:val="auto"/>
                      <w:sz w:val="21"/>
                      <w:szCs w:val="21"/>
                      <w:highlight w:val="none"/>
                      <w:lang w:val="en-US" w:eastAsia="zh-CN"/>
                    </w:rPr>
                    <w:t>（</w:t>
                  </w:r>
                  <w:r>
                    <w:rPr>
                      <w:rFonts w:hint="default"/>
                      <w:color w:val="auto"/>
                      <w:sz w:val="21"/>
                      <w:szCs w:val="21"/>
                      <w:highlight w:val="none"/>
                      <w:lang w:val="en-US" w:eastAsia="zh-CN"/>
                    </w:rPr>
                    <w:t>mg/</w:t>
                  </w:r>
                  <w:r>
                    <w:rPr>
                      <w:rFonts w:hint="eastAsia"/>
                      <w:color w:val="auto"/>
                      <w:sz w:val="21"/>
                      <w:szCs w:val="21"/>
                      <w:highlight w:val="none"/>
                      <w:lang w:val="en-US" w:eastAsia="zh-CN"/>
                    </w:rPr>
                    <w:t>m</w:t>
                  </w:r>
                  <w:r>
                    <w:rPr>
                      <w:rFonts w:hint="default" w:ascii="Times New Roman" w:hAnsi="Times New Roman" w:cs="Times New Roman"/>
                      <w:color w:val="auto"/>
                      <w:sz w:val="21"/>
                      <w:szCs w:val="21"/>
                      <w:highlight w:val="none"/>
                      <w:lang w:val="en-US" w:eastAsia="zh-CN"/>
                    </w:rPr>
                    <w:t>³</w:t>
                  </w:r>
                  <w:r>
                    <w:rPr>
                      <w:rFonts w:hint="eastAsia"/>
                      <w:color w:val="auto"/>
                      <w:sz w:val="21"/>
                      <w:szCs w:val="21"/>
                      <w:highlight w:val="none"/>
                      <w:lang w:val="en-US" w:eastAsia="zh-CN"/>
                    </w:rPr>
                    <w:t>)</w:t>
                  </w:r>
                </w:p>
              </w:tc>
              <w:tc>
                <w:tcPr>
                  <w:tcW w:w="151" w:type="pct"/>
                  <w:vMerge w:val="continue"/>
                  <w:tcBorders>
                    <w:tl2br w:val="nil"/>
                    <w:tr2bl w:val="nil"/>
                  </w:tcBorders>
                  <w:vAlign w:val="center"/>
                </w:tcPr>
                <w:p w14:paraId="12DB9C8C">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p>
              </w:tc>
              <w:tc>
                <w:tcPr>
                  <w:tcW w:w="151" w:type="pct"/>
                  <w:tcBorders>
                    <w:tl2br w:val="nil"/>
                    <w:tr2bl w:val="nil"/>
                  </w:tcBorders>
                  <w:vAlign w:val="center"/>
                </w:tcPr>
                <w:p w14:paraId="10B3D83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eastAsia"/>
                      <w:color w:val="auto"/>
                      <w:sz w:val="21"/>
                      <w:szCs w:val="21"/>
                      <w:highlight w:val="none"/>
                      <w:lang w:val="en-US" w:eastAsia="zh-CN"/>
                    </w:rPr>
                    <w:t>治理</w:t>
                  </w:r>
                  <w:r>
                    <w:rPr>
                      <w:rFonts w:hint="default"/>
                      <w:color w:val="auto"/>
                      <w:sz w:val="21"/>
                      <w:szCs w:val="21"/>
                      <w:highlight w:val="none"/>
                      <w:lang w:val="en-US" w:eastAsia="zh-CN"/>
                    </w:rPr>
                    <w:t>措施</w:t>
                  </w:r>
                </w:p>
              </w:tc>
              <w:tc>
                <w:tcPr>
                  <w:tcW w:w="236" w:type="pct"/>
                  <w:tcBorders>
                    <w:tl2br w:val="nil"/>
                    <w:tr2bl w:val="nil"/>
                  </w:tcBorders>
                  <w:vAlign w:val="center"/>
                </w:tcPr>
                <w:p w14:paraId="283BC392">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default"/>
                      <w:color w:val="auto"/>
                      <w:sz w:val="21"/>
                      <w:szCs w:val="21"/>
                      <w:highlight w:val="none"/>
                      <w:lang w:val="en-US" w:eastAsia="zh-CN"/>
                    </w:rPr>
                    <w:t>去除率</w:t>
                  </w:r>
                </w:p>
              </w:tc>
              <w:tc>
                <w:tcPr>
                  <w:tcW w:w="151" w:type="pct"/>
                  <w:tcBorders>
                    <w:tl2br w:val="nil"/>
                    <w:tr2bl w:val="nil"/>
                  </w:tcBorders>
                  <w:vAlign w:val="center"/>
                </w:tcPr>
                <w:p w14:paraId="43BC917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default"/>
                      <w:color w:val="auto"/>
                      <w:sz w:val="21"/>
                      <w:szCs w:val="21"/>
                      <w:highlight w:val="none"/>
                      <w:lang w:val="en-US" w:eastAsia="zh-CN"/>
                    </w:rPr>
                    <w:t>是否可行</w:t>
                  </w:r>
                </w:p>
              </w:tc>
              <w:tc>
                <w:tcPr>
                  <w:tcW w:w="248" w:type="pct"/>
                  <w:tcBorders>
                    <w:tl2br w:val="nil"/>
                    <w:tr2bl w:val="nil"/>
                  </w:tcBorders>
                  <w:vAlign w:val="center"/>
                </w:tcPr>
                <w:p w14:paraId="7185971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default"/>
                      <w:color w:val="auto"/>
                      <w:sz w:val="21"/>
                      <w:szCs w:val="21"/>
                      <w:highlight w:val="none"/>
                      <w:lang w:val="en-US" w:eastAsia="zh-CN"/>
                    </w:rPr>
                    <w:t>排放量</w:t>
                  </w:r>
                  <w:r>
                    <w:rPr>
                      <w:rFonts w:hint="eastAsia"/>
                      <w:color w:val="auto"/>
                      <w:sz w:val="21"/>
                      <w:szCs w:val="21"/>
                      <w:highlight w:val="none"/>
                      <w:lang w:val="en-US" w:eastAsia="zh-CN"/>
                    </w:rPr>
                    <w:t>（</w:t>
                  </w:r>
                  <w:r>
                    <w:rPr>
                      <w:rFonts w:hint="default"/>
                      <w:color w:val="auto"/>
                      <w:sz w:val="21"/>
                      <w:szCs w:val="21"/>
                      <w:highlight w:val="none"/>
                      <w:lang w:val="en-US" w:eastAsia="zh-CN"/>
                    </w:rPr>
                    <w:t>t/a</w:t>
                  </w:r>
                  <w:r>
                    <w:rPr>
                      <w:rFonts w:hint="eastAsia"/>
                      <w:color w:val="auto"/>
                      <w:sz w:val="21"/>
                      <w:szCs w:val="21"/>
                      <w:highlight w:val="none"/>
                      <w:lang w:val="en-US" w:eastAsia="zh-CN"/>
                    </w:rPr>
                    <w:t>)</w:t>
                  </w:r>
                </w:p>
              </w:tc>
              <w:tc>
                <w:tcPr>
                  <w:tcW w:w="352" w:type="pct"/>
                  <w:tcBorders>
                    <w:tl2br w:val="nil"/>
                    <w:tr2bl w:val="nil"/>
                  </w:tcBorders>
                  <w:vAlign w:val="center"/>
                </w:tcPr>
                <w:p w14:paraId="4343477A">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eastAsia"/>
                      <w:color w:val="auto"/>
                      <w:sz w:val="21"/>
                      <w:szCs w:val="21"/>
                      <w:lang w:val="en-US" w:eastAsia="zh-CN"/>
                    </w:rPr>
                    <w:t>排放速率（kg/h）</w:t>
                  </w:r>
                </w:p>
              </w:tc>
              <w:tc>
                <w:tcPr>
                  <w:tcW w:w="366" w:type="pct"/>
                  <w:tcBorders>
                    <w:tl2br w:val="nil"/>
                    <w:tr2bl w:val="nil"/>
                  </w:tcBorders>
                  <w:vAlign w:val="center"/>
                </w:tcPr>
                <w:p w14:paraId="619ABBC9">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default"/>
                      <w:color w:val="auto"/>
                      <w:sz w:val="21"/>
                      <w:szCs w:val="21"/>
                      <w:highlight w:val="none"/>
                      <w:lang w:val="en-US" w:eastAsia="zh-CN"/>
                    </w:rPr>
                    <w:t>排放浓度</w:t>
                  </w:r>
                  <w:r>
                    <w:rPr>
                      <w:rFonts w:hint="eastAsia"/>
                      <w:color w:val="auto"/>
                      <w:sz w:val="21"/>
                      <w:szCs w:val="21"/>
                      <w:highlight w:val="none"/>
                      <w:lang w:val="en-US" w:eastAsia="zh-CN"/>
                    </w:rPr>
                    <w:t>（</w:t>
                  </w:r>
                  <w:r>
                    <w:rPr>
                      <w:rFonts w:hint="default"/>
                      <w:color w:val="auto"/>
                      <w:sz w:val="21"/>
                      <w:szCs w:val="21"/>
                      <w:highlight w:val="none"/>
                      <w:lang w:val="en-US" w:eastAsia="zh-CN"/>
                    </w:rPr>
                    <w:t>mg/</w:t>
                  </w:r>
                  <w:r>
                    <w:rPr>
                      <w:rFonts w:hint="eastAsia"/>
                      <w:color w:val="auto"/>
                      <w:sz w:val="21"/>
                      <w:szCs w:val="21"/>
                      <w:highlight w:val="none"/>
                      <w:lang w:val="en-US" w:eastAsia="zh-CN"/>
                    </w:rPr>
                    <w:t>m</w:t>
                  </w:r>
                  <w:r>
                    <w:rPr>
                      <w:rFonts w:hint="default" w:ascii="Times New Roman" w:hAnsi="Times New Roman" w:cs="Times New Roman"/>
                      <w:color w:val="auto"/>
                      <w:sz w:val="21"/>
                      <w:szCs w:val="21"/>
                      <w:highlight w:val="none"/>
                      <w:lang w:val="en-US" w:eastAsia="zh-CN"/>
                    </w:rPr>
                    <w:t>³</w:t>
                  </w:r>
                  <w:r>
                    <w:rPr>
                      <w:rFonts w:hint="eastAsia"/>
                      <w:color w:val="auto"/>
                      <w:sz w:val="21"/>
                      <w:szCs w:val="21"/>
                      <w:highlight w:val="none"/>
                      <w:lang w:val="en-US" w:eastAsia="zh-CN"/>
                    </w:rPr>
                    <w:t>)</w:t>
                  </w:r>
                </w:p>
              </w:tc>
              <w:tc>
                <w:tcPr>
                  <w:tcW w:w="496" w:type="pct"/>
                  <w:tcBorders>
                    <w:tl2br w:val="nil"/>
                    <w:tr2bl w:val="nil"/>
                  </w:tcBorders>
                  <w:vAlign w:val="center"/>
                </w:tcPr>
                <w:p w14:paraId="729B41C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highlight w:val="none"/>
                      <w:lang w:val="en-US" w:eastAsia="zh-CN"/>
                    </w:rPr>
                  </w:pPr>
                  <w:r>
                    <w:rPr>
                      <w:rFonts w:hint="eastAsia"/>
                      <w:color w:val="auto"/>
                      <w:sz w:val="21"/>
                      <w:szCs w:val="21"/>
                      <w:highlight w:val="none"/>
                      <w:lang w:val="en-US" w:eastAsia="zh-CN"/>
                    </w:rPr>
                    <w:t>地理坐标</w:t>
                  </w:r>
                </w:p>
              </w:tc>
              <w:tc>
                <w:tcPr>
                  <w:tcW w:w="292" w:type="pct"/>
                  <w:tcBorders>
                    <w:tl2br w:val="nil"/>
                    <w:tr2bl w:val="nil"/>
                  </w:tcBorders>
                  <w:vAlign w:val="center"/>
                </w:tcPr>
                <w:p w14:paraId="770BFDB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编号</w:t>
                  </w:r>
                </w:p>
              </w:tc>
              <w:tc>
                <w:tcPr>
                  <w:tcW w:w="151" w:type="pct"/>
                  <w:tcBorders>
                    <w:tl2br w:val="nil"/>
                    <w:tr2bl w:val="nil"/>
                  </w:tcBorders>
                  <w:vAlign w:val="center"/>
                </w:tcPr>
                <w:p w14:paraId="4FDB1F69">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名称</w:t>
                  </w:r>
                </w:p>
              </w:tc>
              <w:tc>
                <w:tcPr>
                  <w:tcW w:w="151" w:type="pct"/>
                  <w:tcBorders>
                    <w:tl2br w:val="nil"/>
                    <w:tr2bl w:val="nil"/>
                  </w:tcBorders>
                  <w:vAlign w:val="center"/>
                </w:tcPr>
                <w:p w14:paraId="13A1401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类型</w:t>
                  </w:r>
                </w:p>
              </w:tc>
              <w:tc>
                <w:tcPr>
                  <w:tcW w:w="232" w:type="pct"/>
                  <w:tcBorders>
                    <w:tl2br w:val="nil"/>
                    <w:tr2bl w:val="nil"/>
                  </w:tcBorders>
                  <w:vAlign w:val="center"/>
                </w:tcPr>
                <w:p w14:paraId="52CD24D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高度</w:t>
                  </w:r>
                  <w:r>
                    <w:rPr>
                      <w:rFonts w:hint="eastAsia"/>
                      <w:color w:val="auto"/>
                      <w:sz w:val="21"/>
                      <w:szCs w:val="21"/>
                      <w:lang w:val="en-US" w:eastAsia="zh-CN"/>
                    </w:rPr>
                    <w:t>（</w:t>
                  </w:r>
                  <w:r>
                    <w:rPr>
                      <w:rFonts w:hint="default"/>
                      <w:color w:val="auto"/>
                      <w:sz w:val="21"/>
                      <w:szCs w:val="21"/>
                      <w:lang w:val="en-US" w:eastAsia="zh-CN"/>
                    </w:rPr>
                    <w:t>m</w:t>
                  </w:r>
                  <w:r>
                    <w:rPr>
                      <w:rFonts w:hint="eastAsia"/>
                      <w:color w:val="auto"/>
                      <w:sz w:val="21"/>
                      <w:szCs w:val="21"/>
                      <w:lang w:val="en-US" w:eastAsia="zh-CN"/>
                    </w:rPr>
                    <w:t>)</w:t>
                  </w:r>
                </w:p>
              </w:tc>
              <w:tc>
                <w:tcPr>
                  <w:tcW w:w="206" w:type="pct"/>
                  <w:tcBorders>
                    <w:tl2br w:val="nil"/>
                    <w:tr2bl w:val="nil"/>
                  </w:tcBorders>
                  <w:vAlign w:val="center"/>
                </w:tcPr>
                <w:p w14:paraId="6FB2A849">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default"/>
                      <w:color w:val="auto"/>
                      <w:sz w:val="21"/>
                      <w:szCs w:val="21"/>
                      <w:lang w:val="en-US" w:eastAsia="zh-CN"/>
                    </w:rPr>
                    <w:t>内径</w:t>
                  </w:r>
                </w:p>
                <w:p w14:paraId="2332256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(m)</w:t>
                  </w:r>
                </w:p>
              </w:tc>
              <w:tc>
                <w:tcPr>
                  <w:tcW w:w="366" w:type="pct"/>
                  <w:vMerge w:val="continue"/>
                  <w:tcBorders>
                    <w:tl2br w:val="nil"/>
                    <w:tr2bl w:val="nil"/>
                  </w:tcBorders>
                  <w:vAlign w:val="center"/>
                </w:tcPr>
                <w:p w14:paraId="19D0DCF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p>
              </w:tc>
            </w:tr>
            <w:tr w14:paraId="72B85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tcBorders>
                    <w:tl2br w:val="nil"/>
                    <w:tr2bl w:val="nil"/>
                  </w:tcBorders>
                  <w:vAlign w:val="center"/>
                </w:tcPr>
                <w:p w14:paraId="27DEDEF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烘干降温废气</w:t>
                  </w:r>
                </w:p>
              </w:tc>
              <w:tc>
                <w:tcPr>
                  <w:tcW w:w="151" w:type="pct"/>
                  <w:tcBorders>
                    <w:tl2br w:val="nil"/>
                    <w:tr2bl w:val="nil"/>
                  </w:tcBorders>
                  <w:vAlign w:val="center"/>
                </w:tcPr>
                <w:p w14:paraId="74281F6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eastAsia="宋体"/>
                      <w:color w:val="auto"/>
                      <w:sz w:val="21"/>
                      <w:szCs w:val="21"/>
                      <w:lang w:val="en-US" w:eastAsia="zh-CN"/>
                    </w:rPr>
                  </w:pPr>
                  <w:r>
                    <w:rPr>
                      <w:rFonts w:hint="eastAsia"/>
                      <w:color w:val="auto"/>
                      <w:sz w:val="21"/>
                      <w:szCs w:val="21"/>
                      <w:lang w:val="en-US" w:eastAsia="zh-CN"/>
                    </w:rPr>
                    <w:t>降温废气</w:t>
                  </w:r>
                </w:p>
              </w:tc>
              <w:tc>
                <w:tcPr>
                  <w:tcW w:w="151" w:type="pct"/>
                  <w:tcBorders>
                    <w:tl2br w:val="nil"/>
                    <w:tr2bl w:val="nil"/>
                  </w:tcBorders>
                  <w:vAlign w:val="center"/>
                </w:tcPr>
                <w:p w14:paraId="59AF562B">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672" w:type="dxa"/>
                  <w:tcBorders>
                    <w:tl2br w:val="nil"/>
                    <w:tr2bl w:val="nil"/>
                  </w:tcBorders>
                  <w:shd w:val="clear" w:color="auto" w:fill="auto"/>
                  <w:vAlign w:val="center"/>
                </w:tcPr>
                <w:p w14:paraId="25BB790C">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 xml:space="preserve">39500 </w:t>
                  </w:r>
                </w:p>
              </w:tc>
              <w:tc>
                <w:tcPr>
                  <w:tcW w:w="954" w:type="dxa"/>
                  <w:tcBorders>
                    <w:tl2br w:val="nil"/>
                    <w:tr2bl w:val="nil"/>
                  </w:tcBorders>
                  <w:shd w:val="clear" w:color="auto" w:fill="auto"/>
                  <w:vAlign w:val="center"/>
                </w:tcPr>
                <w:p w14:paraId="3D31F52B">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default"/>
                      <w:lang w:val="en-US" w:eastAsia="zh-CN"/>
                    </w:rPr>
                    <w:t xml:space="preserve">54861.111 </w:t>
                  </w:r>
                </w:p>
              </w:tc>
              <w:tc>
                <w:tcPr>
                  <w:tcW w:w="1047" w:type="dxa"/>
                  <w:tcBorders>
                    <w:tl2br w:val="nil"/>
                    <w:tr2bl w:val="nil"/>
                  </w:tcBorders>
                  <w:shd w:val="clear" w:color="auto" w:fill="auto"/>
                  <w:vAlign w:val="center"/>
                </w:tcPr>
                <w:p w14:paraId="01EADAC2">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 xml:space="preserve">1828703.704 </w:t>
                  </w:r>
                </w:p>
              </w:tc>
              <w:tc>
                <w:tcPr>
                  <w:tcW w:w="151" w:type="pct"/>
                  <w:tcBorders>
                    <w:tl2br w:val="nil"/>
                    <w:tr2bl w:val="nil"/>
                  </w:tcBorders>
                  <w:vAlign w:val="center"/>
                </w:tcPr>
                <w:p w14:paraId="6E3346B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有组织</w:t>
                  </w:r>
                </w:p>
              </w:tc>
              <w:tc>
                <w:tcPr>
                  <w:tcW w:w="151" w:type="pct"/>
                  <w:tcBorders>
                    <w:tl2br w:val="nil"/>
                    <w:tr2bl w:val="nil"/>
                  </w:tcBorders>
                  <w:vAlign w:val="center"/>
                </w:tcPr>
                <w:p w14:paraId="5461E9C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s="Times New Roman"/>
                      <w:color w:val="auto"/>
                      <w:sz w:val="21"/>
                      <w:szCs w:val="21"/>
                      <w:lang w:val="en-US" w:eastAsia="zh-CN"/>
                    </w:rPr>
                    <w:t>二级旋风处理器+布袋除尘器</w:t>
                  </w:r>
                </w:p>
              </w:tc>
              <w:tc>
                <w:tcPr>
                  <w:tcW w:w="236" w:type="pct"/>
                  <w:tcBorders>
                    <w:tl2br w:val="nil"/>
                    <w:tr2bl w:val="nil"/>
                  </w:tcBorders>
                  <w:vAlign w:val="center"/>
                </w:tcPr>
                <w:p w14:paraId="21D04AF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99.996%</w:t>
                  </w:r>
                </w:p>
              </w:tc>
              <w:tc>
                <w:tcPr>
                  <w:tcW w:w="151" w:type="pct"/>
                  <w:tcBorders>
                    <w:tl2br w:val="nil"/>
                    <w:tr2bl w:val="nil"/>
                  </w:tcBorders>
                  <w:vAlign w:val="center"/>
                </w:tcPr>
                <w:p w14:paraId="4A23DE0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是</w:t>
                  </w:r>
                </w:p>
              </w:tc>
              <w:tc>
                <w:tcPr>
                  <w:tcW w:w="672" w:type="dxa"/>
                  <w:tcBorders>
                    <w:tl2br w:val="nil"/>
                    <w:tr2bl w:val="nil"/>
                  </w:tcBorders>
                  <w:shd w:val="clear" w:color="auto" w:fill="auto"/>
                  <w:vAlign w:val="center"/>
                </w:tcPr>
                <w:p w14:paraId="4F85A96D">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 xml:space="preserve">1.580 </w:t>
                  </w:r>
                </w:p>
              </w:tc>
              <w:tc>
                <w:tcPr>
                  <w:tcW w:w="954" w:type="dxa"/>
                  <w:tcBorders>
                    <w:tl2br w:val="nil"/>
                    <w:tr2bl w:val="nil"/>
                  </w:tcBorders>
                  <w:shd w:val="clear" w:color="auto" w:fill="auto"/>
                  <w:vAlign w:val="center"/>
                </w:tcPr>
                <w:p w14:paraId="1C2E1A3B">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default"/>
                      <w:lang w:val="en-US" w:eastAsia="zh-CN"/>
                    </w:rPr>
                    <w:t xml:space="preserve">2.194 </w:t>
                  </w:r>
                </w:p>
              </w:tc>
              <w:tc>
                <w:tcPr>
                  <w:tcW w:w="992" w:type="dxa"/>
                  <w:tcBorders>
                    <w:tl2br w:val="nil"/>
                    <w:tr2bl w:val="nil"/>
                  </w:tcBorders>
                  <w:shd w:val="clear" w:color="auto" w:fill="auto"/>
                  <w:vAlign w:val="center"/>
                </w:tcPr>
                <w:p w14:paraId="24168E6F">
                  <w:pPr>
                    <w:pStyle w:val="8"/>
                    <w:keepNext w:val="0"/>
                    <w:keepLines w:val="0"/>
                    <w:suppressLineNumbers w:val="0"/>
                    <w:bidi w:val="0"/>
                    <w:spacing w:before="0" w:beforeAutospacing="0" w:after="0" w:afterAutospacing="0"/>
                    <w:ind w:left="0" w:right="0" w:firstLine="0" w:firstLineChars="0"/>
                    <w:rPr>
                      <w:rFonts w:hint="default"/>
                      <w:lang w:val="en-US" w:eastAsia="zh-CN"/>
                    </w:rPr>
                  </w:pPr>
                  <w:r>
                    <w:rPr>
                      <w:rFonts w:hint="eastAsia"/>
                      <w:lang w:val="en-US" w:eastAsia="zh-CN"/>
                    </w:rPr>
                    <w:t xml:space="preserve">73.148 </w:t>
                  </w:r>
                </w:p>
              </w:tc>
              <w:tc>
                <w:tcPr>
                  <w:tcW w:w="496" w:type="pct"/>
                  <w:tcBorders>
                    <w:tl2br w:val="nil"/>
                    <w:tr2bl w:val="nil"/>
                  </w:tcBorders>
                  <w:vAlign w:val="center"/>
                </w:tcPr>
                <w:p w14:paraId="5E21DEAB">
                  <w:pPr>
                    <w:pStyle w:val="8"/>
                    <w:keepNext w:val="0"/>
                    <w:keepLines w:val="0"/>
                    <w:suppressLineNumbers w:val="0"/>
                    <w:bidi w:val="0"/>
                    <w:spacing w:before="0" w:beforeAutospacing="0" w:after="0" w:afterAutospacing="0"/>
                    <w:ind w:left="0" w:right="0"/>
                    <w:rPr>
                      <w:rFonts w:hint="default" w:ascii="Times New Roman" w:hAnsi="Times New Roman" w:cs="Times New Roman"/>
                    </w:rPr>
                  </w:pPr>
                  <w:r>
                    <w:rPr>
                      <w:rFonts w:hint="eastAsia"/>
                      <w:lang w:val="en-US" w:eastAsia="zh-CN"/>
                    </w:rPr>
                    <w:t>东经</w:t>
                  </w:r>
                  <w:r>
                    <w:rPr>
                      <w:rFonts w:hint="default" w:ascii="Times New Roman" w:hAnsi="Times New Roman" w:cs="Times New Roman"/>
                    </w:rPr>
                    <w:t>86°19′9.822″</w:t>
                  </w:r>
                </w:p>
                <w:p w14:paraId="675226F5">
                  <w:pPr>
                    <w:pStyle w:val="8"/>
                    <w:keepNext w:val="0"/>
                    <w:keepLines w:val="0"/>
                    <w:suppressLineNumbers w:val="0"/>
                    <w:bidi w:val="0"/>
                    <w:spacing w:before="0" w:beforeAutospacing="0" w:after="0" w:afterAutospacing="0"/>
                    <w:ind w:left="0" w:right="0"/>
                    <w:rPr>
                      <w:rFonts w:hint="eastAsia"/>
                      <w:lang w:val="en-US" w:eastAsia="zh-CN"/>
                    </w:rPr>
                  </w:pPr>
                  <w:r>
                    <w:rPr>
                      <w:rFonts w:hint="eastAsia" w:ascii="Times New Roman" w:hAnsi="Times New Roman" w:cs="Times New Roman"/>
                      <w:lang w:val="en-US" w:eastAsia="zh-CN"/>
                    </w:rPr>
                    <w:t>北纬</w:t>
                  </w:r>
                  <w:r>
                    <w:rPr>
                      <w:rFonts w:hint="default" w:ascii="Times New Roman" w:hAnsi="Times New Roman" w:cs="Times New Roman"/>
                      <w:lang w:eastAsia="zh-CN"/>
                    </w:rPr>
                    <w:t>41°52′22.039″</w:t>
                  </w:r>
                </w:p>
              </w:tc>
              <w:tc>
                <w:tcPr>
                  <w:tcW w:w="292" w:type="pct"/>
                  <w:tcBorders>
                    <w:tl2br w:val="nil"/>
                    <w:tr2bl w:val="nil"/>
                  </w:tcBorders>
                  <w:vAlign w:val="center"/>
                </w:tcPr>
                <w:p w14:paraId="194614C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DA001</w:t>
                  </w:r>
                </w:p>
              </w:tc>
              <w:tc>
                <w:tcPr>
                  <w:tcW w:w="151" w:type="pct"/>
                  <w:tcBorders>
                    <w:tl2br w:val="nil"/>
                    <w:tr2bl w:val="nil"/>
                  </w:tcBorders>
                  <w:vAlign w:val="center"/>
                </w:tcPr>
                <w:p w14:paraId="42C825F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color w:val="auto"/>
                      <w:sz w:val="21"/>
                      <w:szCs w:val="21"/>
                      <w:lang w:val="en-US" w:eastAsia="zh-CN"/>
                    </w:rPr>
                  </w:pPr>
                  <w:r>
                    <w:rPr>
                      <w:rFonts w:hint="eastAsia"/>
                      <w:color w:val="auto"/>
                      <w:sz w:val="21"/>
                      <w:szCs w:val="21"/>
                      <w:lang w:val="en-US" w:eastAsia="zh-CN"/>
                    </w:rPr>
                    <w:t>颗粒物排放口</w:t>
                  </w:r>
                </w:p>
              </w:tc>
              <w:tc>
                <w:tcPr>
                  <w:tcW w:w="151" w:type="pct"/>
                  <w:tcBorders>
                    <w:tl2br w:val="nil"/>
                    <w:tr2bl w:val="nil"/>
                  </w:tcBorders>
                  <w:vAlign w:val="center"/>
                </w:tcPr>
                <w:p w14:paraId="793F75B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color w:val="auto"/>
                      <w:sz w:val="21"/>
                      <w:szCs w:val="21"/>
                      <w:lang w:val="en-US" w:eastAsia="zh-CN"/>
                    </w:rPr>
                  </w:pPr>
                  <w:r>
                    <w:rPr>
                      <w:rFonts w:hint="eastAsia"/>
                      <w:color w:val="auto"/>
                      <w:sz w:val="21"/>
                      <w:szCs w:val="21"/>
                      <w:lang w:val="en-US" w:eastAsia="zh-CN"/>
                    </w:rPr>
                    <w:t>一般排放口</w:t>
                  </w:r>
                </w:p>
              </w:tc>
              <w:tc>
                <w:tcPr>
                  <w:tcW w:w="232" w:type="pct"/>
                  <w:tcBorders>
                    <w:tl2br w:val="nil"/>
                    <w:tr2bl w:val="nil"/>
                  </w:tcBorders>
                  <w:vAlign w:val="center"/>
                </w:tcPr>
                <w:p w14:paraId="4B7B7B9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15</w:t>
                  </w:r>
                </w:p>
              </w:tc>
              <w:tc>
                <w:tcPr>
                  <w:tcW w:w="206" w:type="pct"/>
                  <w:tcBorders>
                    <w:tl2br w:val="nil"/>
                    <w:tr2bl w:val="nil"/>
                  </w:tcBorders>
                  <w:vAlign w:val="center"/>
                </w:tcPr>
                <w:p w14:paraId="04425D0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0.5</w:t>
                  </w:r>
                </w:p>
              </w:tc>
              <w:tc>
                <w:tcPr>
                  <w:tcW w:w="366" w:type="pct"/>
                  <w:tcBorders>
                    <w:tl2br w:val="nil"/>
                    <w:tr2bl w:val="nil"/>
                  </w:tcBorders>
                  <w:vAlign w:val="center"/>
                </w:tcPr>
                <w:p w14:paraId="01B0F96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120</w:t>
                  </w:r>
                </w:p>
              </w:tc>
            </w:tr>
            <w:tr w14:paraId="67AEB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tcBorders>
                    <w:tl2br w:val="nil"/>
                    <w:tr2bl w:val="nil"/>
                  </w:tcBorders>
                  <w:vAlign w:val="center"/>
                </w:tcPr>
                <w:p w14:paraId="797EBE7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蒸汽冷凝尾气</w:t>
                  </w:r>
                </w:p>
              </w:tc>
              <w:tc>
                <w:tcPr>
                  <w:tcW w:w="151" w:type="pct"/>
                  <w:tcBorders>
                    <w:tl2br w:val="nil"/>
                    <w:tr2bl w:val="nil"/>
                  </w:tcBorders>
                  <w:vAlign w:val="center"/>
                </w:tcPr>
                <w:p w14:paraId="4EB5BB7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冷凝尾气</w:t>
                  </w:r>
                </w:p>
              </w:tc>
              <w:tc>
                <w:tcPr>
                  <w:tcW w:w="151" w:type="pct"/>
                  <w:tcBorders>
                    <w:tl2br w:val="nil"/>
                    <w:tr2bl w:val="nil"/>
                  </w:tcBorders>
                  <w:vAlign w:val="center"/>
                </w:tcPr>
                <w:p w14:paraId="3AC4A89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非甲烷总烃</w:t>
                  </w:r>
                </w:p>
              </w:tc>
              <w:tc>
                <w:tcPr>
                  <w:tcW w:w="672" w:type="dxa"/>
                  <w:tcBorders>
                    <w:tl2br w:val="nil"/>
                    <w:tr2bl w:val="nil"/>
                  </w:tcBorders>
                  <w:vAlign w:val="center"/>
                </w:tcPr>
                <w:p w14:paraId="3A227421">
                  <w:pPr>
                    <w:pStyle w:val="8"/>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kern w:val="0"/>
                      <w:sz w:val="21"/>
                      <w:szCs w:val="21"/>
                      <w:lang w:val="en-US" w:eastAsia="zh-CN" w:bidi="ar-SA"/>
                      <w14:textFill>
                        <w14:solidFill>
                          <w14:schemeClr w14:val="tx1"/>
                        </w14:solidFill>
                      </w14:textFill>
                    </w:rPr>
                  </w:pPr>
                  <w:r>
                    <w:rPr>
                      <w:rFonts w:hint="default"/>
                      <w:lang w:val="en-US" w:eastAsia="zh-CN"/>
                    </w:rPr>
                    <w:t xml:space="preserve">9.045 </w:t>
                  </w:r>
                </w:p>
              </w:tc>
              <w:tc>
                <w:tcPr>
                  <w:tcW w:w="954" w:type="dxa"/>
                  <w:tcBorders>
                    <w:tl2br w:val="nil"/>
                    <w:tr2bl w:val="nil"/>
                  </w:tcBorders>
                  <w:vAlign w:val="center"/>
                </w:tcPr>
                <w:p w14:paraId="1F2B0D79">
                  <w:pPr>
                    <w:pStyle w:val="8"/>
                    <w:keepNext w:val="0"/>
                    <w:keepLines w:val="0"/>
                    <w:suppressLineNumbers w:val="0"/>
                    <w:bidi w:val="0"/>
                    <w:spacing w:before="0" w:beforeAutospacing="0" w:after="0" w:afterAutospacing="0"/>
                    <w:ind w:left="0" w:leftChars="0" w:right="0" w:rightChars="0" w:firstLine="0" w:firstLineChars="0"/>
                    <w:rPr>
                      <w:rFonts w:hint="eastAsia" w:cs="Times New Roman"/>
                      <w:color w:val="000000" w:themeColor="text1"/>
                      <w:kern w:val="0"/>
                      <w:sz w:val="21"/>
                      <w:szCs w:val="21"/>
                      <w:lang w:val="en-US" w:eastAsia="zh-CN" w:bidi="ar-SA"/>
                      <w14:textFill>
                        <w14:solidFill>
                          <w14:schemeClr w14:val="tx1"/>
                        </w14:solidFill>
                      </w14:textFill>
                    </w:rPr>
                  </w:pPr>
                  <w:r>
                    <w:rPr>
                      <w:rFonts w:hint="default"/>
                      <w:lang w:val="en-US" w:eastAsia="zh-CN"/>
                    </w:rPr>
                    <w:t xml:space="preserve">12.562 </w:t>
                  </w:r>
                </w:p>
              </w:tc>
              <w:tc>
                <w:tcPr>
                  <w:tcW w:w="1047" w:type="dxa"/>
                  <w:tcBorders>
                    <w:tl2br w:val="nil"/>
                    <w:tr2bl w:val="nil"/>
                  </w:tcBorders>
                  <w:vAlign w:val="center"/>
                </w:tcPr>
                <w:p w14:paraId="0FE9D9EB">
                  <w:pPr>
                    <w:pStyle w:val="8"/>
                    <w:keepNext w:val="0"/>
                    <w:keepLines w:val="0"/>
                    <w:suppressLineNumbers w:val="0"/>
                    <w:bidi w:val="0"/>
                    <w:spacing w:before="0" w:beforeAutospacing="0" w:after="0" w:afterAutospacing="0"/>
                    <w:ind w:left="0" w:leftChars="0" w:right="0" w:rightChars="0" w:firstLine="0" w:firstLineChars="0"/>
                    <w:rPr>
                      <w:rFonts w:hint="default" w:cs="Times New Roman"/>
                      <w:color w:val="000000" w:themeColor="text1"/>
                      <w:kern w:val="0"/>
                      <w:sz w:val="21"/>
                      <w:szCs w:val="21"/>
                      <w:lang w:val="en-US" w:eastAsia="zh-CN" w:bidi="ar-SA"/>
                      <w14:textFill>
                        <w14:solidFill>
                          <w14:schemeClr w14:val="tx1"/>
                        </w14:solidFill>
                      </w14:textFill>
                    </w:rPr>
                  </w:pPr>
                  <w:r>
                    <w:rPr>
                      <w:rFonts w:hint="default"/>
                      <w:lang w:val="en-US" w:eastAsia="zh-CN"/>
                    </w:rPr>
                    <w:t xml:space="preserve">41872.889 </w:t>
                  </w:r>
                </w:p>
              </w:tc>
              <w:tc>
                <w:tcPr>
                  <w:tcW w:w="151" w:type="pct"/>
                  <w:tcBorders>
                    <w:tl2br w:val="nil"/>
                    <w:tr2bl w:val="nil"/>
                  </w:tcBorders>
                  <w:vAlign w:val="center"/>
                </w:tcPr>
                <w:p w14:paraId="5367E66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有组织</w:t>
                  </w:r>
                </w:p>
              </w:tc>
              <w:tc>
                <w:tcPr>
                  <w:tcW w:w="151" w:type="pct"/>
                  <w:tcBorders>
                    <w:tl2br w:val="nil"/>
                    <w:tr2bl w:val="nil"/>
                  </w:tcBorders>
                  <w:vAlign w:val="center"/>
                </w:tcPr>
                <w:p w14:paraId="44CCFAE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三级循环水冷凝+冷冻回收</w:t>
                  </w:r>
                </w:p>
              </w:tc>
              <w:tc>
                <w:tcPr>
                  <w:tcW w:w="236" w:type="pct"/>
                  <w:tcBorders>
                    <w:tl2br w:val="nil"/>
                    <w:tr2bl w:val="nil"/>
                  </w:tcBorders>
                  <w:vAlign w:val="center"/>
                </w:tcPr>
                <w:p w14:paraId="67515128">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99.9%</w:t>
                  </w:r>
                </w:p>
              </w:tc>
              <w:tc>
                <w:tcPr>
                  <w:tcW w:w="151" w:type="pct"/>
                  <w:tcBorders>
                    <w:tl2br w:val="nil"/>
                    <w:tr2bl w:val="nil"/>
                  </w:tcBorders>
                  <w:vAlign w:val="center"/>
                </w:tcPr>
                <w:p w14:paraId="0570A22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是</w:t>
                  </w:r>
                </w:p>
              </w:tc>
              <w:tc>
                <w:tcPr>
                  <w:tcW w:w="672" w:type="dxa"/>
                  <w:tcBorders>
                    <w:tl2br w:val="nil"/>
                    <w:tr2bl w:val="nil"/>
                  </w:tcBorders>
                  <w:vAlign w:val="center"/>
                </w:tcPr>
                <w:p w14:paraId="1324E13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0"/>
                      <w:sz w:val="21"/>
                      <w:szCs w:val="21"/>
                      <w:lang w:val="en-US" w:eastAsia="zh-CN" w:bidi="ar-SA"/>
                    </w:rPr>
                  </w:pPr>
                  <w:r>
                    <w:rPr>
                      <w:rFonts w:hint="default"/>
                      <w:lang w:val="en-US" w:eastAsia="zh-CN"/>
                    </w:rPr>
                    <w:t xml:space="preserve">0.009 </w:t>
                  </w:r>
                </w:p>
              </w:tc>
              <w:tc>
                <w:tcPr>
                  <w:tcW w:w="954" w:type="dxa"/>
                  <w:tcBorders>
                    <w:tl2br w:val="nil"/>
                    <w:tr2bl w:val="nil"/>
                  </w:tcBorders>
                  <w:vAlign w:val="center"/>
                </w:tcPr>
                <w:p w14:paraId="784D63D4">
                  <w:pPr>
                    <w:pStyle w:val="8"/>
                    <w:keepNext w:val="0"/>
                    <w:keepLines w:val="0"/>
                    <w:suppressLineNumbers w:val="0"/>
                    <w:bidi w:val="0"/>
                    <w:spacing w:before="0" w:beforeAutospacing="0" w:after="0" w:afterAutospacing="0"/>
                    <w:ind w:left="0" w:leftChars="0" w:right="0" w:rightChars="0" w:firstLine="0" w:firstLineChars="0"/>
                    <w:rPr>
                      <w:rFonts w:hint="eastAsia" w:cs="Times New Roman"/>
                      <w:kern w:val="0"/>
                      <w:sz w:val="21"/>
                      <w:szCs w:val="21"/>
                      <w:lang w:val="en-US" w:eastAsia="zh-CN" w:bidi="ar-SA"/>
                    </w:rPr>
                  </w:pPr>
                  <w:r>
                    <w:rPr>
                      <w:rFonts w:hint="default"/>
                      <w:lang w:val="en-US" w:eastAsia="zh-CN"/>
                    </w:rPr>
                    <w:t xml:space="preserve">0.013 </w:t>
                  </w:r>
                </w:p>
              </w:tc>
              <w:tc>
                <w:tcPr>
                  <w:tcW w:w="992" w:type="dxa"/>
                  <w:tcBorders>
                    <w:tl2br w:val="nil"/>
                    <w:tr2bl w:val="nil"/>
                  </w:tcBorders>
                  <w:vAlign w:val="center"/>
                </w:tcPr>
                <w:p w14:paraId="597B1B22">
                  <w:pPr>
                    <w:pStyle w:val="8"/>
                    <w:keepNext w:val="0"/>
                    <w:keepLines w:val="0"/>
                    <w:suppressLineNumbers w:val="0"/>
                    <w:bidi w:val="0"/>
                    <w:spacing w:before="0" w:beforeAutospacing="0" w:after="0" w:afterAutospacing="0"/>
                    <w:ind w:left="0" w:leftChars="0" w:right="0" w:rightChars="0" w:firstLine="0" w:firstLineChars="0"/>
                    <w:rPr>
                      <w:rFonts w:hint="default"/>
                      <w:sz w:val="21"/>
                      <w:szCs w:val="21"/>
                      <w:lang w:val="en-US" w:eastAsia="zh-CN"/>
                    </w:rPr>
                  </w:pPr>
                  <w:r>
                    <w:rPr>
                      <w:rFonts w:hint="eastAsia"/>
                      <w:lang w:val="en-US" w:eastAsia="zh-CN"/>
                    </w:rPr>
                    <w:t xml:space="preserve">41.873 </w:t>
                  </w:r>
                </w:p>
              </w:tc>
              <w:tc>
                <w:tcPr>
                  <w:tcW w:w="496" w:type="pct"/>
                  <w:tcBorders>
                    <w:tl2br w:val="nil"/>
                    <w:tr2bl w:val="nil"/>
                  </w:tcBorders>
                  <w:vAlign w:val="center"/>
                </w:tcPr>
                <w:p w14:paraId="5189C34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东经</w:t>
                  </w:r>
                  <w:r>
                    <w:rPr>
                      <w:rFonts w:hint="default" w:ascii="Times New Roman" w:hAnsi="Times New Roman" w:eastAsia="宋体" w:cs="Times New Roman"/>
                      <w:color w:val="auto"/>
                      <w:sz w:val="21"/>
                      <w:szCs w:val="21"/>
                      <w:lang w:val="en-US" w:eastAsia="zh-CN"/>
                    </w:rPr>
                    <w:t>86°19′10.382″</w:t>
                  </w:r>
                </w:p>
                <w:p w14:paraId="4E64F06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北纬</w:t>
                  </w:r>
                  <w:r>
                    <w:rPr>
                      <w:rFonts w:hint="default" w:ascii="Times New Roman" w:hAnsi="Times New Roman" w:eastAsia="宋体" w:cs="Times New Roman"/>
                      <w:color w:val="auto"/>
                      <w:sz w:val="21"/>
                      <w:szCs w:val="21"/>
                      <w:lang w:val="en-US" w:eastAsia="zh-CN"/>
                    </w:rPr>
                    <w:t>41°52′22.174″</w:t>
                  </w:r>
                </w:p>
              </w:tc>
              <w:tc>
                <w:tcPr>
                  <w:tcW w:w="292" w:type="pct"/>
                  <w:tcBorders>
                    <w:tl2br w:val="nil"/>
                    <w:tr2bl w:val="nil"/>
                  </w:tcBorders>
                  <w:vAlign w:val="center"/>
                </w:tcPr>
                <w:p w14:paraId="37C7019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DA002</w:t>
                  </w:r>
                </w:p>
              </w:tc>
              <w:tc>
                <w:tcPr>
                  <w:tcW w:w="151" w:type="pct"/>
                  <w:tcBorders>
                    <w:tl2br w:val="nil"/>
                    <w:tr2bl w:val="nil"/>
                  </w:tcBorders>
                  <w:vAlign w:val="center"/>
                </w:tcPr>
                <w:p w14:paraId="0937EE5B">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非甲烷总烃排放口</w:t>
                  </w:r>
                </w:p>
              </w:tc>
              <w:tc>
                <w:tcPr>
                  <w:tcW w:w="151" w:type="pct"/>
                  <w:tcBorders>
                    <w:tl2br w:val="nil"/>
                    <w:tr2bl w:val="nil"/>
                  </w:tcBorders>
                  <w:vAlign w:val="center"/>
                </w:tcPr>
                <w:p w14:paraId="5E4B830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一般排放口</w:t>
                  </w:r>
                </w:p>
              </w:tc>
              <w:tc>
                <w:tcPr>
                  <w:tcW w:w="232" w:type="pct"/>
                  <w:tcBorders>
                    <w:tl2br w:val="nil"/>
                    <w:tr2bl w:val="nil"/>
                  </w:tcBorders>
                  <w:vAlign w:val="center"/>
                </w:tcPr>
                <w:p w14:paraId="466C889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15</w:t>
                  </w:r>
                </w:p>
              </w:tc>
              <w:tc>
                <w:tcPr>
                  <w:tcW w:w="206" w:type="pct"/>
                  <w:tcBorders>
                    <w:tl2br w:val="nil"/>
                    <w:tr2bl w:val="nil"/>
                  </w:tcBorders>
                  <w:vAlign w:val="center"/>
                </w:tcPr>
                <w:p w14:paraId="2A0E190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0.08</w:t>
                  </w:r>
                </w:p>
              </w:tc>
              <w:tc>
                <w:tcPr>
                  <w:tcW w:w="366" w:type="pct"/>
                  <w:tcBorders>
                    <w:tl2br w:val="nil"/>
                    <w:tr2bl w:val="nil"/>
                  </w:tcBorders>
                  <w:vAlign w:val="center"/>
                </w:tcPr>
                <w:p w14:paraId="2BAD32E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120</w:t>
                  </w:r>
                </w:p>
              </w:tc>
            </w:tr>
            <w:tr w14:paraId="5FDF1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vMerge w:val="restart"/>
                  <w:tcBorders>
                    <w:tl2br w:val="nil"/>
                    <w:tr2bl w:val="nil"/>
                  </w:tcBorders>
                  <w:vAlign w:val="center"/>
                </w:tcPr>
                <w:p w14:paraId="0B972E6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厂区</w:t>
                  </w:r>
                </w:p>
              </w:tc>
              <w:tc>
                <w:tcPr>
                  <w:tcW w:w="151" w:type="pct"/>
                  <w:tcBorders>
                    <w:tl2br w:val="nil"/>
                    <w:tr2bl w:val="nil"/>
                  </w:tcBorders>
                  <w:vAlign w:val="center"/>
                </w:tcPr>
                <w:p w14:paraId="40F53C2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eastAsia="宋体"/>
                      <w:color w:val="auto"/>
                      <w:sz w:val="21"/>
                      <w:szCs w:val="21"/>
                      <w:lang w:val="en-US" w:eastAsia="zh-CN"/>
                    </w:rPr>
                    <w:t>上料粉尘</w:t>
                  </w:r>
                </w:p>
              </w:tc>
              <w:tc>
                <w:tcPr>
                  <w:tcW w:w="151" w:type="pct"/>
                  <w:tcBorders>
                    <w:tl2br w:val="nil"/>
                    <w:tr2bl w:val="nil"/>
                  </w:tcBorders>
                  <w:vAlign w:val="center"/>
                </w:tcPr>
                <w:p w14:paraId="165BE55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颗粒物</w:t>
                  </w:r>
                </w:p>
              </w:tc>
              <w:tc>
                <w:tcPr>
                  <w:tcW w:w="248" w:type="pct"/>
                  <w:tcBorders>
                    <w:tl2br w:val="nil"/>
                    <w:tr2bl w:val="nil"/>
                  </w:tcBorders>
                  <w:vAlign w:val="center"/>
                </w:tcPr>
                <w:p w14:paraId="1BBE7189">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忽略不计</w:t>
                  </w:r>
                </w:p>
              </w:tc>
              <w:tc>
                <w:tcPr>
                  <w:tcW w:w="352" w:type="pct"/>
                  <w:tcBorders>
                    <w:tl2br w:val="nil"/>
                    <w:tr2bl w:val="nil"/>
                  </w:tcBorders>
                  <w:vAlign w:val="center"/>
                </w:tcPr>
                <w:p w14:paraId="209C506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386" w:type="pct"/>
                  <w:tcBorders>
                    <w:tl2br w:val="nil"/>
                    <w:tr2bl w:val="nil"/>
                  </w:tcBorders>
                  <w:vAlign w:val="center"/>
                </w:tcPr>
                <w:p w14:paraId="770EB53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151" w:type="pct"/>
                  <w:tcBorders>
                    <w:tl2br w:val="nil"/>
                    <w:tr2bl w:val="nil"/>
                  </w:tcBorders>
                  <w:vAlign w:val="center"/>
                </w:tcPr>
                <w:p w14:paraId="342DBCEC">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无组织</w:t>
                  </w:r>
                </w:p>
              </w:tc>
              <w:tc>
                <w:tcPr>
                  <w:tcW w:w="151" w:type="pct"/>
                  <w:tcBorders>
                    <w:tl2br w:val="nil"/>
                    <w:tr2bl w:val="nil"/>
                  </w:tcBorders>
                  <w:vAlign w:val="center"/>
                </w:tcPr>
                <w:p w14:paraId="03B12D0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全封闭仓库</w:t>
                  </w:r>
                </w:p>
              </w:tc>
              <w:tc>
                <w:tcPr>
                  <w:tcW w:w="236" w:type="pct"/>
                  <w:tcBorders>
                    <w:tl2br w:val="nil"/>
                    <w:tr2bl w:val="nil"/>
                  </w:tcBorders>
                  <w:vAlign w:val="center"/>
                </w:tcPr>
                <w:p w14:paraId="6187F81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99%</w:t>
                  </w:r>
                </w:p>
              </w:tc>
              <w:tc>
                <w:tcPr>
                  <w:tcW w:w="151" w:type="pct"/>
                  <w:tcBorders>
                    <w:tl2br w:val="nil"/>
                    <w:tr2bl w:val="nil"/>
                  </w:tcBorders>
                  <w:vAlign w:val="center"/>
                </w:tcPr>
                <w:p w14:paraId="58D1F79C">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是</w:t>
                  </w:r>
                </w:p>
              </w:tc>
              <w:tc>
                <w:tcPr>
                  <w:tcW w:w="248" w:type="pct"/>
                  <w:tcBorders>
                    <w:tl2br w:val="nil"/>
                    <w:tr2bl w:val="nil"/>
                  </w:tcBorders>
                  <w:vAlign w:val="center"/>
                </w:tcPr>
                <w:p w14:paraId="54DE43E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352" w:type="pct"/>
                  <w:tcBorders>
                    <w:tl2br w:val="nil"/>
                    <w:tr2bl w:val="nil"/>
                  </w:tcBorders>
                  <w:vAlign w:val="center"/>
                </w:tcPr>
                <w:p w14:paraId="5ADD9E7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366" w:type="pct"/>
                  <w:tcBorders>
                    <w:tl2br w:val="nil"/>
                    <w:tr2bl w:val="nil"/>
                  </w:tcBorders>
                  <w:vAlign w:val="center"/>
                </w:tcPr>
                <w:p w14:paraId="57FB1649">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496" w:type="pct"/>
                  <w:tcBorders>
                    <w:tl2br w:val="nil"/>
                    <w:tr2bl w:val="nil"/>
                  </w:tcBorders>
                  <w:vAlign w:val="center"/>
                </w:tcPr>
                <w:p w14:paraId="417397D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p>
              </w:tc>
              <w:tc>
                <w:tcPr>
                  <w:tcW w:w="292" w:type="pct"/>
                  <w:tcBorders>
                    <w:tl2br w:val="nil"/>
                    <w:tr2bl w:val="nil"/>
                  </w:tcBorders>
                  <w:vAlign w:val="center"/>
                </w:tcPr>
                <w:p w14:paraId="6EDCDD0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151" w:type="pct"/>
                  <w:tcBorders>
                    <w:tl2br w:val="nil"/>
                    <w:tr2bl w:val="nil"/>
                  </w:tcBorders>
                  <w:vAlign w:val="center"/>
                </w:tcPr>
                <w:p w14:paraId="24AB4AE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151" w:type="pct"/>
                  <w:tcBorders>
                    <w:tl2br w:val="nil"/>
                    <w:tr2bl w:val="nil"/>
                  </w:tcBorders>
                  <w:vAlign w:val="center"/>
                </w:tcPr>
                <w:p w14:paraId="675AE36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232" w:type="pct"/>
                  <w:tcBorders>
                    <w:tl2br w:val="nil"/>
                    <w:tr2bl w:val="nil"/>
                  </w:tcBorders>
                  <w:vAlign w:val="center"/>
                </w:tcPr>
                <w:p w14:paraId="062DBD0B">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206" w:type="pct"/>
                  <w:tcBorders>
                    <w:tl2br w:val="nil"/>
                    <w:tr2bl w:val="nil"/>
                  </w:tcBorders>
                  <w:vAlign w:val="center"/>
                </w:tcPr>
                <w:p w14:paraId="66F1946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366" w:type="pct"/>
                  <w:vMerge w:val="restart"/>
                  <w:tcBorders>
                    <w:tl2br w:val="nil"/>
                    <w:tr2bl w:val="nil"/>
                  </w:tcBorders>
                  <w:vAlign w:val="center"/>
                </w:tcPr>
                <w:p w14:paraId="246DB5BC">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1.0</w:t>
                  </w:r>
                </w:p>
              </w:tc>
            </w:tr>
            <w:tr w14:paraId="0E02E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vMerge w:val="continue"/>
                  <w:tcBorders>
                    <w:tl2br w:val="nil"/>
                    <w:tr2bl w:val="nil"/>
                  </w:tcBorders>
                  <w:vAlign w:val="center"/>
                </w:tcPr>
                <w:p w14:paraId="062B5DD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color w:val="auto"/>
                      <w:sz w:val="21"/>
                      <w:szCs w:val="21"/>
                      <w:lang w:val="en-US" w:eastAsia="zh-CN"/>
                    </w:rPr>
                  </w:pPr>
                </w:p>
              </w:tc>
              <w:tc>
                <w:tcPr>
                  <w:tcW w:w="151" w:type="pct"/>
                  <w:tcBorders>
                    <w:tl2br w:val="nil"/>
                    <w:tr2bl w:val="nil"/>
                  </w:tcBorders>
                  <w:vAlign w:val="center"/>
                </w:tcPr>
                <w:p w14:paraId="0F833A6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eastAsia="宋体"/>
                      <w:color w:val="auto"/>
                      <w:sz w:val="21"/>
                      <w:szCs w:val="21"/>
                      <w:lang w:val="en-US" w:eastAsia="zh-CN"/>
                    </w:rPr>
                  </w:pPr>
                  <w:r>
                    <w:rPr>
                      <w:rFonts w:hint="eastAsia"/>
                      <w:color w:val="auto"/>
                      <w:sz w:val="21"/>
                      <w:szCs w:val="21"/>
                      <w:lang w:val="en-US" w:eastAsia="zh-CN"/>
                    </w:rPr>
                    <w:t>装卸粉尘</w:t>
                  </w:r>
                </w:p>
              </w:tc>
              <w:tc>
                <w:tcPr>
                  <w:tcW w:w="151" w:type="pct"/>
                  <w:tcBorders>
                    <w:tl2br w:val="nil"/>
                    <w:tr2bl w:val="nil"/>
                  </w:tcBorders>
                  <w:vAlign w:val="center"/>
                </w:tcPr>
                <w:p w14:paraId="62A3ACD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color w:val="auto"/>
                      <w:sz w:val="21"/>
                      <w:szCs w:val="21"/>
                      <w:lang w:val="en-US" w:eastAsia="zh-CN"/>
                    </w:rPr>
                  </w:pPr>
                  <w:r>
                    <w:rPr>
                      <w:rFonts w:hint="eastAsia"/>
                      <w:color w:val="auto"/>
                      <w:sz w:val="21"/>
                      <w:szCs w:val="21"/>
                      <w:lang w:val="en-US" w:eastAsia="zh-CN"/>
                    </w:rPr>
                    <w:t>颗粒物</w:t>
                  </w:r>
                </w:p>
              </w:tc>
              <w:tc>
                <w:tcPr>
                  <w:tcW w:w="248" w:type="pct"/>
                  <w:tcBorders>
                    <w:tl2br w:val="nil"/>
                    <w:tr2bl w:val="nil"/>
                  </w:tcBorders>
                  <w:vAlign w:val="center"/>
                </w:tcPr>
                <w:p w14:paraId="4D756D62">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2.88</w:t>
                  </w:r>
                </w:p>
              </w:tc>
              <w:tc>
                <w:tcPr>
                  <w:tcW w:w="352" w:type="pct"/>
                  <w:tcBorders>
                    <w:tl2br w:val="nil"/>
                    <w:tr2bl w:val="nil"/>
                  </w:tcBorders>
                  <w:vAlign w:val="center"/>
                </w:tcPr>
                <w:p w14:paraId="7638658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w:t>
                  </w:r>
                </w:p>
              </w:tc>
              <w:tc>
                <w:tcPr>
                  <w:tcW w:w="386" w:type="pct"/>
                  <w:tcBorders>
                    <w:tl2br w:val="nil"/>
                    <w:tr2bl w:val="nil"/>
                  </w:tcBorders>
                  <w:vAlign w:val="center"/>
                </w:tcPr>
                <w:p w14:paraId="7FDEA90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151" w:type="pct"/>
                  <w:tcBorders>
                    <w:tl2br w:val="nil"/>
                    <w:tr2bl w:val="nil"/>
                  </w:tcBorders>
                  <w:vAlign w:val="center"/>
                </w:tcPr>
                <w:p w14:paraId="268BA5A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无组织</w:t>
                  </w:r>
                </w:p>
              </w:tc>
              <w:tc>
                <w:tcPr>
                  <w:tcW w:w="151" w:type="pct"/>
                  <w:tcBorders>
                    <w:tl2br w:val="nil"/>
                    <w:tr2bl w:val="nil"/>
                  </w:tcBorders>
                  <w:vAlign w:val="center"/>
                </w:tcPr>
                <w:p w14:paraId="00F60FD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全封闭仓库</w:t>
                  </w:r>
                </w:p>
              </w:tc>
              <w:tc>
                <w:tcPr>
                  <w:tcW w:w="236" w:type="pct"/>
                  <w:tcBorders>
                    <w:tl2br w:val="nil"/>
                    <w:tr2bl w:val="nil"/>
                  </w:tcBorders>
                  <w:vAlign w:val="center"/>
                </w:tcPr>
                <w:p w14:paraId="5FB7070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99%</w:t>
                  </w:r>
                </w:p>
              </w:tc>
              <w:tc>
                <w:tcPr>
                  <w:tcW w:w="151" w:type="pct"/>
                  <w:tcBorders>
                    <w:tl2br w:val="nil"/>
                    <w:tr2bl w:val="nil"/>
                  </w:tcBorders>
                  <w:vAlign w:val="center"/>
                </w:tcPr>
                <w:p w14:paraId="656E725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是</w:t>
                  </w:r>
                </w:p>
              </w:tc>
              <w:tc>
                <w:tcPr>
                  <w:tcW w:w="248" w:type="pct"/>
                  <w:tcBorders>
                    <w:tl2br w:val="nil"/>
                    <w:tr2bl w:val="nil"/>
                  </w:tcBorders>
                  <w:vAlign w:val="center"/>
                </w:tcPr>
                <w:p w14:paraId="0C7244C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0.029</w:t>
                  </w:r>
                </w:p>
              </w:tc>
              <w:tc>
                <w:tcPr>
                  <w:tcW w:w="352" w:type="pct"/>
                  <w:tcBorders>
                    <w:tl2br w:val="nil"/>
                    <w:tr2bl w:val="nil"/>
                  </w:tcBorders>
                  <w:vAlign w:val="center"/>
                </w:tcPr>
                <w:p w14:paraId="04C08EC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366" w:type="pct"/>
                  <w:tcBorders>
                    <w:tl2br w:val="nil"/>
                    <w:tr2bl w:val="nil"/>
                  </w:tcBorders>
                  <w:vAlign w:val="center"/>
                </w:tcPr>
                <w:p w14:paraId="4D7616A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96" w:type="pct"/>
                  <w:tcBorders>
                    <w:tl2br w:val="nil"/>
                    <w:tr2bl w:val="nil"/>
                  </w:tcBorders>
                  <w:vAlign w:val="center"/>
                </w:tcPr>
                <w:p w14:paraId="60882D9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292" w:type="pct"/>
                  <w:tcBorders>
                    <w:tl2br w:val="nil"/>
                    <w:tr2bl w:val="nil"/>
                  </w:tcBorders>
                  <w:vAlign w:val="center"/>
                </w:tcPr>
                <w:p w14:paraId="5A001FC8">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1" w:type="pct"/>
                  <w:tcBorders>
                    <w:tl2br w:val="nil"/>
                    <w:tr2bl w:val="nil"/>
                  </w:tcBorders>
                  <w:vAlign w:val="center"/>
                </w:tcPr>
                <w:p w14:paraId="6318F87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1" w:type="pct"/>
                  <w:tcBorders>
                    <w:tl2br w:val="nil"/>
                    <w:tr2bl w:val="nil"/>
                  </w:tcBorders>
                  <w:vAlign w:val="center"/>
                </w:tcPr>
                <w:p w14:paraId="65461E9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232" w:type="pct"/>
                  <w:tcBorders>
                    <w:tl2br w:val="nil"/>
                    <w:tr2bl w:val="nil"/>
                  </w:tcBorders>
                  <w:vAlign w:val="center"/>
                </w:tcPr>
                <w:p w14:paraId="345778B1">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206" w:type="pct"/>
                  <w:tcBorders>
                    <w:tl2br w:val="nil"/>
                    <w:tr2bl w:val="nil"/>
                  </w:tcBorders>
                  <w:vAlign w:val="center"/>
                </w:tcPr>
                <w:p w14:paraId="7931771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366" w:type="pct"/>
                  <w:vMerge w:val="continue"/>
                  <w:tcBorders>
                    <w:tl2br w:val="nil"/>
                    <w:tr2bl w:val="nil"/>
                  </w:tcBorders>
                  <w:vAlign w:val="center"/>
                </w:tcPr>
                <w:p w14:paraId="4F11C0D8">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p>
              </w:tc>
            </w:tr>
            <w:tr w14:paraId="4C87C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1" w:type="pct"/>
                  <w:vMerge w:val="continue"/>
                  <w:tcBorders>
                    <w:tl2br w:val="nil"/>
                    <w:tr2bl w:val="nil"/>
                  </w:tcBorders>
                  <w:vAlign w:val="center"/>
                </w:tcPr>
                <w:p w14:paraId="1C3FA61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eastAsia"/>
                      <w:color w:val="auto"/>
                      <w:sz w:val="21"/>
                      <w:szCs w:val="21"/>
                      <w:lang w:val="en-US" w:eastAsia="zh-CN"/>
                    </w:rPr>
                  </w:pPr>
                </w:p>
              </w:tc>
              <w:tc>
                <w:tcPr>
                  <w:tcW w:w="151" w:type="pct"/>
                  <w:tcBorders>
                    <w:tl2br w:val="nil"/>
                    <w:tr2bl w:val="nil"/>
                  </w:tcBorders>
                  <w:vAlign w:val="center"/>
                </w:tcPr>
                <w:p w14:paraId="1FA2342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储罐呼吸废气</w:t>
                  </w:r>
                </w:p>
              </w:tc>
              <w:tc>
                <w:tcPr>
                  <w:tcW w:w="151" w:type="pct"/>
                  <w:tcBorders>
                    <w:tl2br w:val="nil"/>
                    <w:tr2bl w:val="nil"/>
                  </w:tcBorders>
                  <w:vAlign w:val="center"/>
                </w:tcPr>
                <w:p w14:paraId="109FE35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非甲烷总烃</w:t>
                  </w:r>
                </w:p>
              </w:tc>
              <w:tc>
                <w:tcPr>
                  <w:tcW w:w="248" w:type="pct"/>
                  <w:tcBorders>
                    <w:tl2br w:val="nil"/>
                    <w:tr2bl w:val="nil"/>
                  </w:tcBorders>
                  <w:vAlign w:val="center"/>
                </w:tcPr>
                <w:p w14:paraId="67F59E5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0.196</w:t>
                  </w:r>
                </w:p>
              </w:tc>
              <w:tc>
                <w:tcPr>
                  <w:tcW w:w="352" w:type="pct"/>
                  <w:tcBorders>
                    <w:tl2br w:val="nil"/>
                    <w:tr2bl w:val="nil"/>
                  </w:tcBorders>
                  <w:vAlign w:val="center"/>
                </w:tcPr>
                <w:p w14:paraId="612A46C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w:t>
                  </w:r>
                </w:p>
              </w:tc>
              <w:tc>
                <w:tcPr>
                  <w:tcW w:w="386" w:type="pct"/>
                  <w:tcBorders>
                    <w:tl2br w:val="nil"/>
                    <w:tr2bl w:val="nil"/>
                  </w:tcBorders>
                  <w:vAlign w:val="center"/>
                </w:tcPr>
                <w:p w14:paraId="1B34F127">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151" w:type="pct"/>
                  <w:tcBorders>
                    <w:tl2br w:val="nil"/>
                    <w:tr2bl w:val="nil"/>
                  </w:tcBorders>
                  <w:vAlign w:val="center"/>
                </w:tcPr>
                <w:p w14:paraId="58BDCBD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151" w:type="pct"/>
                  <w:tcBorders>
                    <w:tl2br w:val="nil"/>
                    <w:tr2bl w:val="nil"/>
                  </w:tcBorders>
                  <w:vAlign w:val="center"/>
                </w:tcPr>
                <w:p w14:paraId="4A30CF62">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236" w:type="pct"/>
                  <w:tcBorders>
                    <w:tl2br w:val="nil"/>
                    <w:tr2bl w:val="nil"/>
                  </w:tcBorders>
                  <w:vAlign w:val="center"/>
                </w:tcPr>
                <w:p w14:paraId="477B68B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151" w:type="pct"/>
                  <w:tcBorders>
                    <w:tl2br w:val="nil"/>
                    <w:tr2bl w:val="nil"/>
                  </w:tcBorders>
                  <w:vAlign w:val="center"/>
                </w:tcPr>
                <w:p w14:paraId="6D16AB8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w:t>
                  </w:r>
                </w:p>
              </w:tc>
              <w:tc>
                <w:tcPr>
                  <w:tcW w:w="248" w:type="pct"/>
                  <w:tcBorders>
                    <w:tl2br w:val="nil"/>
                    <w:tr2bl w:val="nil"/>
                  </w:tcBorders>
                  <w:vAlign w:val="center"/>
                </w:tcPr>
                <w:p w14:paraId="0BF184E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textAlignment w:val="auto"/>
                    <w:rPr>
                      <w:rFonts w:hint="default"/>
                      <w:color w:val="auto"/>
                      <w:sz w:val="21"/>
                      <w:szCs w:val="21"/>
                      <w:lang w:val="en-US" w:eastAsia="zh-CN"/>
                    </w:rPr>
                  </w:pPr>
                  <w:r>
                    <w:rPr>
                      <w:rFonts w:hint="eastAsia"/>
                      <w:color w:val="auto"/>
                      <w:sz w:val="21"/>
                      <w:szCs w:val="21"/>
                      <w:lang w:val="en-US" w:eastAsia="zh-CN"/>
                    </w:rPr>
                    <w:t>0.196</w:t>
                  </w:r>
                </w:p>
              </w:tc>
              <w:tc>
                <w:tcPr>
                  <w:tcW w:w="352" w:type="pct"/>
                  <w:tcBorders>
                    <w:tl2br w:val="nil"/>
                    <w:tr2bl w:val="nil"/>
                  </w:tcBorders>
                  <w:shd w:val="clear" w:color="auto" w:fill="auto"/>
                  <w:vAlign w:val="center"/>
                </w:tcPr>
                <w:p w14:paraId="07FFEDFE">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366" w:type="pct"/>
                  <w:tcBorders>
                    <w:tl2br w:val="nil"/>
                    <w:tr2bl w:val="nil"/>
                  </w:tcBorders>
                  <w:shd w:val="clear" w:color="auto" w:fill="auto"/>
                  <w:vAlign w:val="center"/>
                </w:tcPr>
                <w:p w14:paraId="41DD4353">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96" w:type="pct"/>
                  <w:tcBorders>
                    <w:tl2br w:val="nil"/>
                    <w:tr2bl w:val="nil"/>
                  </w:tcBorders>
                  <w:shd w:val="clear" w:color="auto" w:fill="auto"/>
                  <w:vAlign w:val="center"/>
                </w:tcPr>
                <w:p w14:paraId="35D5A85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w:t>
                  </w:r>
                </w:p>
              </w:tc>
              <w:tc>
                <w:tcPr>
                  <w:tcW w:w="292" w:type="pct"/>
                  <w:tcBorders>
                    <w:tl2br w:val="nil"/>
                    <w:tr2bl w:val="nil"/>
                  </w:tcBorders>
                  <w:shd w:val="clear" w:color="auto" w:fill="auto"/>
                  <w:vAlign w:val="center"/>
                </w:tcPr>
                <w:p w14:paraId="2D0784D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1" w:type="pct"/>
                  <w:tcBorders>
                    <w:tl2br w:val="nil"/>
                    <w:tr2bl w:val="nil"/>
                  </w:tcBorders>
                  <w:shd w:val="clear" w:color="auto" w:fill="auto"/>
                  <w:vAlign w:val="center"/>
                </w:tcPr>
                <w:p w14:paraId="5A31465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51" w:type="pct"/>
                  <w:tcBorders>
                    <w:tl2br w:val="nil"/>
                    <w:tr2bl w:val="nil"/>
                  </w:tcBorders>
                  <w:shd w:val="clear" w:color="auto" w:fill="auto"/>
                  <w:vAlign w:val="center"/>
                </w:tcPr>
                <w:p w14:paraId="59FEB736">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232" w:type="pct"/>
                  <w:tcBorders>
                    <w:tl2br w:val="nil"/>
                    <w:tr2bl w:val="nil"/>
                  </w:tcBorders>
                  <w:shd w:val="clear" w:color="auto" w:fill="auto"/>
                  <w:vAlign w:val="center"/>
                </w:tcPr>
                <w:p w14:paraId="4A3F034D">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206" w:type="pct"/>
                  <w:tcBorders>
                    <w:tl2br w:val="nil"/>
                    <w:tr2bl w:val="nil"/>
                  </w:tcBorders>
                  <w:shd w:val="clear" w:color="auto" w:fill="auto"/>
                  <w:vAlign w:val="center"/>
                </w:tcPr>
                <w:p w14:paraId="4C670F8F">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366" w:type="pct"/>
                  <w:tcBorders>
                    <w:tl2br w:val="nil"/>
                    <w:tr2bl w:val="nil"/>
                  </w:tcBorders>
                  <w:vAlign w:val="center"/>
                </w:tcPr>
                <w:p w14:paraId="06F92C20">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textAlignment w:val="auto"/>
                    <w:rPr>
                      <w:rFonts w:hint="default"/>
                      <w:color w:val="auto"/>
                      <w:sz w:val="21"/>
                      <w:szCs w:val="21"/>
                      <w:lang w:val="en-US" w:eastAsia="zh-CN"/>
                    </w:rPr>
                  </w:pPr>
                  <w:r>
                    <w:rPr>
                      <w:rFonts w:hint="eastAsia"/>
                      <w:color w:val="auto"/>
                      <w:sz w:val="21"/>
                      <w:szCs w:val="21"/>
                      <w:lang w:val="en-US" w:eastAsia="zh-CN"/>
                    </w:rPr>
                    <w:t>4.0</w:t>
                  </w:r>
                </w:p>
              </w:tc>
            </w:tr>
          </w:tbl>
          <w:p w14:paraId="5B4FDABF">
            <w:pPr>
              <w:pStyle w:val="11"/>
              <w:keepNext w:val="0"/>
              <w:keepLines w:val="0"/>
              <w:suppressLineNumbers w:val="0"/>
              <w:bidi w:val="0"/>
              <w:spacing w:before="0" w:beforeAutospacing="0" w:after="0" w:afterAutospacing="0"/>
              <w:ind w:left="0" w:right="0"/>
              <w:jc w:val="both"/>
              <w:rPr>
                <w:rFonts w:hint="eastAsia" w:ascii="宋体" w:hAnsi="宋体" w:cs="宋体"/>
                <w:b/>
                <w:color w:val="000000" w:themeColor="text1"/>
                <w:szCs w:val="28"/>
                <w:vertAlign w:val="baseline"/>
                <w14:textFill>
                  <w14:solidFill>
                    <w14:schemeClr w14:val="tx1"/>
                  </w14:solidFill>
                </w14:textFill>
              </w:rPr>
            </w:pPr>
          </w:p>
        </w:tc>
      </w:tr>
    </w:tbl>
    <w:p w14:paraId="5ED56804">
      <w:pPr>
        <w:pStyle w:val="11"/>
        <w:keepNext w:val="0"/>
        <w:keepLines w:val="0"/>
        <w:suppressLineNumbers w:val="0"/>
        <w:bidi w:val="0"/>
        <w:spacing w:before="0" w:beforeAutospacing="0" w:after="0" w:afterAutospacing="0"/>
        <w:ind w:left="0" w:right="0"/>
        <w:rPr>
          <w:rFonts w:hint="eastAsia" w:ascii="宋体" w:hAnsi="宋体" w:cs="宋体"/>
          <w:b/>
          <w:color w:val="000000" w:themeColor="text1"/>
          <w:szCs w:val="28"/>
          <w14:textFill>
            <w14:solidFill>
              <w14:schemeClr w14:val="tx1"/>
            </w14:solidFill>
          </w14:textFill>
        </w:rPr>
        <w:sectPr>
          <w:pgSz w:w="16840" w:h="11907" w:orient="landscape"/>
          <w:pgMar w:top="1134"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
        <w:gridCol w:w="8699"/>
      </w:tblGrid>
      <w:tr w14:paraId="39AFF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0" w:hRule="atLeast"/>
          <w:jc w:val="center"/>
        </w:trPr>
        <w:tc>
          <w:tcPr>
            <w:tcW w:w="156" w:type="pct"/>
            <w:tcMar>
              <w:left w:w="28" w:type="dxa"/>
              <w:right w:w="28" w:type="dxa"/>
            </w:tcMar>
            <w:vAlign w:val="center"/>
          </w:tcPr>
          <w:p w14:paraId="7FDE2BEF">
            <w:pPr>
              <w:pStyle w:val="11"/>
              <w:keepNext w:val="0"/>
              <w:keepLines w:val="0"/>
              <w:suppressLineNumbers w:val="0"/>
              <w:bidi w:val="0"/>
              <w:spacing w:before="0" w:beforeAutospacing="0" w:after="0" w:afterAutospacing="0"/>
              <w:ind w:left="0" w:right="0"/>
              <w:rPr>
                <w:rFonts w:hint="default"/>
              </w:rPr>
            </w:pPr>
            <w:r>
              <w:rPr>
                <w:rFonts w:hint="eastAsia" w:ascii="宋体" w:hAnsi="宋体" w:cs="宋体"/>
                <w:b/>
                <w:color w:val="000000" w:themeColor="text1"/>
                <w:szCs w:val="28"/>
                <w14:textFill>
                  <w14:solidFill>
                    <w14:schemeClr w14:val="tx1"/>
                  </w14:solidFill>
                </w14:textFill>
              </w:rPr>
              <w:t>运</w:t>
            </w:r>
            <w:r>
              <w:rPr>
                <w:rFonts w:hint="eastAsia"/>
              </w:rPr>
              <w:t>营</w:t>
            </w:r>
          </w:p>
          <w:p w14:paraId="4FDEE573">
            <w:pPr>
              <w:pStyle w:val="11"/>
              <w:keepNext w:val="0"/>
              <w:keepLines w:val="0"/>
              <w:suppressLineNumbers w:val="0"/>
              <w:bidi w:val="0"/>
              <w:spacing w:before="0" w:beforeAutospacing="0" w:after="0" w:afterAutospacing="0"/>
              <w:ind w:left="0" w:right="0"/>
              <w:rPr>
                <w:rFonts w:hint="default"/>
              </w:rPr>
            </w:pPr>
            <w:r>
              <w:rPr>
                <w:rFonts w:hint="eastAsia"/>
              </w:rPr>
              <w:t>期环</w:t>
            </w:r>
          </w:p>
          <w:p w14:paraId="245CC254">
            <w:pPr>
              <w:pStyle w:val="11"/>
              <w:keepNext w:val="0"/>
              <w:keepLines w:val="0"/>
              <w:suppressLineNumbers w:val="0"/>
              <w:bidi w:val="0"/>
              <w:spacing w:before="0" w:beforeAutospacing="0" w:after="0" w:afterAutospacing="0"/>
              <w:ind w:left="0" w:right="0"/>
              <w:rPr>
                <w:rFonts w:hint="default"/>
              </w:rPr>
            </w:pPr>
            <w:r>
              <w:rPr>
                <w:rFonts w:hint="eastAsia"/>
              </w:rPr>
              <w:t>境影</w:t>
            </w:r>
          </w:p>
          <w:p w14:paraId="62CB7A81">
            <w:pPr>
              <w:pStyle w:val="11"/>
              <w:keepNext w:val="0"/>
              <w:keepLines w:val="0"/>
              <w:suppressLineNumbers w:val="0"/>
              <w:bidi w:val="0"/>
              <w:spacing w:before="0" w:beforeAutospacing="0" w:after="0" w:afterAutospacing="0"/>
              <w:ind w:left="0" w:right="0"/>
              <w:rPr>
                <w:rFonts w:hint="default"/>
              </w:rPr>
            </w:pPr>
            <w:r>
              <w:rPr>
                <w:rFonts w:hint="eastAsia"/>
              </w:rPr>
              <w:t>响和</w:t>
            </w:r>
          </w:p>
          <w:p w14:paraId="66389FA8">
            <w:pPr>
              <w:pStyle w:val="11"/>
              <w:keepNext w:val="0"/>
              <w:keepLines w:val="0"/>
              <w:suppressLineNumbers w:val="0"/>
              <w:bidi w:val="0"/>
              <w:spacing w:before="0" w:beforeAutospacing="0" w:after="0" w:afterAutospacing="0"/>
              <w:ind w:left="0" w:right="0"/>
              <w:rPr>
                <w:rFonts w:hint="default"/>
              </w:rPr>
            </w:pPr>
            <w:r>
              <w:rPr>
                <w:rFonts w:hint="eastAsia"/>
              </w:rPr>
              <w:t>保护</w:t>
            </w:r>
          </w:p>
          <w:p w14:paraId="0BBB5E28">
            <w:pPr>
              <w:pStyle w:val="11"/>
              <w:keepNext w:val="0"/>
              <w:keepLines w:val="0"/>
              <w:suppressLineNumbers w:val="0"/>
              <w:bidi w:val="0"/>
              <w:spacing w:before="0" w:beforeAutospacing="0" w:after="0" w:afterAutospacing="0"/>
              <w:ind w:left="0" w:right="0"/>
              <w:rPr>
                <w:rFonts w:hint="default" w:ascii="宋体" w:hAnsi="宋体" w:cs="宋体"/>
                <w:bCs/>
                <w:color w:val="000000" w:themeColor="text1"/>
                <w:szCs w:val="21"/>
                <w14:textFill>
                  <w14:solidFill>
                    <w14:schemeClr w14:val="tx1"/>
                  </w14:solidFill>
                </w14:textFill>
              </w:rPr>
            </w:pPr>
            <w:r>
              <w:rPr>
                <w:rFonts w:hint="eastAsia"/>
              </w:rPr>
              <w:t>措施</w:t>
            </w:r>
          </w:p>
        </w:tc>
        <w:tc>
          <w:tcPr>
            <w:tcW w:w="4843" w:type="pct"/>
          </w:tcPr>
          <w:p w14:paraId="709D2636">
            <w:pPr>
              <w:pStyle w:val="4"/>
              <w:suppressLineNumbers w:val="0"/>
              <w:bidi w:val="0"/>
              <w:spacing w:before="0" w:beforeAutospacing="0" w:after="0" w:afterAutospacing="0"/>
              <w:ind w:left="0" w:right="0"/>
              <w:rPr>
                <w:rFonts w:hint="eastAsia"/>
              </w:rPr>
            </w:pPr>
            <w:r>
              <w:rPr>
                <w:rFonts w:hint="default"/>
              </w:rPr>
              <w:t>1</w:t>
            </w:r>
            <w:r>
              <w:rPr>
                <w:rFonts w:hint="eastAsia"/>
              </w:rPr>
              <w:t>、废气</w:t>
            </w:r>
          </w:p>
          <w:p w14:paraId="3935E5EE">
            <w:pPr>
              <w:pStyle w:val="4"/>
              <w:suppressLineNumbers w:val="0"/>
              <w:bidi w:val="0"/>
              <w:spacing w:before="0" w:beforeAutospacing="0" w:after="0" w:afterAutospacing="0"/>
              <w:ind w:left="0" w:right="0"/>
              <w:rPr>
                <w:rFonts w:hint="default"/>
                <w:lang w:val="en-US" w:eastAsia="zh-CN"/>
              </w:rPr>
            </w:pPr>
            <w:r>
              <w:rPr>
                <w:rFonts w:hint="default"/>
                <w:lang w:val="en-US" w:eastAsia="zh-CN"/>
              </w:rPr>
              <w:t>1</w:t>
            </w:r>
            <w:r>
              <w:rPr>
                <w:rFonts w:hint="eastAsia"/>
                <w:lang w:val="en-US" w:eastAsia="zh-CN"/>
              </w:rPr>
              <w:t>.1、</w:t>
            </w:r>
            <w:r>
              <w:rPr>
                <w:rFonts w:hint="default"/>
                <w:lang w:val="en-US" w:eastAsia="zh-CN"/>
              </w:rPr>
              <w:t>废气污染源分析</w:t>
            </w:r>
          </w:p>
          <w:p w14:paraId="14930ADF">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本项目</w:t>
            </w:r>
            <w:r>
              <w:rPr>
                <w:rFonts w:hint="eastAsia"/>
                <w:lang w:val="en-US" w:eastAsia="zh-CN"/>
              </w:rPr>
              <w:t>生产过程的产污节点包括：</w:t>
            </w:r>
            <w:r>
              <w:rPr>
                <w:rFonts w:hint="eastAsia" w:ascii="宋体" w:hAnsi="宋体" w:cs="宋体"/>
                <w:color w:val="auto"/>
                <w:spacing w:val="0"/>
                <w:kern w:val="2"/>
                <w:sz w:val="24"/>
                <w:szCs w:val="24"/>
                <w:vertAlign w:val="baseline"/>
                <w:lang w:val="en-US" w:eastAsia="zh-CN" w:bidi="ar"/>
              </w:rPr>
              <w:t>上料粉尘、烘干降温废气、蒸汽冷凝尾气、辣椒粕装卸粉尘</w:t>
            </w:r>
            <w:r>
              <w:rPr>
                <w:rFonts w:hint="eastAsia"/>
                <w:lang w:val="en-US" w:eastAsia="zh-CN"/>
              </w:rPr>
              <w:t>。</w:t>
            </w:r>
          </w:p>
          <w:p w14:paraId="64013660">
            <w:pPr>
              <w:pStyle w:val="4"/>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eastAsia" w:ascii="宋体" w:hAnsi="宋体" w:cs="宋体"/>
                <w:color w:val="auto"/>
                <w:spacing w:val="0"/>
                <w:kern w:val="2"/>
                <w:sz w:val="24"/>
                <w:szCs w:val="24"/>
                <w:vertAlign w:val="baseline"/>
                <w:lang w:val="en-US" w:eastAsia="zh-CN" w:bidi="ar"/>
              </w:rPr>
              <w:t>上料</w:t>
            </w:r>
            <w:r>
              <w:rPr>
                <w:rFonts w:hint="eastAsia"/>
                <w:lang w:val="en-US" w:eastAsia="zh-CN"/>
              </w:rPr>
              <w:t>粉尘</w:t>
            </w:r>
          </w:p>
          <w:p w14:paraId="31EAAE30">
            <w:pPr>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辣椒颗粒年用量为4.5万吨</w:t>
            </w:r>
            <w:r>
              <w:rPr>
                <w:rFonts w:hint="eastAsia"/>
                <w:lang w:eastAsia="zh-CN"/>
              </w:rPr>
              <w:t>，</w:t>
            </w:r>
            <w:r>
              <w:rPr>
                <w:rFonts w:hint="eastAsia"/>
                <w:lang w:val="en-US" w:eastAsia="zh-CN"/>
              </w:rPr>
              <w:t>辣椒颗粒为压缩固体颗粒，颗粒含尘量较低，且位于封闭车间内，参考《排放源统计调查产排污核算方法和系数手册》（</w:t>
            </w:r>
            <w:r>
              <w:rPr>
                <w:rFonts w:hint="default" w:ascii="宋体" w:hAnsi="宋体" w:eastAsia="宋体" w:cs="宋体"/>
                <w:sz w:val="24"/>
                <w:szCs w:val="24"/>
              </w:rPr>
              <w:t>固体物料堆存颗粒物产排污核算系数手册</w:t>
            </w:r>
            <w:r>
              <w:rPr>
                <w:rFonts w:hint="eastAsia"/>
                <w:lang w:val="en-US" w:eastAsia="zh-CN"/>
              </w:rPr>
              <w:t>）</w:t>
            </w:r>
            <w:r>
              <w:rPr>
                <w:rFonts w:hint="eastAsia"/>
                <w:lang w:eastAsia="zh-CN"/>
              </w:rPr>
              <w:t>中全封闭抑尘</w:t>
            </w:r>
            <w:r>
              <w:rPr>
                <w:rFonts w:hint="default"/>
              </w:rPr>
              <w:t>效率</w:t>
            </w:r>
            <w:r>
              <w:rPr>
                <w:rFonts w:hint="eastAsia"/>
                <w:lang w:eastAsia="zh-CN"/>
              </w:rPr>
              <w:t>为</w:t>
            </w:r>
            <w:r>
              <w:rPr>
                <w:rFonts w:hint="eastAsia"/>
                <w:lang w:val="en-US" w:eastAsia="zh-CN"/>
              </w:rPr>
              <w:t>99%，无组织粉尘可忽略不计</w:t>
            </w:r>
            <w:r>
              <w:rPr>
                <w:rFonts w:hint="eastAsia"/>
                <w:lang w:eastAsia="zh-CN"/>
              </w:rPr>
              <w:t>。</w:t>
            </w:r>
          </w:p>
          <w:p w14:paraId="68DC8E95">
            <w:pPr>
              <w:pStyle w:val="4"/>
              <w:suppressLineNumbers w:val="0"/>
              <w:bidi w:val="0"/>
              <w:spacing w:before="0" w:beforeAutospacing="0" w:after="0" w:afterAutospacing="0"/>
              <w:ind w:left="0" w:right="0"/>
              <w:rPr>
                <w:rFonts w:hint="eastAsia"/>
                <w:lang w:val="en-US" w:eastAsia="zh-CN"/>
              </w:rPr>
            </w:pPr>
            <w:r>
              <w:rPr>
                <w:rFonts w:hint="eastAsia"/>
                <w:lang w:val="en-US" w:eastAsia="zh-CN"/>
              </w:rPr>
              <w:t>（2）烘干</w:t>
            </w:r>
            <w:r>
              <w:rPr>
                <w:rFonts w:hint="eastAsia" w:ascii="宋体" w:hAnsi="宋体" w:cs="宋体"/>
                <w:color w:val="auto"/>
                <w:spacing w:val="0"/>
                <w:kern w:val="2"/>
                <w:sz w:val="24"/>
                <w:szCs w:val="24"/>
                <w:vertAlign w:val="baseline"/>
                <w:lang w:val="en-US" w:eastAsia="zh-CN" w:bidi="ar"/>
              </w:rPr>
              <w:t>降温废气</w:t>
            </w:r>
          </w:p>
          <w:p w14:paraId="50610794">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根据业主提供资料，辣椒粕产生量约3.95t/a，鼓风降温后经过二级旋风进行初步收集，尾气经布袋除尘器处理后经15m高排气筒排放，风机风量为30000m</w:t>
            </w:r>
            <w:r>
              <w:rPr>
                <w:rFonts w:hint="eastAsia"/>
                <w:vertAlign w:val="superscript"/>
                <w:lang w:val="en-US" w:eastAsia="zh-CN"/>
              </w:rPr>
              <w:t>3</w:t>
            </w:r>
            <w:r>
              <w:rPr>
                <w:rFonts w:hint="eastAsia"/>
                <w:lang w:val="en-US" w:eastAsia="zh-CN"/>
              </w:rPr>
              <w:t>/h，旋风处理器处理效率为80%，布袋除尘器处理效率为99.9%，综合治理效率为99.996%，则烘干降温废气污染物产生情况详见下表4-2。</w:t>
            </w:r>
          </w:p>
          <w:p w14:paraId="3CC4BA11">
            <w:pPr>
              <w:pStyle w:val="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表4-2                烘干降温废气排放情况一览表</w:t>
            </w:r>
          </w:p>
          <w:tbl>
            <w:tblPr>
              <w:tblStyle w:val="31"/>
              <w:tblW w:w="84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32"/>
              <w:gridCol w:w="544"/>
              <w:gridCol w:w="550"/>
              <w:gridCol w:w="794"/>
              <w:gridCol w:w="794"/>
              <w:gridCol w:w="1004"/>
              <w:gridCol w:w="990"/>
              <w:gridCol w:w="689"/>
              <w:gridCol w:w="689"/>
              <w:gridCol w:w="794"/>
            </w:tblGrid>
            <w:tr w14:paraId="65BDC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5" w:type="dxa"/>
                  <w:vMerge w:val="restart"/>
                  <w:tcBorders>
                    <w:tl2br w:val="nil"/>
                    <w:tr2bl w:val="nil"/>
                  </w:tcBorders>
                  <w:vAlign w:val="center"/>
                </w:tcPr>
                <w:p w14:paraId="63055519">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排放口编号</w:t>
                  </w:r>
                </w:p>
              </w:tc>
              <w:tc>
                <w:tcPr>
                  <w:tcW w:w="732" w:type="dxa"/>
                  <w:vMerge w:val="restart"/>
                  <w:tcBorders>
                    <w:tl2br w:val="nil"/>
                    <w:tr2bl w:val="nil"/>
                  </w:tcBorders>
                  <w:vAlign w:val="center"/>
                </w:tcPr>
                <w:p w14:paraId="33FBFAC1">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排放口名称</w:t>
                  </w:r>
                </w:p>
              </w:tc>
              <w:tc>
                <w:tcPr>
                  <w:tcW w:w="544" w:type="dxa"/>
                  <w:vMerge w:val="restart"/>
                  <w:tcBorders>
                    <w:tl2br w:val="nil"/>
                    <w:tr2bl w:val="nil"/>
                  </w:tcBorders>
                  <w:vAlign w:val="center"/>
                </w:tcPr>
                <w:p w14:paraId="689A6B79">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污染物</w:t>
                  </w:r>
                </w:p>
              </w:tc>
              <w:tc>
                <w:tcPr>
                  <w:tcW w:w="550" w:type="dxa"/>
                  <w:vMerge w:val="restart"/>
                  <w:tcBorders>
                    <w:tl2br w:val="nil"/>
                    <w:tr2bl w:val="nil"/>
                  </w:tcBorders>
                  <w:vAlign w:val="center"/>
                </w:tcPr>
                <w:p w14:paraId="2665A19E">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运行时间h/a</w:t>
                  </w:r>
                </w:p>
              </w:tc>
              <w:tc>
                <w:tcPr>
                  <w:tcW w:w="2592" w:type="dxa"/>
                  <w:gridSpan w:val="3"/>
                  <w:tcBorders>
                    <w:tl2br w:val="nil"/>
                    <w:tr2bl w:val="nil"/>
                  </w:tcBorders>
                  <w:vAlign w:val="center"/>
                </w:tcPr>
                <w:p w14:paraId="3FD8E29B">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污染物产生量</w:t>
                  </w:r>
                </w:p>
              </w:tc>
              <w:tc>
                <w:tcPr>
                  <w:tcW w:w="990" w:type="dxa"/>
                  <w:vMerge w:val="restart"/>
                  <w:tcBorders>
                    <w:tl2br w:val="nil"/>
                    <w:tr2bl w:val="nil"/>
                  </w:tcBorders>
                  <w:vAlign w:val="center"/>
                </w:tcPr>
                <w:p w14:paraId="23E8CF3B">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治理措施</w:t>
                  </w:r>
                  <w:r>
                    <w:rPr>
                      <w:rFonts w:hint="eastAsia" w:cs="Times New Roman"/>
                      <w:color w:val="auto"/>
                      <w:sz w:val="21"/>
                      <w:szCs w:val="21"/>
                      <w:lang w:val="en-US" w:eastAsia="zh-CN"/>
                    </w:rPr>
                    <w:t>及效率</w:t>
                  </w:r>
                </w:p>
              </w:tc>
              <w:tc>
                <w:tcPr>
                  <w:tcW w:w="2172" w:type="dxa"/>
                  <w:gridSpan w:val="3"/>
                  <w:tcBorders>
                    <w:tl2br w:val="nil"/>
                    <w:tr2bl w:val="nil"/>
                  </w:tcBorders>
                  <w:vAlign w:val="center"/>
                </w:tcPr>
                <w:p w14:paraId="768F8115">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污染物排放量</w:t>
                  </w:r>
                </w:p>
              </w:tc>
            </w:tr>
            <w:tr w14:paraId="70DF5E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5" w:type="dxa"/>
                  <w:vMerge w:val="continue"/>
                  <w:tcBorders>
                    <w:tl2br w:val="nil"/>
                    <w:tr2bl w:val="nil"/>
                  </w:tcBorders>
                  <w:vAlign w:val="center"/>
                </w:tcPr>
                <w:p w14:paraId="0B02B924">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732" w:type="dxa"/>
                  <w:vMerge w:val="continue"/>
                  <w:tcBorders>
                    <w:tl2br w:val="nil"/>
                    <w:tr2bl w:val="nil"/>
                  </w:tcBorders>
                  <w:vAlign w:val="center"/>
                </w:tcPr>
                <w:p w14:paraId="19099519">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544" w:type="dxa"/>
                  <w:vMerge w:val="continue"/>
                  <w:tcBorders>
                    <w:tl2br w:val="nil"/>
                    <w:tr2bl w:val="nil"/>
                  </w:tcBorders>
                  <w:vAlign w:val="center"/>
                </w:tcPr>
                <w:p w14:paraId="0D8F6FAE">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550" w:type="dxa"/>
                  <w:vMerge w:val="continue"/>
                  <w:tcBorders>
                    <w:tl2br w:val="nil"/>
                    <w:tr2bl w:val="nil"/>
                  </w:tcBorders>
                  <w:vAlign w:val="center"/>
                </w:tcPr>
                <w:p w14:paraId="315B309D">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794" w:type="dxa"/>
                  <w:tcBorders>
                    <w:tl2br w:val="nil"/>
                    <w:tr2bl w:val="nil"/>
                  </w:tcBorders>
                  <w:vAlign w:val="center"/>
                </w:tcPr>
                <w:p w14:paraId="1D8A172E">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产生量</w:t>
                  </w:r>
                </w:p>
                <w:p w14:paraId="01228E0F">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w:t>
                  </w:r>
                </w:p>
              </w:tc>
              <w:tc>
                <w:tcPr>
                  <w:tcW w:w="794" w:type="dxa"/>
                  <w:tcBorders>
                    <w:tl2br w:val="nil"/>
                    <w:tr2bl w:val="nil"/>
                  </w:tcBorders>
                  <w:vAlign w:val="center"/>
                </w:tcPr>
                <w:p w14:paraId="6101A6A9">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产生速率</w:t>
                  </w:r>
                  <w:r>
                    <w:rPr>
                      <w:rFonts w:hint="eastAsia" w:cs="Times New Roman"/>
                      <w:color w:val="auto"/>
                      <w:sz w:val="21"/>
                      <w:szCs w:val="21"/>
                      <w:lang w:val="en-US" w:eastAsia="zh-CN"/>
                    </w:rPr>
                    <w:t>kg/h</w:t>
                  </w:r>
                </w:p>
              </w:tc>
              <w:tc>
                <w:tcPr>
                  <w:tcW w:w="1004" w:type="dxa"/>
                  <w:tcBorders>
                    <w:tl2br w:val="nil"/>
                    <w:tr2bl w:val="nil"/>
                  </w:tcBorders>
                  <w:vAlign w:val="center"/>
                </w:tcPr>
                <w:p w14:paraId="068E91DC">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产生浓度</w:t>
                  </w:r>
                  <w:r>
                    <w:rPr>
                      <w:rFonts w:hint="eastAsia" w:cs="Times New Roman"/>
                      <w:color w:val="auto"/>
                      <w:sz w:val="21"/>
                      <w:szCs w:val="21"/>
                      <w:lang w:val="en-US" w:eastAsia="zh-CN"/>
                    </w:rPr>
                    <w:t>mg/m</w:t>
                  </w:r>
                  <w:r>
                    <w:rPr>
                      <w:rFonts w:hint="eastAsia" w:cs="Times New Roman"/>
                      <w:color w:val="auto"/>
                      <w:sz w:val="21"/>
                      <w:szCs w:val="21"/>
                      <w:vertAlign w:val="superscript"/>
                      <w:lang w:val="en-US" w:eastAsia="zh-CN"/>
                    </w:rPr>
                    <w:t>3</w:t>
                  </w:r>
                </w:p>
              </w:tc>
              <w:tc>
                <w:tcPr>
                  <w:tcW w:w="990" w:type="dxa"/>
                  <w:vMerge w:val="continue"/>
                  <w:tcBorders>
                    <w:tl2br w:val="nil"/>
                    <w:tr2bl w:val="nil"/>
                  </w:tcBorders>
                  <w:vAlign w:val="center"/>
                </w:tcPr>
                <w:p w14:paraId="6529C901">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p>
              </w:tc>
              <w:tc>
                <w:tcPr>
                  <w:tcW w:w="689" w:type="dxa"/>
                  <w:tcBorders>
                    <w:tl2br w:val="nil"/>
                    <w:tr2bl w:val="nil"/>
                  </w:tcBorders>
                  <w:vAlign w:val="center"/>
                </w:tcPr>
                <w:p w14:paraId="030C784F">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排放量</w:t>
                  </w:r>
                </w:p>
                <w:p w14:paraId="4E024746">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t/a</w:t>
                  </w:r>
                </w:p>
              </w:tc>
              <w:tc>
                <w:tcPr>
                  <w:tcW w:w="689" w:type="dxa"/>
                  <w:tcBorders>
                    <w:tl2br w:val="nil"/>
                    <w:tr2bl w:val="nil"/>
                  </w:tcBorders>
                  <w:vAlign w:val="center"/>
                </w:tcPr>
                <w:p w14:paraId="51F4A56E">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排放速率</w:t>
                  </w:r>
                  <w:r>
                    <w:rPr>
                      <w:rFonts w:hint="eastAsia" w:cs="Times New Roman"/>
                      <w:color w:val="auto"/>
                      <w:sz w:val="21"/>
                      <w:szCs w:val="21"/>
                      <w:lang w:val="en-US" w:eastAsia="zh-CN"/>
                    </w:rPr>
                    <w:t>kg/h</w:t>
                  </w:r>
                </w:p>
              </w:tc>
              <w:tc>
                <w:tcPr>
                  <w:tcW w:w="794" w:type="dxa"/>
                  <w:tcBorders>
                    <w:tl2br w:val="nil"/>
                    <w:tr2bl w:val="nil"/>
                  </w:tcBorders>
                  <w:vAlign w:val="center"/>
                </w:tcPr>
                <w:p w14:paraId="5C656D31">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排放</w:t>
                  </w:r>
                  <w:r>
                    <w:rPr>
                      <w:rFonts w:hint="eastAsia" w:cs="Times New Roman"/>
                      <w:color w:val="auto"/>
                      <w:sz w:val="21"/>
                      <w:szCs w:val="21"/>
                      <w:lang w:val="en-US" w:eastAsia="zh-CN"/>
                    </w:rPr>
                    <w:t>浓度mg/m</w:t>
                  </w:r>
                  <w:r>
                    <w:rPr>
                      <w:rFonts w:hint="eastAsia" w:cs="Times New Roman"/>
                      <w:color w:val="auto"/>
                      <w:sz w:val="21"/>
                      <w:szCs w:val="21"/>
                      <w:vertAlign w:val="superscript"/>
                      <w:lang w:val="en-US" w:eastAsia="zh-CN"/>
                    </w:rPr>
                    <w:t>3</w:t>
                  </w:r>
                </w:p>
              </w:tc>
            </w:tr>
            <w:tr w14:paraId="37385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5" w:type="dxa"/>
                  <w:tcBorders>
                    <w:tl2br w:val="nil"/>
                    <w:tr2bl w:val="nil"/>
                  </w:tcBorders>
                  <w:vAlign w:val="center"/>
                </w:tcPr>
                <w:p w14:paraId="601AFB75">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DA001</w:t>
                  </w:r>
                </w:p>
              </w:tc>
              <w:tc>
                <w:tcPr>
                  <w:tcW w:w="732" w:type="dxa"/>
                  <w:tcBorders>
                    <w:tl2br w:val="nil"/>
                    <w:tr2bl w:val="nil"/>
                  </w:tcBorders>
                  <w:vAlign w:val="center"/>
                </w:tcPr>
                <w:p w14:paraId="66D6B48C">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lang w:val="en-US" w:eastAsia="zh-CN"/>
                    </w:rPr>
                    <w:t>烘干降温废气</w:t>
                  </w:r>
                </w:p>
              </w:tc>
              <w:tc>
                <w:tcPr>
                  <w:tcW w:w="544" w:type="dxa"/>
                  <w:tcBorders>
                    <w:tl2br w:val="nil"/>
                    <w:tr2bl w:val="nil"/>
                  </w:tcBorders>
                  <w:vAlign w:val="center"/>
                </w:tcPr>
                <w:p w14:paraId="23AB23FE">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颗粒物</w:t>
                  </w:r>
                </w:p>
              </w:tc>
              <w:tc>
                <w:tcPr>
                  <w:tcW w:w="550" w:type="dxa"/>
                  <w:tcBorders>
                    <w:tl2br w:val="nil"/>
                    <w:tr2bl w:val="nil"/>
                  </w:tcBorders>
                  <w:vAlign w:val="center"/>
                </w:tcPr>
                <w:p w14:paraId="17D7406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720</w:t>
                  </w:r>
                </w:p>
              </w:tc>
              <w:tc>
                <w:tcPr>
                  <w:tcW w:w="794" w:type="dxa"/>
                  <w:tcBorders>
                    <w:tl2br w:val="nil"/>
                    <w:tr2bl w:val="nil"/>
                  </w:tcBorders>
                  <w:vAlign w:val="center"/>
                </w:tcPr>
                <w:p w14:paraId="6AAA5A8A">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39500 </w:t>
                  </w:r>
                </w:p>
              </w:tc>
              <w:tc>
                <w:tcPr>
                  <w:tcW w:w="794" w:type="dxa"/>
                  <w:tcBorders>
                    <w:tl2br w:val="nil"/>
                    <w:tr2bl w:val="nil"/>
                  </w:tcBorders>
                  <w:vAlign w:val="center"/>
                </w:tcPr>
                <w:p w14:paraId="3FA28593">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54861.111 </w:t>
                  </w:r>
                </w:p>
              </w:tc>
              <w:tc>
                <w:tcPr>
                  <w:tcW w:w="1004" w:type="dxa"/>
                  <w:tcBorders>
                    <w:tl2br w:val="nil"/>
                    <w:tr2bl w:val="nil"/>
                  </w:tcBorders>
                  <w:vAlign w:val="center"/>
                </w:tcPr>
                <w:p w14:paraId="0B7103C6">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1828703.704 </w:t>
                  </w:r>
                </w:p>
              </w:tc>
              <w:tc>
                <w:tcPr>
                  <w:tcW w:w="990" w:type="dxa"/>
                  <w:tcBorders>
                    <w:tl2br w:val="nil"/>
                    <w:tr2bl w:val="nil"/>
                  </w:tcBorders>
                  <w:vAlign w:val="center"/>
                </w:tcPr>
                <w:p w14:paraId="3E393303">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二级旋风处理器+布袋除尘器；</w:t>
                  </w:r>
                </w:p>
                <w:p w14:paraId="1346BA8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（综合治理效率99.996%）</w:t>
                  </w:r>
                </w:p>
              </w:tc>
              <w:tc>
                <w:tcPr>
                  <w:tcW w:w="689" w:type="dxa"/>
                  <w:tcBorders>
                    <w:tl2br w:val="nil"/>
                    <w:tr2bl w:val="nil"/>
                  </w:tcBorders>
                  <w:shd w:val="clear" w:color="auto" w:fill="auto"/>
                  <w:vAlign w:val="center"/>
                </w:tcPr>
                <w:p w14:paraId="2785CBB3">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1.580 </w:t>
                  </w:r>
                </w:p>
              </w:tc>
              <w:tc>
                <w:tcPr>
                  <w:tcW w:w="689" w:type="dxa"/>
                  <w:tcBorders>
                    <w:tl2br w:val="nil"/>
                    <w:tr2bl w:val="nil"/>
                  </w:tcBorders>
                  <w:vAlign w:val="center"/>
                </w:tcPr>
                <w:p w14:paraId="4EFA6941">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2.194 </w:t>
                  </w:r>
                </w:p>
              </w:tc>
              <w:tc>
                <w:tcPr>
                  <w:tcW w:w="794" w:type="dxa"/>
                  <w:tcBorders>
                    <w:tl2br w:val="nil"/>
                    <w:tr2bl w:val="nil"/>
                  </w:tcBorders>
                  <w:vAlign w:val="center"/>
                </w:tcPr>
                <w:p w14:paraId="69EA6E4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73.148 </w:t>
                  </w:r>
                </w:p>
              </w:tc>
            </w:tr>
          </w:tbl>
          <w:p w14:paraId="4FA52257">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根据上表可知，有组织粉尘排放浓度、排放速率</w:t>
            </w:r>
            <w:r>
              <w:rPr>
                <w:rFonts w:hint="eastAsia" w:ascii="Times New Roman" w:hAnsi="Times New Roman" w:eastAsia="宋体" w:cs="Times New Roman"/>
                <w:lang w:val="en-US" w:eastAsia="zh-CN"/>
              </w:rPr>
              <w:t>满足《大气污染物综合排放标准》（GB16297-1996）表2二级标准</w:t>
            </w:r>
            <w:r>
              <w:rPr>
                <w:rFonts w:hint="eastAsia" w:cs="Times New Roman"/>
                <w:lang w:val="en-US" w:eastAsia="zh-CN"/>
              </w:rPr>
              <w:t>限值（排放浓度120m</w:t>
            </w:r>
            <w:r>
              <w:rPr>
                <w:rFonts w:hint="eastAsia" w:cs="Times New Roman"/>
                <w:vertAlign w:val="superscript"/>
                <w:lang w:val="en-US" w:eastAsia="zh-CN"/>
              </w:rPr>
              <w:t>3</w:t>
            </w:r>
            <w:r>
              <w:rPr>
                <w:rFonts w:hint="eastAsia" w:cs="Times New Roman"/>
                <w:lang w:val="en-US" w:eastAsia="zh-CN"/>
              </w:rPr>
              <w:t>/h，排放速率为3.5kg/h）</w:t>
            </w:r>
            <w:r>
              <w:rPr>
                <w:rFonts w:hint="eastAsia" w:ascii="Times New Roman" w:hAnsi="Times New Roman" w:eastAsia="宋体" w:cs="Times New Roman"/>
                <w:lang w:val="en-US" w:eastAsia="zh-CN"/>
              </w:rPr>
              <w:t>要求</w:t>
            </w:r>
            <w:r>
              <w:rPr>
                <w:rFonts w:hint="eastAsia"/>
                <w:lang w:val="en-US" w:eastAsia="zh-CN"/>
              </w:rPr>
              <w:t>。</w:t>
            </w:r>
          </w:p>
          <w:p w14:paraId="18BB93F4">
            <w:pPr>
              <w:pStyle w:val="4"/>
              <w:numPr>
                <w:ilvl w:val="0"/>
                <w:numId w:val="7"/>
              </w:numPr>
              <w:suppressLineNumbers w:val="0"/>
              <w:bidi w:val="0"/>
              <w:spacing w:before="0" w:beforeAutospacing="0" w:after="0" w:afterAutospacing="0"/>
              <w:ind w:left="0" w:right="0"/>
              <w:rPr>
                <w:rFonts w:hint="eastAsia"/>
                <w:lang w:val="en-US" w:eastAsia="zh-CN"/>
              </w:rPr>
            </w:pPr>
            <w:r>
              <w:rPr>
                <w:rFonts w:hint="eastAsia"/>
                <w:lang w:val="en-US" w:eastAsia="zh-CN"/>
              </w:rPr>
              <w:t>蒸汽冷凝尾气</w:t>
            </w:r>
          </w:p>
          <w:p w14:paraId="2D1F589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东南侧100m为晨光生物科技集团焉耆有限公司现有厂区，《晨光生物科技集团焉耆有限公司天然植物综合提取一体化项目一期项目》与本项目生产工艺相同、生产原辅料相同，设备基本一致，按照源强核算要求，拟建工程的源强核算应优先选用类比法。</w:t>
            </w:r>
          </w:p>
          <w:p w14:paraId="2ACD1E86">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类比晨光生物科技集团焉耆有限公司2025年自行监测中不凝尾气监测数据。</w:t>
            </w:r>
          </w:p>
          <w:p w14:paraId="4D56A667">
            <w:pPr>
              <w:pStyle w:val="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表4-3                     污染物类比情况一览表</w:t>
            </w:r>
          </w:p>
          <w:tbl>
            <w:tblPr>
              <w:tblStyle w:val="31"/>
              <w:tblW w:w="835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25"/>
              <w:gridCol w:w="1059"/>
              <w:gridCol w:w="1212"/>
              <w:gridCol w:w="877"/>
              <w:gridCol w:w="1017"/>
              <w:gridCol w:w="1044"/>
              <w:gridCol w:w="875"/>
            </w:tblGrid>
            <w:tr w14:paraId="3733C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6" w:type="dxa"/>
                  <w:tcBorders>
                    <w:tl2br w:val="nil"/>
                    <w:tr2bl w:val="nil"/>
                  </w:tcBorders>
                  <w:vAlign w:val="center"/>
                </w:tcPr>
                <w:p w14:paraId="24BA61A6">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项目类比</w:t>
                  </w:r>
                </w:p>
              </w:tc>
              <w:tc>
                <w:tcPr>
                  <w:tcW w:w="1125" w:type="dxa"/>
                  <w:tcBorders>
                    <w:tl2br w:val="nil"/>
                    <w:tr2bl w:val="nil"/>
                  </w:tcBorders>
                  <w:vAlign w:val="center"/>
                </w:tcPr>
                <w:p w14:paraId="23C2C31F">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设备生产能力t/d</w:t>
                  </w:r>
                </w:p>
              </w:tc>
              <w:tc>
                <w:tcPr>
                  <w:tcW w:w="1059" w:type="dxa"/>
                  <w:tcBorders>
                    <w:tl2br w:val="nil"/>
                    <w:tr2bl w:val="nil"/>
                  </w:tcBorders>
                  <w:vAlign w:val="center"/>
                </w:tcPr>
                <w:p w14:paraId="0FEE5BFF">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工作时间h</w:t>
                  </w:r>
                </w:p>
              </w:tc>
              <w:tc>
                <w:tcPr>
                  <w:tcW w:w="1212" w:type="dxa"/>
                  <w:tcBorders>
                    <w:tl2br w:val="nil"/>
                    <w:tr2bl w:val="nil"/>
                  </w:tcBorders>
                  <w:vAlign w:val="center"/>
                </w:tcPr>
                <w:p w14:paraId="7C9153F0">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溶剂回收措施</w:t>
                  </w:r>
                </w:p>
              </w:tc>
              <w:tc>
                <w:tcPr>
                  <w:tcW w:w="877" w:type="dxa"/>
                  <w:tcBorders>
                    <w:tl2br w:val="nil"/>
                    <w:tr2bl w:val="nil"/>
                  </w:tcBorders>
                  <w:vAlign w:val="center"/>
                </w:tcPr>
                <w:p w14:paraId="6B339D8D">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治理效率</w:t>
                  </w:r>
                </w:p>
              </w:tc>
              <w:tc>
                <w:tcPr>
                  <w:tcW w:w="1017" w:type="dxa"/>
                  <w:tcBorders>
                    <w:tl2br w:val="nil"/>
                    <w:tr2bl w:val="nil"/>
                  </w:tcBorders>
                  <w:vAlign w:val="center"/>
                </w:tcPr>
                <w:p w14:paraId="51EEBAD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排风量</w:t>
                  </w:r>
                  <w:r>
                    <w:rPr>
                      <w:rFonts w:hint="default"/>
                      <w:lang w:val="en-US" w:eastAsia="zh-CN"/>
                    </w:rPr>
                    <w:t>m</w:t>
                  </w:r>
                  <w:r>
                    <w:rPr>
                      <w:rFonts w:hint="default"/>
                      <w:vertAlign w:val="superscript"/>
                      <w:lang w:val="en-US" w:eastAsia="zh-CN"/>
                    </w:rPr>
                    <w:t>3</w:t>
                  </w:r>
                  <w:r>
                    <w:rPr>
                      <w:rFonts w:hint="default"/>
                      <w:lang w:val="en-US" w:eastAsia="zh-CN"/>
                    </w:rPr>
                    <w:t>/h</w:t>
                  </w:r>
                </w:p>
              </w:tc>
              <w:tc>
                <w:tcPr>
                  <w:tcW w:w="1044" w:type="dxa"/>
                  <w:tcBorders>
                    <w:tl2br w:val="nil"/>
                    <w:tr2bl w:val="nil"/>
                  </w:tcBorders>
                  <w:vAlign w:val="center"/>
                </w:tcPr>
                <w:p w14:paraId="0ED0A19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排放浓度</w:t>
                  </w:r>
                  <w:r>
                    <w:rPr>
                      <w:rFonts w:hint="default"/>
                      <w:lang w:val="en-US" w:eastAsia="zh-CN"/>
                    </w:rPr>
                    <w:t>mg/m</w:t>
                  </w:r>
                  <w:r>
                    <w:rPr>
                      <w:rFonts w:hint="default"/>
                      <w:vertAlign w:val="superscript"/>
                      <w:lang w:val="en-US" w:eastAsia="zh-CN"/>
                    </w:rPr>
                    <w:t>3</w:t>
                  </w:r>
                </w:p>
              </w:tc>
              <w:tc>
                <w:tcPr>
                  <w:tcW w:w="875" w:type="dxa"/>
                  <w:tcBorders>
                    <w:tl2br w:val="nil"/>
                    <w:tr2bl w:val="nil"/>
                  </w:tcBorders>
                  <w:vAlign w:val="center"/>
                </w:tcPr>
                <w:p w14:paraId="7242797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排放量</w:t>
                  </w:r>
                  <w:r>
                    <w:rPr>
                      <w:rFonts w:hint="default"/>
                      <w:lang w:val="en-US" w:eastAsia="zh-CN"/>
                    </w:rPr>
                    <w:t>kg/d</w:t>
                  </w:r>
                </w:p>
              </w:tc>
            </w:tr>
            <w:tr w14:paraId="1CA5B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6" w:type="dxa"/>
                  <w:tcBorders>
                    <w:tl2br w:val="nil"/>
                    <w:tr2bl w:val="nil"/>
                  </w:tcBorders>
                  <w:vAlign w:val="center"/>
                </w:tcPr>
                <w:p w14:paraId="62908D22">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晨光生物科技集团焉耆有限公司天然植物综合提取一体化项目一期项目</w:t>
                  </w:r>
                </w:p>
              </w:tc>
              <w:tc>
                <w:tcPr>
                  <w:tcW w:w="1125" w:type="dxa"/>
                  <w:tcBorders>
                    <w:tl2br w:val="nil"/>
                    <w:tr2bl w:val="nil"/>
                  </w:tcBorders>
                  <w:vAlign w:val="center"/>
                </w:tcPr>
                <w:p w14:paraId="6B2825FF">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500</w:t>
                  </w:r>
                </w:p>
              </w:tc>
              <w:tc>
                <w:tcPr>
                  <w:tcW w:w="1059" w:type="dxa"/>
                  <w:tcBorders>
                    <w:tl2br w:val="nil"/>
                    <w:tr2bl w:val="nil"/>
                  </w:tcBorders>
                  <w:vAlign w:val="center"/>
                </w:tcPr>
                <w:p w14:paraId="250B2960">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24</w:t>
                  </w:r>
                </w:p>
              </w:tc>
              <w:tc>
                <w:tcPr>
                  <w:tcW w:w="1212" w:type="dxa"/>
                  <w:tcBorders>
                    <w:tl2br w:val="nil"/>
                    <w:tr2bl w:val="nil"/>
                  </w:tcBorders>
                  <w:vAlign w:val="center"/>
                </w:tcPr>
                <w:p w14:paraId="52FCB2A2">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三级循环水冷凝+冷冻回收</w:t>
                  </w:r>
                </w:p>
              </w:tc>
              <w:tc>
                <w:tcPr>
                  <w:tcW w:w="877" w:type="dxa"/>
                  <w:vMerge w:val="restart"/>
                  <w:tcBorders>
                    <w:tl2br w:val="nil"/>
                    <w:tr2bl w:val="nil"/>
                  </w:tcBorders>
                  <w:vAlign w:val="center"/>
                </w:tcPr>
                <w:p w14:paraId="12C1E0F0">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三级循环水冷凝效率9</w:t>
                  </w:r>
                  <w:r>
                    <w:rPr>
                      <w:rFonts w:hint="eastAsia" w:cs="Times New Roman"/>
                      <w:color w:val="auto"/>
                      <w:sz w:val="21"/>
                      <w:szCs w:val="21"/>
                      <w:lang w:val="en-US" w:eastAsia="zh-CN"/>
                    </w:rPr>
                    <w:t>0</w:t>
                  </w:r>
                  <w:r>
                    <w:rPr>
                      <w:rFonts w:hint="eastAsia" w:eastAsia="宋体" w:cs="Times New Roman"/>
                      <w:color w:val="auto"/>
                      <w:sz w:val="21"/>
                      <w:szCs w:val="21"/>
                      <w:lang w:val="en-US" w:eastAsia="zh-CN"/>
                    </w:rPr>
                    <w:t>%+冷冻回收</w:t>
                  </w:r>
                  <w:r>
                    <w:rPr>
                      <w:rFonts w:hint="eastAsia" w:cs="Times New Roman"/>
                      <w:color w:val="auto"/>
                      <w:sz w:val="21"/>
                      <w:szCs w:val="21"/>
                      <w:lang w:val="en-US" w:eastAsia="zh-CN"/>
                    </w:rPr>
                    <w:t>效率</w:t>
                  </w:r>
                  <w:r>
                    <w:rPr>
                      <w:rFonts w:hint="eastAsia" w:eastAsia="宋体" w:cs="Times New Roman"/>
                      <w:color w:val="auto"/>
                      <w:sz w:val="21"/>
                      <w:szCs w:val="21"/>
                      <w:lang w:val="en-US" w:eastAsia="zh-CN"/>
                    </w:rPr>
                    <w:t>99%</w:t>
                  </w:r>
                  <w:r>
                    <w:rPr>
                      <w:rFonts w:hint="eastAsia" w:cs="Times New Roman"/>
                      <w:color w:val="auto"/>
                      <w:sz w:val="21"/>
                      <w:szCs w:val="21"/>
                      <w:lang w:val="en-US" w:eastAsia="zh-CN"/>
                    </w:rPr>
                    <w:t>（综合治理效率99.9%）</w:t>
                  </w:r>
                </w:p>
              </w:tc>
              <w:tc>
                <w:tcPr>
                  <w:tcW w:w="1017" w:type="dxa"/>
                  <w:tcBorders>
                    <w:tl2br w:val="nil"/>
                    <w:tr2bl w:val="nil"/>
                  </w:tcBorders>
                  <w:vAlign w:val="center"/>
                </w:tcPr>
                <w:p w14:paraId="5FE4AB95">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96.333 </w:t>
                  </w:r>
                </w:p>
              </w:tc>
              <w:tc>
                <w:tcPr>
                  <w:tcW w:w="1044" w:type="dxa"/>
                  <w:tcBorders>
                    <w:tl2br w:val="nil"/>
                    <w:tr2bl w:val="nil"/>
                  </w:tcBorders>
                  <w:vAlign w:val="center"/>
                </w:tcPr>
                <w:p w14:paraId="3EA5E949">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43.467 </w:t>
                  </w:r>
                </w:p>
              </w:tc>
              <w:tc>
                <w:tcPr>
                  <w:tcW w:w="875" w:type="dxa"/>
                  <w:tcBorders>
                    <w:tl2br w:val="nil"/>
                    <w:tr2bl w:val="nil"/>
                  </w:tcBorders>
                  <w:vAlign w:val="center"/>
                </w:tcPr>
                <w:p w14:paraId="64686724">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0.100 </w:t>
                  </w:r>
                </w:p>
              </w:tc>
            </w:tr>
            <w:tr w14:paraId="05B61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46" w:type="dxa"/>
                  <w:tcBorders>
                    <w:tl2br w:val="nil"/>
                    <w:tr2bl w:val="nil"/>
                  </w:tcBorders>
                  <w:vAlign w:val="center"/>
                </w:tcPr>
                <w:p w14:paraId="5A0F93F2">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本项目</w:t>
                  </w:r>
                </w:p>
              </w:tc>
              <w:tc>
                <w:tcPr>
                  <w:tcW w:w="1125" w:type="dxa"/>
                  <w:tcBorders>
                    <w:tl2br w:val="nil"/>
                    <w:tr2bl w:val="nil"/>
                  </w:tcBorders>
                  <w:vAlign w:val="center"/>
                </w:tcPr>
                <w:p w14:paraId="5FB70113">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cs="Times New Roman"/>
                      <w:color w:val="auto"/>
                      <w:sz w:val="21"/>
                      <w:szCs w:val="21"/>
                      <w:lang w:val="en-US" w:eastAsia="zh-CN"/>
                    </w:rPr>
                    <w:t>1</w:t>
                  </w:r>
                  <w:r>
                    <w:rPr>
                      <w:rFonts w:hint="eastAsia" w:eastAsia="宋体" w:cs="Times New Roman"/>
                      <w:color w:val="auto"/>
                      <w:sz w:val="21"/>
                      <w:szCs w:val="21"/>
                      <w:lang w:val="en-US" w:eastAsia="zh-CN"/>
                    </w:rPr>
                    <w:t>500</w:t>
                  </w:r>
                </w:p>
              </w:tc>
              <w:tc>
                <w:tcPr>
                  <w:tcW w:w="1059" w:type="dxa"/>
                  <w:tcBorders>
                    <w:tl2br w:val="nil"/>
                    <w:tr2bl w:val="nil"/>
                  </w:tcBorders>
                  <w:vAlign w:val="center"/>
                </w:tcPr>
                <w:p w14:paraId="2A31ADCA">
                  <w:pPr>
                    <w:pStyle w:val="8"/>
                    <w:keepNext w:val="0"/>
                    <w:keepLines w:val="0"/>
                    <w:suppressLineNumbers w:val="0"/>
                    <w:bidi w:val="0"/>
                    <w:spacing w:before="0" w:beforeAutospacing="0" w:after="0" w:afterAutospacing="0"/>
                    <w:ind w:left="0" w:leftChars="0" w:right="0" w:rightChars="0"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24</w:t>
                  </w:r>
                </w:p>
              </w:tc>
              <w:tc>
                <w:tcPr>
                  <w:tcW w:w="1212" w:type="dxa"/>
                  <w:tcBorders>
                    <w:tl2br w:val="nil"/>
                    <w:tr2bl w:val="nil"/>
                  </w:tcBorders>
                  <w:vAlign w:val="center"/>
                </w:tcPr>
                <w:p w14:paraId="45A9D71B">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三级循环水冷凝+冷冻回收</w:t>
                  </w:r>
                </w:p>
              </w:tc>
              <w:tc>
                <w:tcPr>
                  <w:tcW w:w="877" w:type="dxa"/>
                  <w:vMerge w:val="continue"/>
                  <w:tcBorders>
                    <w:tl2br w:val="nil"/>
                    <w:tr2bl w:val="nil"/>
                  </w:tcBorders>
                  <w:vAlign w:val="center"/>
                </w:tcPr>
                <w:p w14:paraId="734E7D95">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color w:val="auto"/>
                      <w:sz w:val="21"/>
                      <w:szCs w:val="21"/>
                      <w:lang w:val="en-US" w:eastAsia="zh-CN"/>
                    </w:rPr>
                  </w:pPr>
                </w:p>
              </w:tc>
              <w:tc>
                <w:tcPr>
                  <w:tcW w:w="1017" w:type="dxa"/>
                  <w:tcBorders>
                    <w:tl2br w:val="nil"/>
                    <w:tr2bl w:val="nil"/>
                  </w:tcBorders>
                  <w:vAlign w:val="center"/>
                </w:tcPr>
                <w:p w14:paraId="0676FAE0">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300 </w:t>
                  </w:r>
                </w:p>
              </w:tc>
              <w:tc>
                <w:tcPr>
                  <w:tcW w:w="1044" w:type="dxa"/>
                  <w:tcBorders>
                    <w:tl2br w:val="nil"/>
                    <w:tr2bl w:val="nil"/>
                  </w:tcBorders>
                  <w:vAlign w:val="center"/>
                </w:tcPr>
                <w:p w14:paraId="38D8FAD2">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41.873 </w:t>
                  </w:r>
                </w:p>
              </w:tc>
              <w:tc>
                <w:tcPr>
                  <w:tcW w:w="875" w:type="dxa"/>
                  <w:tcBorders>
                    <w:tl2br w:val="nil"/>
                    <w:tr2bl w:val="nil"/>
                  </w:tcBorders>
                  <w:vAlign w:val="center"/>
                </w:tcPr>
                <w:p w14:paraId="65C929E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0.301 </w:t>
                  </w:r>
                </w:p>
              </w:tc>
            </w:tr>
          </w:tbl>
          <w:p w14:paraId="0CB31D25">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w:t>
            </w:r>
            <w:r>
              <w:rPr>
                <w:rFonts w:hint="eastAsia"/>
                <w:lang w:eastAsia="zh-CN"/>
              </w:rPr>
              <w:t>生产线生产量及排污情况如下</w:t>
            </w:r>
            <w:r>
              <w:rPr>
                <w:rFonts w:hint="eastAsia"/>
                <w:lang w:val="en-US" w:eastAsia="zh-CN"/>
              </w:rPr>
              <w:t>：</w:t>
            </w:r>
          </w:p>
          <w:p w14:paraId="37355970">
            <w:pPr>
              <w:pStyle w:val="6"/>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表4-4                   本项目污染物排放情况一览表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24"/>
              <w:gridCol w:w="425"/>
              <w:gridCol w:w="472"/>
              <w:gridCol w:w="610"/>
              <w:gridCol w:w="688"/>
              <w:gridCol w:w="791"/>
              <w:gridCol w:w="1107"/>
              <w:gridCol w:w="966"/>
              <w:gridCol w:w="688"/>
              <w:gridCol w:w="688"/>
              <w:gridCol w:w="793"/>
            </w:tblGrid>
            <w:tr w14:paraId="2B0A1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0" w:type="pct"/>
                  <w:vMerge w:val="restart"/>
                  <w:tcBorders>
                    <w:tl2br w:val="nil"/>
                    <w:tr2bl w:val="nil"/>
                  </w:tcBorders>
                  <w:vAlign w:val="center"/>
                </w:tcPr>
                <w:p w14:paraId="23723E56">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排放口</w:t>
                  </w:r>
                </w:p>
              </w:tc>
              <w:tc>
                <w:tcPr>
                  <w:tcW w:w="250" w:type="pct"/>
                  <w:vMerge w:val="restart"/>
                  <w:tcBorders>
                    <w:tl2br w:val="nil"/>
                    <w:tr2bl w:val="nil"/>
                  </w:tcBorders>
                  <w:vAlign w:val="center"/>
                </w:tcPr>
                <w:p w14:paraId="1B4D3951">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排放口名称</w:t>
                  </w:r>
                </w:p>
              </w:tc>
              <w:tc>
                <w:tcPr>
                  <w:tcW w:w="250" w:type="pct"/>
                  <w:vMerge w:val="restart"/>
                  <w:tcBorders>
                    <w:tl2br w:val="nil"/>
                    <w:tr2bl w:val="nil"/>
                  </w:tcBorders>
                  <w:vAlign w:val="center"/>
                </w:tcPr>
                <w:p w14:paraId="02C1B1DD">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污染物</w:t>
                  </w:r>
                </w:p>
              </w:tc>
              <w:tc>
                <w:tcPr>
                  <w:tcW w:w="278" w:type="pct"/>
                  <w:vMerge w:val="restart"/>
                  <w:tcBorders>
                    <w:tl2br w:val="nil"/>
                    <w:tr2bl w:val="nil"/>
                  </w:tcBorders>
                  <w:vAlign w:val="center"/>
                </w:tcPr>
                <w:p w14:paraId="2D992EFE">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运行时间d/a</w:t>
                  </w:r>
                </w:p>
              </w:tc>
              <w:tc>
                <w:tcPr>
                  <w:tcW w:w="359" w:type="pct"/>
                  <w:vMerge w:val="restart"/>
                  <w:tcBorders>
                    <w:tl2br w:val="nil"/>
                    <w:tr2bl w:val="nil"/>
                  </w:tcBorders>
                  <w:vAlign w:val="center"/>
                </w:tcPr>
                <w:p w14:paraId="19773350">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风机风量m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p>
              </w:tc>
              <w:tc>
                <w:tcPr>
                  <w:tcW w:w="1523" w:type="pct"/>
                  <w:gridSpan w:val="3"/>
                  <w:tcBorders>
                    <w:tl2br w:val="nil"/>
                    <w:tr2bl w:val="nil"/>
                  </w:tcBorders>
                  <w:vAlign w:val="center"/>
                </w:tcPr>
                <w:p w14:paraId="1B6DC164">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污染物产生量</w:t>
                  </w:r>
                </w:p>
              </w:tc>
              <w:tc>
                <w:tcPr>
                  <w:tcW w:w="569" w:type="pct"/>
                  <w:vMerge w:val="restart"/>
                  <w:tcBorders>
                    <w:tl2br w:val="nil"/>
                    <w:tr2bl w:val="nil"/>
                  </w:tcBorders>
                  <w:vAlign w:val="center"/>
                </w:tcPr>
                <w:p w14:paraId="23C4E16C">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治理措施</w:t>
                  </w:r>
                  <w:r>
                    <w:rPr>
                      <w:rFonts w:hint="eastAsia" w:cs="Times New Roman"/>
                      <w:color w:val="auto"/>
                      <w:sz w:val="21"/>
                      <w:szCs w:val="21"/>
                      <w:lang w:val="en-US" w:eastAsia="zh-CN"/>
                    </w:rPr>
                    <w:t>及效率</w:t>
                  </w:r>
                </w:p>
              </w:tc>
              <w:tc>
                <w:tcPr>
                  <w:tcW w:w="1277" w:type="pct"/>
                  <w:gridSpan w:val="3"/>
                  <w:tcBorders>
                    <w:tl2br w:val="nil"/>
                    <w:tr2bl w:val="nil"/>
                  </w:tcBorders>
                  <w:vAlign w:val="center"/>
                </w:tcPr>
                <w:p w14:paraId="35B94D00">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污染物排放量</w:t>
                  </w:r>
                </w:p>
              </w:tc>
            </w:tr>
            <w:tr w14:paraId="4D749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490" w:type="pct"/>
                  <w:vMerge w:val="continue"/>
                  <w:tcBorders>
                    <w:tl2br w:val="nil"/>
                    <w:tr2bl w:val="nil"/>
                  </w:tcBorders>
                  <w:vAlign w:val="center"/>
                </w:tcPr>
                <w:p w14:paraId="5886AB4D">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250" w:type="pct"/>
                  <w:vMerge w:val="continue"/>
                  <w:tcBorders>
                    <w:tl2br w:val="nil"/>
                    <w:tr2bl w:val="nil"/>
                  </w:tcBorders>
                  <w:vAlign w:val="center"/>
                </w:tcPr>
                <w:p w14:paraId="4848B738">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250" w:type="pct"/>
                  <w:vMerge w:val="continue"/>
                  <w:tcBorders>
                    <w:tl2br w:val="nil"/>
                    <w:tr2bl w:val="nil"/>
                  </w:tcBorders>
                  <w:vAlign w:val="center"/>
                </w:tcPr>
                <w:p w14:paraId="5C44F37F">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278" w:type="pct"/>
                  <w:vMerge w:val="continue"/>
                  <w:tcBorders>
                    <w:tl2br w:val="nil"/>
                    <w:tr2bl w:val="nil"/>
                  </w:tcBorders>
                  <w:vAlign w:val="center"/>
                </w:tcPr>
                <w:p w14:paraId="6F612569">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359" w:type="pct"/>
                  <w:vMerge w:val="continue"/>
                  <w:tcBorders>
                    <w:tl2br w:val="nil"/>
                    <w:tr2bl w:val="nil"/>
                  </w:tcBorders>
                  <w:vAlign w:val="center"/>
                </w:tcPr>
                <w:p w14:paraId="7E60CA6A">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lang w:val="en-US" w:eastAsia="zh-CN"/>
                    </w:rPr>
                  </w:pPr>
                </w:p>
              </w:tc>
              <w:tc>
                <w:tcPr>
                  <w:tcW w:w="405" w:type="pct"/>
                  <w:tcBorders>
                    <w:tl2br w:val="nil"/>
                    <w:tr2bl w:val="nil"/>
                  </w:tcBorders>
                  <w:vAlign w:val="center"/>
                </w:tcPr>
                <w:p w14:paraId="54A5A120">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产生量</w:t>
                  </w:r>
                </w:p>
                <w:p w14:paraId="4F70797A">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t/a</w:t>
                  </w:r>
                </w:p>
              </w:tc>
              <w:tc>
                <w:tcPr>
                  <w:tcW w:w="466" w:type="pct"/>
                  <w:tcBorders>
                    <w:tl2br w:val="nil"/>
                    <w:tr2bl w:val="nil"/>
                  </w:tcBorders>
                  <w:vAlign w:val="center"/>
                </w:tcPr>
                <w:p w14:paraId="14E613D0">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产生速率</w:t>
                  </w:r>
                  <w:r>
                    <w:rPr>
                      <w:rFonts w:hint="eastAsia" w:cs="Times New Roman"/>
                      <w:color w:val="auto"/>
                      <w:sz w:val="21"/>
                      <w:szCs w:val="21"/>
                      <w:lang w:val="en-US" w:eastAsia="zh-CN"/>
                    </w:rPr>
                    <w:t>kg/h</w:t>
                  </w:r>
                </w:p>
              </w:tc>
              <w:tc>
                <w:tcPr>
                  <w:tcW w:w="652" w:type="pct"/>
                  <w:tcBorders>
                    <w:tl2br w:val="nil"/>
                    <w:tr2bl w:val="nil"/>
                  </w:tcBorders>
                  <w:vAlign w:val="center"/>
                </w:tcPr>
                <w:p w14:paraId="7E148DE8">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产生浓度</w:t>
                  </w:r>
                  <w:r>
                    <w:rPr>
                      <w:rFonts w:hint="eastAsia" w:cs="Times New Roman"/>
                      <w:color w:val="auto"/>
                      <w:sz w:val="21"/>
                      <w:szCs w:val="21"/>
                      <w:lang w:val="en-US" w:eastAsia="zh-CN"/>
                    </w:rPr>
                    <w:t>mg/m</w:t>
                  </w:r>
                  <w:r>
                    <w:rPr>
                      <w:rFonts w:hint="eastAsia" w:cs="Times New Roman"/>
                      <w:color w:val="auto"/>
                      <w:sz w:val="21"/>
                      <w:szCs w:val="21"/>
                      <w:vertAlign w:val="superscript"/>
                      <w:lang w:val="en-US" w:eastAsia="zh-CN"/>
                    </w:rPr>
                    <w:t>3</w:t>
                  </w:r>
                </w:p>
              </w:tc>
              <w:tc>
                <w:tcPr>
                  <w:tcW w:w="569" w:type="pct"/>
                  <w:vMerge w:val="continue"/>
                  <w:tcBorders>
                    <w:tl2br w:val="nil"/>
                    <w:tr2bl w:val="nil"/>
                  </w:tcBorders>
                  <w:vAlign w:val="center"/>
                </w:tcPr>
                <w:p w14:paraId="438BA856">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p>
              </w:tc>
              <w:tc>
                <w:tcPr>
                  <w:tcW w:w="405" w:type="pct"/>
                  <w:tcBorders>
                    <w:tl2br w:val="nil"/>
                    <w:tr2bl w:val="nil"/>
                  </w:tcBorders>
                  <w:vAlign w:val="center"/>
                </w:tcPr>
                <w:p w14:paraId="4BE95B79">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排放量</w:t>
                  </w:r>
                </w:p>
                <w:p w14:paraId="6D88E888">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t/a</w:t>
                  </w:r>
                </w:p>
              </w:tc>
              <w:tc>
                <w:tcPr>
                  <w:tcW w:w="405" w:type="pct"/>
                  <w:tcBorders>
                    <w:tl2br w:val="nil"/>
                    <w:tr2bl w:val="nil"/>
                  </w:tcBorders>
                  <w:vAlign w:val="center"/>
                </w:tcPr>
                <w:p w14:paraId="0D0769AF">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排放速率</w:t>
                  </w:r>
                  <w:r>
                    <w:rPr>
                      <w:rFonts w:hint="eastAsia" w:cs="Times New Roman"/>
                      <w:color w:val="auto"/>
                      <w:sz w:val="21"/>
                      <w:szCs w:val="21"/>
                      <w:lang w:val="en-US" w:eastAsia="zh-CN"/>
                    </w:rPr>
                    <w:t>kg/h</w:t>
                  </w:r>
                </w:p>
              </w:tc>
              <w:tc>
                <w:tcPr>
                  <w:tcW w:w="466" w:type="pct"/>
                  <w:tcBorders>
                    <w:tl2br w:val="nil"/>
                    <w:tr2bl w:val="nil"/>
                  </w:tcBorders>
                  <w:vAlign w:val="center"/>
                </w:tcPr>
                <w:p w14:paraId="006A5260">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排放</w:t>
                  </w:r>
                  <w:r>
                    <w:rPr>
                      <w:rFonts w:hint="eastAsia" w:cs="Times New Roman"/>
                      <w:color w:val="auto"/>
                      <w:sz w:val="21"/>
                      <w:szCs w:val="21"/>
                      <w:lang w:val="en-US" w:eastAsia="zh-CN"/>
                    </w:rPr>
                    <w:t>浓度mg/m</w:t>
                  </w:r>
                  <w:r>
                    <w:rPr>
                      <w:rFonts w:hint="eastAsia" w:cs="Times New Roman"/>
                      <w:color w:val="auto"/>
                      <w:sz w:val="21"/>
                      <w:szCs w:val="21"/>
                      <w:vertAlign w:val="superscript"/>
                      <w:lang w:val="en-US" w:eastAsia="zh-CN"/>
                    </w:rPr>
                    <w:t>3</w:t>
                  </w:r>
                </w:p>
              </w:tc>
            </w:tr>
            <w:tr w14:paraId="74913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0" w:type="pct"/>
                  <w:tcBorders>
                    <w:tl2br w:val="nil"/>
                    <w:tr2bl w:val="nil"/>
                  </w:tcBorders>
                  <w:vAlign w:val="center"/>
                </w:tcPr>
                <w:p w14:paraId="5C8D6C88">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DA002</w:t>
                  </w:r>
                </w:p>
              </w:tc>
              <w:tc>
                <w:tcPr>
                  <w:tcW w:w="250" w:type="pct"/>
                  <w:tcBorders>
                    <w:tl2br w:val="nil"/>
                    <w:tr2bl w:val="nil"/>
                  </w:tcBorders>
                  <w:vAlign w:val="center"/>
                </w:tcPr>
                <w:p w14:paraId="620062CA">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不凝尾气</w:t>
                  </w:r>
                </w:p>
              </w:tc>
              <w:tc>
                <w:tcPr>
                  <w:tcW w:w="250" w:type="pct"/>
                  <w:tcBorders>
                    <w:tl2br w:val="nil"/>
                    <w:tr2bl w:val="nil"/>
                  </w:tcBorders>
                  <w:vAlign w:val="center"/>
                </w:tcPr>
                <w:p w14:paraId="74B92C85">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278" w:type="pct"/>
                  <w:tcBorders>
                    <w:tl2br w:val="nil"/>
                    <w:tr2bl w:val="nil"/>
                  </w:tcBorders>
                  <w:vAlign w:val="center"/>
                </w:tcPr>
                <w:p w14:paraId="1E8DC2D4">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30</w:t>
                  </w:r>
                </w:p>
              </w:tc>
              <w:tc>
                <w:tcPr>
                  <w:tcW w:w="359" w:type="pct"/>
                  <w:tcBorders>
                    <w:tl2br w:val="nil"/>
                    <w:tr2bl w:val="nil"/>
                  </w:tcBorders>
                  <w:vAlign w:val="center"/>
                </w:tcPr>
                <w:p w14:paraId="23ECB1A5">
                  <w:pPr>
                    <w:pStyle w:val="12"/>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textAlignment w:val="auto"/>
                    <w:rPr>
                      <w:rFonts w:hint="default" w:cs="Times New Roman"/>
                      <w:kern w:val="0"/>
                      <w:sz w:val="21"/>
                      <w:szCs w:val="21"/>
                      <w:lang w:val="en-US" w:eastAsia="zh-CN" w:bidi="ar-SA"/>
                    </w:rPr>
                  </w:pPr>
                  <w:r>
                    <w:rPr>
                      <w:rFonts w:hint="eastAsia" w:cs="Times New Roman"/>
                      <w:kern w:val="0"/>
                      <w:sz w:val="21"/>
                      <w:szCs w:val="21"/>
                      <w:lang w:val="en-US" w:eastAsia="zh-CN" w:bidi="ar-SA"/>
                    </w:rPr>
                    <w:t>300</w:t>
                  </w:r>
                </w:p>
              </w:tc>
              <w:tc>
                <w:tcPr>
                  <w:tcW w:w="405" w:type="pct"/>
                  <w:tcBorders>
                    <w:tl2br w:val="nil"/>
                    <w:tr2bl w:val="nil"/>
                  </w:tcBorders>
                  <w:vAlign w:val="center"/>
                </w:tcPr>
                <w:p w14:paraId="40674E1B">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9.045 </w:t>
                  </w:r>
                </w:p>
              </w:tc>
              <w:tc>
                <w:tcPr>
                  <w:tcW w:w="466" w:type="pct"/>
                  <w:tcBorders>
                    <w:tl2br w:val="nil"/>
                    <w:tr2bl w:val="nil"/>
                  </w:tcBorders>
                  <w:vAlign w:val="center"/>
                </w:tcPr>
                <w:p w14:paraId="6192A140">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12.562 </w:t>
                  </w:r>
                </w:p>
              </w:tc>
              <w:tc>
                <w:tcPr>
                  <w:tcW w:w="652" w:type="pct"/>
                  <w:tcBorders>
                    <w:tl2br w:val="nil"/>
                    <w:tr2bl w:val="nil"/>
                  </w:tcBorders>
                  <w:vAlign w:val="center"/>
                </w:tcPr>
                <w:p w14:paraId="6B7F7FC5">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41872.889 </w:t>
                  </w:r>
                </w:p>
              </w:tc>
              <w:tc>
                <w:tcPr>
                  <w:tcW w:w="569" w:type="pct"/>
                  <w:tcBorders>
                    <w:tl2br w:val="nil"/>
                    <w:tr2bl w:val="nil"/>
                  </w:tcBorders>
                  <w:vAlign w:val="center"/>
                </w:tcPr>
                <w:p w14:paraId="41A54740">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三级循环水冷凝+冷冻回收</w:t>
                  </w:r>
                </w:p>
                <w:p w14:paraId="5A4CA80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r>
                    <w:rPr>
                      <w:rFonts w:hint="eastAsia" w:cs="Times New Roman"/>
                      <w:color w:val="auto"/>
                      <w:sz w:val="21"/>
                      <w:szCs w:val="21"/>
                      <w:lang w:val="en-US" w:eastAsia="zh-CN"/>
                    </w:rPr>
                    <w:t>综合治理效率99.9%</w:t>
                  </w:r>
                  <w:r>
                    <w:rPr>
                      <w:rFonts w:hint="eastAsia"/>
                      <w:lang w:val="en-US" w:eastAsia="zh-CN"/>
                    </w:rPr>
                    <w:t>）</w:t>
                  </w:r>
                </w:p>
              </w:tc>
              <w:tc>
                <w:tcPr>
                  <w:tcW w:w="405" w:type="pct"/>
                  <w:tcBorders>
                    <w:tl2br w:val="nil"/>
                    <w:tr2bl w:val="nil"/>
                  </w:tcBorders>
                  <w:vAlign w:val="center"/>
                </w:tcPr>
                <w:p w14:paraId="63AB2FD6">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0.009 </w:t>
                  </w:r>
                </w:p>
              </w:tc>
              <w:tc>
                <w:tcPr>
                  <w:tcW w:w="405" w:type="pct"/>
                  <w:tcBorders>
                    <w:tl2br w:val="nil"/>
                    <w:tr2bl w:val="nil"/>
                  </w:tcBorders>
                  <w:vAlign w:val="center"/>
                </w:tcPr>
                <w:p w14:paraId="6D8DF51F">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0.013 </w:t>
                  </w:r>
                </w:p>
              </w:tc>
              <w:tc>
                <w:tcPr>
                  <w:tcW w:w="466" w:type="pct"/>
                  <w:tcBorders>
                    <w:tl2br w:val="nil"/>
                    <w:tr2bl w:val="nil"/>
                  </w:tcBorders>
                  <w:vAlign w:val="center"/>
                </w:tcPr>
                <w:p w14:paraId="542A488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41.873 </w:t>
                  </w:r>
                </w:p>
              </w:tc>
            </w:tr>
          </w:tbl>
          <w:p w14:paraId="3D779F7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综上，本项目非甲烷总烃满足《大气污染物综合排放标准》（GB16297-1996）表2二级标准（</w:t>
            </w:r>
            <w:r>
              <w:rPr>
                <w:rFonts w:hint="eastAsia" w:cs="Times New Roman"/>
                <w:lang w:val="en-US" w:eastAsia="zh-CN"/>
              </w:rPr>
              <w:t>排放浓度120m</w:t>
            </w:r>
            <w:r>
              <w:rPr>
                <w:rFonts w:hint="eastAsia" w:cs="Times New Roman"/>
                <w:vertAlign w:val="superscript"/>
                <w:lang w:val="en-US" w:eastAsia="zh-CN"/>
              </w:rPr>
              <w:t>3</w:t>
            </w:r>
            <w:r>
              <w:rPr>
                <w:rFonts w:hint="eastAsia" w:cs="Times New Roman"/>
                <w:lang w:val="en-US" w:eastAsia="zh-CN"/>
              </w:rPr>
              <w:t>/h，排放速率为10kg/h</w:t>
            </w:r>
            <w:r>
              <w:rPr>
                <w:rFonts w:hint="eastAsia"/>
                <w:lang w:val="en-US" w:eastAsia="zh-CN"/>
              </w:rPr>
              <w:t>）要求。</w:t>
            </w:r>
          </w:p>
          <w:p w14:paraId="14F656DE">
            <w:pPr>
              <w:pStyle w:val="4"/>
              <w:numPr>
                <w:ilvl w:val="0"/>
                <w:numId w:val="7"/>
              </w:numPr>
              <w:suppressLineNumbers w:val="0"/>
              <w:bidi w:val="0"/>
              <w:spacing w:before="0" w:beforeAutospacing="0" w:after="0" w:afterAutospacing="0"/>
              <w:ind w:left="0" w:right="0"/>
              <w:rPr>
                <w:rFonts w:hint="default"/>
                <w:lang w:val="en-US" w:eastAsia="zh-CN"/>
              </w:rPr>
            </w:pPr>
            <w:r>
              <w:rPr>
                <w:rFonts w:hint="eastAsia"/>
                <w:lang w:val="en-US" w:eastAsia="zh-CN"/>
              </w:rPr>
              <w:t>辣椒粕装卸粉尘</w:t>
            </w:r>
          </w:p>
          <w:p w14:paraId="06150734">
            <w:pPr>
              <w:keepNext w:val="0"/>
              <w:keepLines w:val="0"/>
              <w:suppressLineNumbers w:val="0"/>
              <w:bidi w:val="0"/>
              <w:spacing w:before="0" w:beforeAutospacing="0" w:after="0" w:afterAutospacing="0"/>
              <w:ind w:left="0" w:right="0"/>
              <w:rPr>
                <w:rFonts w:hint="eastAsia"/>
                <w:color w:val="auto"/>
                <w:lang w:val="en-US" w:eastAsia="zh-CN"/>
              </w:rPr>
            </w:pPr>
            <w:r>
              <w:rPr>
                <w:rFonts w:hint="eastAsia"/>
                <w:lang w:val="en-US" w:eastAsia="zh-CN"/>
              </w:rPr>
              <w:t>固体糟粕由管道输送至车间内，由装载机装入车辆内转运，糟粕产量约3.95万t/a，含水率约13%，不易起尘。</w:t>
            </w:r>
            <w:r>
              <w:rPr>
                <w:rFonts w:hint="eastAsia"/>
                <w:color w:val="auto"/>
                <w:lang w:val="en-US" w:eastAsia="zh-CN"/>
              </w:rPr>
              <w:t>参考《排放源统计调查排放核算方法和系数手册》中工业企业固体物料堆存颗粒物包括装卸扬尘和风蚀扬尘，核算公式如下：</w:t>
            </w:r>
          </w:p>
          <w:p w14:paraId="0FE18A4E">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drawing>
                <wp:inline distT="0" distB="0" distL="114300" distR="114300">
                  <wp:extent cx="3800475" cy="2667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rcRect t="17551" b="25307"/>
                          <a:stretch>
                            <a:fillRect/>
                          </a:stretch>
                        </pic:blipFill>
                        <pic:spPr>
                          <a:xfrm>
                            <a:off x="0" y="0"/>
                            <a:ext cx="3800475" cy="266700"/>
                          </a:xfrm>
                          <a:prstGeom prst="rect">
                            <a:avLst/>
                          </a:prstGeom>
                          <a:noFill/>
                          <a:ln>
                            <a:noFill/>
                          </a:ln>
                        </pic:spPr>
                      </pic:pic>
                    </a:graphicData>
                  </a:graphic>
                </wp:inline>
              </w:drawing>
            </w:r>
          </w:p>
          <w:p w14:paraId="768E0DC8">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式中：P 指颗粒物产生量（单位：吨）；</w:t>
            </w:r>
          </w:p>
          <w:p w14:paraId="125920E8">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ZC</w:t>
            </w:r>
            <w:r>
              <w:rPr>
                <w:rFonts w:hint="eastAsia"/>
                <w:color w:val="auto"/>
                <w:vertAlign w:val="subscript"/>
                <w:lang w:val="en-US" w:eastAsia="zh-CN"/>
              </w:rPr>
              <w:t>y</w:t>
            </w:r>
            <w:r>
              <w:rPr>
                <w:rFonts w:hint="eastAsia"/>
                <w:color w:val="auto"/>
                <w:lang w:val="en-US" w:eastAsia="zh-CN"/>
              </w:rPr>
              <w:t>指装卸扬尘产生量（单位：吨）；</w:t>
            </w:r>
          </w:p>
          <w:p w14:paraId="1B2D5E3A">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FC</w:t>
            </w:r>
            <w:r>
              <w:rPr>
                <w:rFonts w:hint="eastAsia"/>
                <w:color w:val="auto"/>
                <w:vertAlign w:val="subscript"/>
                <w:lang w:val="en-US" w:eastAsia="zh-CN"/>
              </w:rPr>
              <w:t>y</w:t>
            </w:r>
            <w:r>
              <w:rPr>
                <w:rFonts w:hint="eastAsia"/>
                <w:color w:val="auto"/>
                <w:lang w:val="en-US" w:eastAsia="zh-CN"/>
              </w:rPr>
              <w:t>指风蚀扬尘产生量（单位：吨）；</w:t>
            </w:r>
          </w:p>
          <w:p w14:paraId="56DCE429">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N</w:t>
            </w:r>
            <w:r>
              <w:rPr>
                <w:rFonts w:hint="eastAsia"/>
                <w:color w:val="auto"/>
                <w:vertAlign w:val="subscript"/>
                <w:lang w:val="en-US" w:eastAsia="zh-CN"/>
              </w:rPr>
              <w:t>c</w:t>
            </w:r>
            <w:r>
              <w:rPr>
                <w:rFonts w:hint="eastAsia"/>
                <w:color w:val="auto"/>
                <w:lang w:val="en-US" w:eastAsia="zh-CN"/>
              </w:rPr>
              <w:t>指年物料运载车次（单位：车），取：约1233车；</w:t>
            </w:r>
          </w:p>
          <w:p w14:paraId="38F8CD56">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D 指单车平均运载量（单位：吨/车），32吨/车；</w:t>
            </w:r>
          </w:p>
          <w:p w14:paraId="08B1DEF4">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（a/b）指装卸扬尘概化系数（单位：千克/吨），a 指各省风速概化系数，取0.0011，b 指物料含水率概化系数，取0.0151；取值0.073</w:t>
            </w:r>
          </w:p>
          <w:p w14:paraId="38643D11">
            <w:pPr>
              <w:keepNext w:val="0"/>
              <w:keepLines w:val="0"/>
              <w:suppressLineNumbers w:val="0"/>
              <w:bidi w:val="0"/>
              <w:spacing w:before="0" w:beforeAutospacing="0" w:after="0" w:afterAutospacing="0"/>
              <w:ind w:left="0" w:right="0" w:firstLine="960" w:firstLineChars="400"/>
              <w:rPr>
                <w:rFonts w:hint="eastAsia"/>
                <w:color w:val="auto"/>
                <w:lang w:val="en-US" w:eastAsia="zh-CN"/>
              </w:rPr>
            </w:pPr>
            <w:r>
              <w:rPr>
                <w:rFonts w:hint="eastAsia"/>
                <w:color w:val="auto"/>
                <w:lang w:val="en-US" w:eastAsia="zh-CN"/>
              </w:rPr>
              <w:t>E</w:t>
            </w:r>
            <w:r>
              <w:rPr>
                <w:rFonts w:hint="eastAsia"/>
                <w:color w:val="auto"/>
                <w:vertAlign w:val="subscript"/>
                <w:lang w:val="en-US" w:eastAsia="zh-CN"/>
              </w:rPr>
              <w:t>f</w:t>
            </w:r>
            <w:r>
              <w:rPr>
                <w:rFonts w:hint="eastAsia"/>
                <w:color w:val="auto"/>
                <w:lang w:val="en-US" w:eastAsia="zh-CN"/>
              </w:rPr>
              <w:t>指堆场风蚀扬尘概化系数，取0（单位：千克/平方米）；</w:t>
            </w:r>
          </w:p>
          <w:p w14:paraId="29BF4268">
            <w:pPr>
              <w:keepNext w:val="0"/>
              <w:keepLines w:val="0"/>
              <w:suppressLineNumbers w:val="0"/>
              <w:bidi w:val="0"/>
              <w:spacing w:before="0" w:beforeAutospacing="0" w:after="0" w:afterAutospacing="0"/>
              <w:ind w:left="0" w:right="0" w:firstLine="960" w:firstLineChars="400"/>
              <w:rPr>
                <w:rFonts w:hint="eastAsia"/>
                <w:color w:val="auto"/>
                <w:lang w:val="en-US" w:eastAsia="zh-CN"/>
              </w:rPr>
            </w:pPr>
            <w:r>
              <w:rPr>
                <w:rFonts w:hint="eastAsia"/>
                <w:color w:val="auto"/>
                <w:lang w:val="en-US" w:eastAsia="zh-CN"/>
              </w:rPr>
              <w:t>S 指堆场占地面积，取720（单位：平方米）。</w:t>
            </w:r>
          </w:p>
          <w:p w14:paraId="40B1FE9E">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经计算，辣椒粕堆存颗粒物产生量为2.88吨。</w:t>
            </w:r>
          </w:p>
          <w:p w14:paraId="5EF6EFFD">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颗粒物排放量核算公式如下：</w:t>
            </w:r>
          </w:p>
          <w:p w14:paraId="3D58F8DB">
            <w:pPr>
              <w:keepNext w:val="0"/>
              <w:keepLines w:val="0"/>
              <w:suppressLineNumbers w:val="0"/>
              <w:bidi w:val="0"/>
              <w:spacing w:before="0" w:beforeAutospacing="0" w:after="0" w:afterAutospacing="0"/>
              <w:ind w:left="0" w:right="0"/>
              <w:jc w:val="center"/>
              <w:rPr>
                <w:rFonts w:hint="eastAsia"/>
                <w:color w:val="auto"/>
                <w:lang w:val="en-US" w:eastAsia="zh-CN"/>
              </w:rPr>
            </w:pPr>
            <w:r>
              <w:rPr>
                <w:rFonts w:hint="default"/>
                <w:color w:val="auto"/>
              </w:rPr>
              <w:drawing>
                <wp:inline distT="0" distB="0" distL="114300" distR="114300">
                  <wp:extent cx="2476500" cy="2286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rcRect t="17545" b="19298"/>
                          <a:stretch>
                            <a:fillRect/>
                          </a:stretch>
                        </pic:blipFill>
                        <pic:spPr>
                          <a:xfrm>
                            <a:off x="0" y="0"/>
                            <a:ext cx="2476500" cy="228600"/>
                          </a:xfrm>
                          <a:prstGeom prst="rect">
                            <a:avLst/>
                          </a:prstGeom>
                          <a:noFill/>
                          <a:ln>
                            <a:noFill/>
                          </a:ln>
                        </pic:spPr>
                      </pic:pic>
                    </a:graphicData>
                  </a:graphic>
                </wp:inline>
              </w:drawing>
            </w:r>
          </w:p>
          <w:p w14:paraId="06392CD9">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式中：P 指颗粒物产生量，取2.88（单位：吨）；</w:t>
            </w:r>
          </w:p>
          <w:p w14:paraId="5D3B4D04">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U</w:t>
            </w:r>
            <w:r>
              <w:rPr>
                <w:rFonts w:hint="eastAsia"/>
                <w:color w:val="auto"/>
                <w:vertAlign w:val="subscript"/>
                <w:lang w:val="en-US" w:eastAsia="zh-CN"/>
              </w:rPr>
              <w:t>c</w:t>
            </w:r>
            <w:r>
              <w:rPr>
                <w:rFonts w:hint="eastAsia"/>
                <w:color w:val="auto"/>
                <w:lang w:val="en-US" w:eastAsia="zh-CN"/>
              </w:rPr>
              <w:t>指颗粒物排放量（单位：吨）；</w:t>
            </w:r>
          </w:p>
          <w:p w14:paraId="4FB6CA64">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C</w:t>
            </w:r>
            <w:r>
              <w:rPr>
                <w:rFonts w:hint="eastAsia"/>
                <w:color w:val="auto"/>
                <w:vertAlign w:val="subscript"/>
                <w:lang w:val="en-US" w:eastAsia="zh-CN"/>
              </w:rPr>
              <w:t>m</w:t>
            </w:r>
            <w:r>
              <w:rPr>
                <w:rFonts w:hint="eastAsia"/>
                <w:color w:val="auto"/>
                <w:lang w:val="en-US" w:eastAsia="zh-CN"/>
              </w:rPr>
              <w:t>指颗粒物控制措施控制效率，全封闭车间99%（单位：%）；</w:t>
            </w:r>
          </w:p>
          <w:p w14:paraId="09E95144">
            <w:pPr>
              <w:keepNext w:val="0"/>
              <w:keepLines w:val="0"/>
              <w:suppressLineNumbers w:val="0"/>
              <w:bidi w:val="0"/>
              <w:spacing w:before="0" w:beforeAutospacing="0" w:after="0" w:afterAutospacing="0"/>
              <w:ind w:left="0" w:right="0" w:firstLine="1200" w:firstLineChars="500"/>
              <w:rPr>
                <w:rFonts w:hint="eastAsia"/>
                <w:color w:val="auto"/>
                <w:lang w:val="en-US" w:eastAsia="zh-CN"/>
              </w:rPr>
            </w:pPr>
            <w:r>
              <w:rPr>
                <w:rFonts w:hint="eastAsia"/>
                <w:color w:val="auto"/>
                <w:lang w:val="en-US" w:eastAsia="zh-CN"/>
              </w:rPr>
              <w:t>T</w:t>
            </w:r>
            <w:r>
              <w:rPr>
                <w:rFonts w:hint="eastAsia"/>
                <w:color w:val="auto"/>
                <w:vertAlign w:val="subscript"/>
                <w:lang w:val="en-US" w:eastAsia="zh-CN"/>
              </w:rPr>
              <w:t>m</w:t>
            </w:r>
            <w:r>
              <w:rPr>
                <w:rFonts w:hint="eastAsia"/>
                <w:color w:val="auto"/>
                <w:lang w:val="en-US" w:eastAsia="zh-CN"/>
              </w:rPr>
              <w:t>指堆场类型控制效率，取0（单位：%）。</w:t>
            </w:r>
          </w:p>
          <w:p w14:paraId="7920C6BF">
            <w:pPr>
              <w:keepNext w:val="0"/>
              <w:keepLines w:val="0"/>
              <w:suppressLineNumbers w:val="0"/>
              <w:spacing w:before="0" w:beforeAutospacing="0" w:after="0" w:afterAutospacing="0"/>
              <w:ind w:left="0" w:right="0"/>
              <w:rPr>
                <w:rFonts w:hint="eastAsia"/>
                <w:lang w:eastAsia="zh-CN"/>
              </w:rPr>
            </w:pPr>
            <w:r>
              <w:rPr>
                <w:rFonts w:hint="eastAsia"/>
                <w:color w:val="auto"/>
                <w:lang w:val="en-US" w:eastAsia="zh-CN"/>
              </w:rPr>
              <w:t>经计算，废辣椒粕装卸过程中</w:t>
            </w:r>
            <w:r>
              <w:rPr>
                <w:rFonts w:hint="eastAsia"/>
                <w:lang w:val="en-US" w:eastAsia="zh-CN"/>
              </w:rPr>
              <w:t>无组织粉尘排放量约为0.029t/a</w:t>
            </w:r>
            <w:r>
              <w:rPr>
                <w:rFonts w:hint="eastAsia"/>
                <w:lang w:eastAsia="zh-CN"/>
              </w:rPr>
              <w:t>。</w:t>
            </w:r>
          </w:p>
          <w:p w14:paraId="0DCA8058">
            <w:pPr>
              <w:pStyle w:val="4"/>
              <w:numPr>
                <w:ilvl w:val="0"/>
                <w:numId w:val="7"/>
              </w:numPr>
              <w:suppressLineNumbers w:val="0"/>
              <w:bidi w:val="0"/>
              <w:spacing w:before="0" w:beforeAutospacing="0" w:after="0" w:afterAutospacing="0"/>
              <w:ind w:left="0" w:leftChars="0" w:right="0" w:firstLine="0" w:firstLineChars="0"/>
              <w:rPr>
                <w:rFonts w:hint="eastAsia"/>
                <w:b w:val="0"/>
                <w:bCs w:val="0"/>
                <w:lang w:eastAsia="zh-CN"/>
              </w:rPr>
            </w:pPr>
            <w:r>
              <w:rPr>
                <w:rFonts w:hint="eastAsia"/>
                <w:lang w:eastAsia="zh-CN"/>
              </w:rPr>
              <w:t>储罐“大小呼吸”废气</w:t>
            </w:r>
          </w:p>
          <w:p w14:paraId="6C0E49E5">
            <w:pPr>
              <w:keepNext w:val="0"/>
              <w:keepLines w:val="0"/>
              <w:suppressLineNumbers w:val="0"/>
              <w:bidi w:val="0"/>
              <w:spacing w:before="0" w:beforeAutospacing="0" w:after="0" w:afterAutospacing="0"/>
              <w:ind w:left="0" w:right="0"/>
              <w:rPr>
                <w:rFonts w:hint="eastAsia" w:eastAsia="宋体"/>
                <w:lang w:val="en-US" w:eastAsia="zh-CN"/>
              </w:rPr>
            </w:pPr>
            <w:r>
              <w:rPr>
                <w:rFonts w:hint="eastAsia"/>
                <w:b w:val="0"/>
                <w:bCs w:val="0"/>
                <w:lang w:val="en-US" w:eastAsia="zh-CN"/>
              </w:rPr>
              <w:t>6个50m</w:t>
            </w:r>
            <w:r>
              <w:rPr>
                <w:rFonts w:hint="eastAsia"/>
                <w:b w:val="0"/>
                <w:bCs w:val="0"/>
                <w:vertAlign w:val="superscript"/>
                <w:lang w:val="en-US" w:eastAsia="zh-CN"/>
              </w:rPr>
              <w:t>3</w:t>
            </w:r>
            <w:r>
              <w:rPr>
                <w:rFonts w:hint="eastAsia"/>
                <w:b w:val="0"/>
                <w:bCs w:val="0"/>
                <w:lang w:val="en-US" w:eastAsia="zh-CN"/>
              </w:rPr>
              <w:t>的正己烷储罐，安全系数为0.9计算，最大贮存量为177.93t（270m</w:t>
            </w:r>
            <w:r>
              <w:rPr>
                <w:rFonts w:hint="eastAsia"/>
                <w:b w:val="0"/>
                <w:bCs w:val="0"/>
                <w:vertAlign w:val="superscript"/>
                <w:lang w:val="en-US" w:eastAsia="zh-CN"/>
              </w:rPr>
              <w:t>3</w:t>
            </w:r>
            <w:r>
              <w:rPr>
                <w:rFonts w:hint="eastAsia"/>
                <w:b w:val="0"/>
                <w:bCs w:val="0"/>
                <w:lang w:val="en-US" w:eastAsia="zh-CN"/>
              </w:rPr>
              <w:t>），主要用于生产线停止时有</w:t>
            </w:r>
            <w:r>
              <w:rPr>
                <w:rFonts w:hint="eastAsia"/>
                <w:lang w:val="en-US" w:eastAsia="zh-CN"/>
              </w:rPr>
              <w:t>机溶剂的暂存，周转一年一次。生产季需补充有机溶剂由运输车辆直接打入生产设备中，产生有机废气经三级循环水冷凝+冷冻回收处理后回用，不凝气产生量较小，可忽略不计。参考</w:t>
            </w:r>
            <w:r>
              <w:rPr>
                <w:rFonts w:hint="default"/>
              </w:rPr>
              <w:t>《石油库节能设计导则》（SH/T 3002）及工程实践经验，地埋卧式罐（埋地深度≥0.5m）的罐内气相温度受地表气温波动影响极小，昼夜温差ΔT可视为0。代入小呼吸公式后，计算结果趋近于0。因此，小呼吸排放忽略不计</w:t>
            </w:r>
            <w:r>
              <w:rPr>
                <w:rFonts w:hint="eastAsia"/>
                <w:lang w:eastAsia="zh-CN"/>
              </w:rPr>
              <w:t>。</w:t>
            </w:r>
          </w:p>
          <w:p w14:paraId="5937CF3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“大呼吸”损耗计算：</w:t>
            </w:r>
          </w:p>
          <w:p w14:paraId="4C0269EE">
            <w:pPr>
              <w:keepNext w:val="0"/>
              <w:keepLines w:val="0"/>
              <w:suppressLineNumbers w:val="0"/>
              <w:bidi w:val="0"/>
              <w:spacing w:before="0" w:beforeAutospacing="0" w:after="0" w:afterAutospacing="0"/>
              <w:ind w:left="0" w:leftChars="0" w:right="0" w:firstLine="0" w:firstLineChars="0"/>
              <w:jc w:val="center"/>
              <w:rPr>
                <w:rFonts w:hint="default" w:ascii="Times New Roman" w:eastAsia="宋体" w:cs="Times New Roman"/>
                <w:color w:val="auto"/>
                <w:vertAlign w:val="subscript"/>
              </w:rPr>
            </w:pPr>
            <w:r>
              <w:rPr>
                <w:rFonts w:hint="default" w:ascii="Times New Roman" w:eastAsia="宋体" w:cs="Times New Roman"/>
                <w:color w:val="auto"/>
              </w:rPr>
              <w:t>L</w:t>
            </w:r>
            <w:r>
              <w:rPr>
                <w:rFonts w:hint="default" w:ascii="Times New Roman" w:eastAsia="宋体" w:cs="Times New Roman"/>
                <w:color w:val="auto"/>
                <w:vertAlign w:val="subscript"/>
              </w:rPr>
              <w:t>W</w:t>
            </w:r>
            <w:r>
              <w:rPr>
                <w:rFonts w:hint="default" w:ascii="Times New Roman" w:eastAsia="宋体" w:cs="Times New Roman"/>
                <w:color w:val="auto"/>
              </w:rPr>
              <w:t>=4.188×10</w:t>
            </w:r>
            <w:r>
              <w:rPr>
                <w:rFonts w:hint="default" w:ascii="Times New Roman" w:eastAsia="宋体" w:cs="Times New Roman"/>
                <w:color w:val="auto"/>
                <w:vertAlign w:val="superscript"/>
              </w:rPr>
              <w:t>-7</w:t>
            </w:r>
            <w:r>
              <w:rPr>
                <w:rFonts w:hint="default" w:ascii="Times New Roman" w:eastAsia="宋体" w:cs="Times New Roman"/>
                <w:color w:val="auto"/>
              </w:rPr>
              <w:t>×M×P×K</w:t>
            </w:r>
            <w:r>
              <w:rPr>
                <w:rFonts w:hint="default" w:ascii="Times New Roman" w:eastAsia="宋体" w:cs="Times New Roman"/>
                <w:color w:val="auto"/>
                <w:vertAlign w:val="subscript"/>
              </w:rPr>
              <w:t>N</w:t>
            </w:r>
            <w:r>
              <w:rPr>
                <w:rFonts w:hint="default" w:ascii="Times New Roman" w:eastAsia="宋体" w:cs="Times New Roman"/>
                <w:color w:val="auto"/>
              </w:rPr>
              <w:t>×K</w:t>
            </w:r>
            <w:r>
              <w:rPr>
                <w:rFonts w:hint="default" w:ascii="Times New Roman" w:eastAsia="宋体" w:cs="Times New Roman"/>
                <w:color w:val="auto"/>
                <w:vertAlign w:val="subscript"/>
              </w:rPr>
              <w:t>C</w:t>
            </w:r>
          </w:p>
          <w:p w14:paraId="3752A892">
            <w:pPr>
              <w:keepNext w:val="0"/>
              <w:keepLines w:val="0"/>
              <w:suppressLineNumbers w:val="0"/>
              <w:bidi w:val="0"/>
              <w:spacing w:before="0" w:beforeAutospacing="0" w:after="0" w:afterAutospacing="0"/>
              <w:ind w:left="0" w:right="0"/>
              <w:rPr>
                <w:rFonts w:hint="eastAsia" w:ascii="Times New Roman" w:eastAsia="宋体" w:cs="Times New Roman"/>
                <w:color w:val="auto"/>
                <w:lang w:eastAsia="zh-CN"/>
              </w:rPr>
            </w:pPr>
            <w:r>
              <w:rPr>
                <w:rFonts w:hint="eastAsia" w:ascii="Times New Roman" w:eastAsia="宋体" w:cs="Times New Roman"/>
                <w:color w:val="auto"/>
              </w:rPr>
              <w:t>式中：L</w:t>
            </w:r>
            <w:r>
              <w:rPr>
                <w:rFonts w:hint="eastAsia" w:ascii="Times New Roman" w:eastAsia="宋体" w:cs="Times New Roman"/>
                <w:color w:val="auto"/>
                <w:vertAlign w:val="subscript"/>
              </w:rPr>
              <w:t>W</w:t>
            </w:r>
            <w:r>
              <w:rPr>
                <w:rFonts w:hint="eastAsia" w:ascii="Times New Roman" w:eastAsia="宋体" w:cs="Times New Roman"/>
                <w:color w:val="auto"/>
              </w:rPr>
              <w:t>—固定顶罐的工作损失（kg/m</w:t>
            </w:r>
            <w:r>
              <w:rPr>
                <w:rFonts w:hint="eastAsia" w:ascii="Times New Roman" w:eastAsia="宋体" w:cs="Times New Roman"/>
                <w:color w:val="auto"/>
                <w:vertAlign w:val="superscript"/>
              </w:rPr>
              <w:t>3</w:t>
            </w:r>
            <w:r>
              <w:rPr>
                <w:rFonts w:hint="eastAsia" w:ascii="Times New Roman" w:eastAsia="宋体" w:cs="Times New Roman"/>
                <w:color w:val="auto"/>
              </w:rPr>
              <w:t>投入量）</w:t>
            </w:r>
          </w:p>
          <w:p w14:paraId="5A4B41B5">
            <w:pPr>
              <w:keepNext w:val="0"/>
              <w:keepLines w:val="0"/>
              <w:suppressLineNumbers w:val="0"/>
              <w:bidi w:val="0"/>
              <w:spacing w:before="0" w:beforeAutospacing="0" w:after="0" w:afterAutospacing="0"/>
              <w:ind w:left="0" w:right="0" w:firstLine="1200" w:firstLineChars="500"/>
              <w:rPr>
                <w:rFonts w:hint="default" w:eastAsia="宋体"/>
                <w:color w:val="auto"/>
                <w:lang w:val="en-US" w:eastAsia="zh-CN"/>
              </w:rPr>
            </w:pPr>
            <w:r>
              <w:rPr>
                <w:rFonts w:hint="eastAsia"/>
                <w:color w:val="auto"/>
              </w:rPr>
              <w:t>P—在大量液体状态下，真</w:t>
            </w:r>
            <w:r>
              <w:rPr>
                <w:rFonts w:hint="eastAsia"/>
                <w:color w:val="auto"/>
                <w:lang w:eastAsia="zh-CN"/>
              </w:rPr>
              <w:t>实</w:t>
            </w:r>
            <w:r>
              <w:rPr>
                <w:rFonts w:hint="eastAsia"/>
                <w:color w:val="auto"/>
              </w:rPr>
              <w:t>蒸气压，Pa；取</w:t>
            </w:r>
            <w:r>
              <w:rPr>
                <w:rFonts w:hint="eastAsia"/>
                <w:color w:val="auto"/>
                <w:lang w:val="en-US" w:eastAsia="zh-CN"/>
              </w:rPr>
              <w:t>20132.8</w:t>
            </w:r>
          </w:p>
          <w:p w14:paraId="5189BB7E">
            <w:pPr>
              <w:keepNext w:val="0"/>
              <w:keepLines w:val="0"/>
              <w:suppressLineNumbers w:val="0"/>
              <w:bidi w:val="0"/>
              <w:spacing w:before="0" w:beforeAutospacing="0" w:after="0" w:afterAutospacing="0"/>
              <w:ind w:left="0" w:right="0" w:firstLine="1200" w:firstLineChars="500"/>
              <w:rPr>
                <w:rFonts w:hint="eastAsia"/>
                <w:lang w:val="en-US" w:eastAsia="zh-CN"/>
              </w:rPr>
            </w:pPr>
            <w:r>
              <w:rPr>
                <w:rFonts w:hint="eastAsia"/>
              </w:rPr>
              <w:t>M—储罐内蒸气的分子量；取</w:t>
            </w:r>
            <w:r>
              <w:rPr>
                <w:rFonts w:hint="eastAsia"/>
                <w:lang w:val="en-US" w:eastAsia="zh-CN"/>
              </w:rPr>
              <w:t>86.18</w:t>
            </w:r>
            <w:r>
              <w:rPr>
                <w:rFonts w:hint="default"/>
              </w:rPr>
              <w:t>g/mo</w:t>
            </w:r>
            <w:r>
              <w:rPr>
                <w:rFonts w:hint="eastAsia"/>
                <w:lang w:val="en-US" w:eastAsia="zh-CN"/>
              </w:rPr>
              <w:t>l</w:t>
            </w:r>
          </w:p>
          <w:p w14:paraId="5F6946BE">
            <w:pPr>
              <w:keepNext w:val="0"/>
              <w:keepLines w:val="0"/>
              <w:suppressLineNumbers w:val="0"/>
              <w:bidi w:val="0"/>
              <w:spacing w:before="0" w:beforeAutospacing="0" w:after="0" w:afterAutospacing="0"/>
              <w:ind w:left="0" w:right="0" w:firstLine="1200" w:firstLineChars="500"/>
              <w:rPr>
                <w:rFonts w:hint="eastAsia" w:ascii="Times New Roman" w:eastAsia="宋体" w:cs="Times New Roman"/>
                <w:color w:val="auto"/>
                <w:lang w:val="en-US" w:eastAsia="zh-CN"/>
              </w:rPr>
            </w:pPr>
            <w:r>
              <w:rPr>
                <w:rFonts w:hint="default" w:ascii="Times New Roman" w:eastAsia="宋体" w:cs="Times New Roman"/>
                <w:color w:val="auto"/>
              </w:rPr>
              <w:t>K</w:t>
            </w:r>
            <w:r>
              <w:rPr>
                <w:rFonts w:hint="default" w:ascii="Times New Roman" w:eastAsia="宋体" w:cs="Times New Roman"/>
                <w:color w:val="auto"/>
                <w:vertAlign w:val="subscript"/>
              </w:rPr>
              <w:t>N</w:t>
            </w:r>
            <w:r>
              <w:rPr>
                <w:rFonts w:hint="eastAsia" w:ascii="Times New Roman" w:eastAsia="宋体" w:cs="Times New Roman"/>
                <w:color w:val="auto"/>
              </w:rPr>
              <w:t>—周转因子（无量纲），取值按年周转次数（K）确定。K</w:t>
            </w:r>
            <w:r>
              <w:rPr>
                <w:rFonts w:hint="default" w:ascii="Arial" w:hAnsi="Arial" w:eastAsia="宋体" w:cs="Arial"/>
                <w:color w:val="auto"/>
              </w:rPr>
              <w:t>≤</w:t>
            </w:r>
            <w:r>
              <w:rPr>
                <w:rFonts w:hint="eastAsia" w:ascii="Times New Roman" w:eastAsia="宋体" w:cs="Times New Roman"/>
                <w:color w:val="auto"/>
              </w:rPr>
              <w:t>36，</w:t>
            </w:r>
            <w:r>
              <w:rPr>
                <w:rFonts w:hint="default" w:ascii="Times New Roman" w:eastAsia="宋体" w:cs="Times New Roman"/>
                <w:color w:val="auto"/>
              </w:rPr>
              <w:t>K</w:t>
            </w:r>
            <w:r>
              <w:rPr>
                <w:rFonts w:hint="default" w:ascii="Times New Roman" w:eastAsia="宋体" w:cs="Times New Roman"/>
                <w:color w:val="auto"/>
                <w:vertAlign w:val="subscript"/>
              </w:rPr>
              <w:t>N</w:t>
            </w:r>
            <w:r>
              <w:rPr>
                <w:rFonts w:hint="eastAsia" w:ascii="Times New Roman" w:eastAsia="宋体" w:cs="Times New Roman"/>
                <w:color w:val="auto"/>
              </w:rPr>
              <w:t>=1；36&lt;K</w:t>
            </w:r>
            <w:r>
              <w:rPr>
                <w:rFonts w:hint="default" w:ascii="Arial" w:hAnsi="Arial" w:eastAsia="宋体" w:cs="Arial"/>
                <w:color w:val="auto"/>
              </w:rPr>
              <w:t>≤</w:t>
            </w:r>
            <w:r>
              <w:rPr>
                <w:rFonts w:hint="eastAsia" w:ascii="Times New Roman" w:eastAsia="宋体" w:cs="Times New Roman"/>
                <w:color w:val="auto"/>
              </w:rPr>
              <w:t>220，</w:t>
            </w:r>
            <w:r>
              <w:rPr>
                <w:rFonts w:hint="default" w:ascii="Times New Roman" w:eastAsia="宋体" w:cs="Times New Roman"/>
                <w:color w:val="auto"/>
              </w:rPr>
              <w:t>K</w:t>
            </w:r>
            <w:r>
              <w:rPr>
                <w:rFonts w:hint="default" w:ascii="Times New Roman" w:eastAsia="宋体" w:cs="Times New Roman"/>
                <w:color w:val="auto"/>
                <w:vertAlign w:val="subscript"/>
              </w:rPr>
              <w:t>N</w:t>
            </w:r>
            <w:r>
              <w:rPr>
                <w:rFonts w:hint="eastAsia" w:ascii="Times New Roman" w:eastAsia="宋体" w:cs="Times New Roman"/>
                <w:color w:val="auto"/>
              </w:rPr>
              <w:t>=11.467</w:t>
            </w:r>
            <w:r>
              <w:rPr>
                <w:rFonts w:hint="default" w:ascii="Times New Roman" w:eastAsia="宋体" w:cs="Times New Roman"/>
                <w:color w:val="auto"/>
              </w:rPr>
              <w:t>×</w:t>
            </w:r>
            <w:r>
              <w:rPr>
                <w:rFonts w:hint="eastAsia" w:ascii="Times New Roman" w:eastAsia="宋体" w:cs="Times New Roman"/>
                <w:color w:val="auto"/>
              </w:rPr>
              <w:t>K</w:t>
            </w:r>
            <w:r>
              <w:rPr>
                <w:rFonts w:hint="eastAsia" w:ascii="Times New Roman" w:eastAsia="宋体" w:cs="Times New Roman"/>
                <w:color w:val="auto"/>
                <w:vertAlign w:val="superscript"/>
              </w:rPr>
              <w:t>-0.7026</w:t>
            </w:r>
            <w:r>
              <w:rPr>
                <w:rFonts w:hint="eastAsia" w:ascii="Times New Roman" w:eastAsia="宋体" w:cs="Times New Roman"/>
                <w:color w:val="auto"/>
              </w:rPr>
              <w:t>；K&gt;220，</w:t>
            </w:r>
            <w:r>
              <w:rPr>
                <w:rFonts w:hint="default" w:ascii="Times New Roman" w:eastAsia="宋体" w:cs="Times New Roman"/>
                <w:color w:val="auto"/>
              </w:rPr>
              <w:t>K</w:t>
            </w:r>
            <w:r>
              <w:rPr>
                <w:rFonts w:hint="default" w:ascii="Times New Roman" w:eastAsia="宋体" w:cs="Times New Roman"/>
                <w:color w:val="auto"/>
                <w:vertAlign w:val="subscript"/>
              </w:rPr>
              <w:t>N</w:t>
            </w:r>
            <w:r>
              <w:rPr>
                <w:rFonts w:hint="eastAsia" w:ascii="Times New Roman" w:eastAsia="宋体" w:cs="Times New Roman"/>
                <w:color w:val="auto"/>
              </w:rPr>
              <w:t>=0.26</w:t>
            </w:r>
            <w:r>
              <w:rPr>
                <w:rFonts w:hint="eastAsia" w:cs="Times New Roman"/>
                <w:color w:val="auto"/>
                <w:lang w:eastAsia="zh-CN"/>
              </w:rPr>
              <w:t>；</w:t>
            </w:r>
            <w:r>
              <w:rPr>
                <w:rFonts w:hint="eastAsia" w:cs="Times New Roman"/>
                <w:color w:val="auto"/>
                <w:lang w:val="en-US" w:eastAsia="zh-CN"/>
              </w:rPr>
              <w:t>本项目</w:t>
            </w:r>
            <w:r>
              <w:rPr>
                <w:rFonts w:hint="eastAsia" w:ascii="Times New Roman" w:eastAsia="宋体" w:cs="Times New Roman"/>
                <w:color w:val="auto"/>
              </w:rPr>
              <w:t>K</w:t>
            </w:r>
            <w:r>
              <w:rPr>
                <w:rFonts w:hint="eastAsia" w:cs="Times New Roman"/>
                <w:color w:val="auto"/>
                <w:lang w:val="en-US" w:eastAsia="zh-CN"/>
              </w:rPr>
              <w:t>=</w:t>
            </w:r>
            <w:r>
              <w:rPr>
                <w:rFonts w:hint="eastAsia" w:ascii="Times New Roman" w:eastAsia="宋体" w:cs="Times New Roman"/>
                <w:color w:val="auto"/>
                <w:lang w:val="en-US" w:eastAsia="zh-CN"/>
              </w:rPr>
              <w:t>1</w:t>
            </w:r>
            <w:r>
              <w:rPr>
                <w:rFonts w:hint="eastAsia" w:cs="Times New Roman"/>
                <w:color w:val="auto"/>
                <w:lang w:val="en-US" w:eastAsia="zh-CN"/>
              </w:rPr>
              <w:t>，</w:t>
            </w:r>
            <w:r>
              <w:rPr>
                <w:rFonts w:hint="default" w:ascii="Times New Roman" w:eastAsia="宋体" w:cs="Times New Roman"/>
                <w:color w:val="auto"/>
              </w:rPr>
              <w:t>K</w:t>
            </w:r>
            <w:r>
              <w:rPr>
                <w:rFonts w:hint="default" w:ascii="Times New Roman" w:eastAsia="宋体" w:cs="Times New Roman"/>
                <w:color w:val="auto"/>
                <w:vertAlign w:val="subscript"/>
              </w:rPr>
              <w:t>N</w:t>
            </w:r>
            <w:r>
              <w:rPr>
                <w:rFonts w:hint="eastAsia" w:ascii="Times New Roman" w:eastAsia="宋体" w:cs="Times New Roman"/>
                <w:color w:val="auto"/>
              </w:rPr>
              <w:t>=1</w:t>
            </w:r>
          </w:p>
          <w:p w14:paraId="5E614309">
            <w:pPr>
              <w:keepNext w:val="0"/>
              <w:keepLines w:val="0"/>
              <w:suppressLineNumbers w:val="0"/>
              <w:bidi w:val="0"/>
              <w:spacing w:before="0" w:beforeAutospacing="0" w:after="0" w:afterAutospacing="0"/>
              <w:ind w:left="0" w:right="0" w:firstLine="1200" w:firstLineChars="500"/>
              <w:rPr>
                <w:rFonts w:hint="default"/>
                <w:lang w:val="en-US" w:eastAsia="zh-CN"/>
              </w:rPr>
            </w:pPr>
            <w:r>
              <w:rPr>
                <w:rFonts w:hint="default"/>
              </w:rPr>
              <w:t>K</w:t>
            </w:r>
            <w:r>
              <w:rPr>
                <w:rFonts w:hint="default"/>
                <w:vertAlign w:val="subscript"/>
              </w:rPr>
              <w:t>C</w:t>
            </w:r>
            <w:r>
              <w:rPr>
                <w:rFonts w:hint="eastAsia"/>
              </w:rPr>
              <w:t>—产品因子（无量纲）</w:t>
            </w:r>
            <w:r>
              <w:rPr>
                <w:rFonts w:hint="default"/>
              </w:rPr>
              <w:t>非原油类有机液体</w:t>
            </w:r>
            <w:r>
              <w:rPr>
                <w:rFonts w:hint="eastAsia"/>
                <w:lang w:eastAsia="zh-CN"/>
              </w:rPr>
              <w:t>，</w:t>
            </w:r>
            <w:r>
              <w:rPr>
                <w:rFonts w:hint="eastAsia"/>
                <w:lang w:val="en-US" w:eastAsia="zh-CN"/>
              </w:rPr>
              <w:t>取1</w:t>
            </w:r>
          </w:p>
          <w:p w14:paraId="246F1F99">
            <w:pPr>
              <w:keepNext w:val="0"/>
              <w:keepLines w:val="0"/>
              <w:suppressLineNumbers w:val="0"/>
              <w:bidi w:val="0"/>
              <w:spacing w:before="0" w:beforeAutospacing="0" w:after="0" w:afterAutospacing="0"/>
              <w:ind w:left="0" w:right="0"/>
              <w:rPr>
                <w:rFonts w:hint="eastAsia" w:ascii="Times New Roman" w:eastAsia="宋体" w:cs="Times New Roman"/>
                <w:color w:val="auto"/>
                <w:vertAlign w:val="baseline"/>
                <w:lang w:val="en-US" w:eastAsia="zh-CN"/>
              </w:rPr>
            </w:pPr>
            <w:r>
              <w:rPr>
                <w:rFonts w:hint="eastAsia"/>
                <w:lang w:val="en-US" w:eastAsia="zh-CN"/>
              </w:rPr>
              <w:t>经计算，</w:t>
            </w:r>
            <w:r>
              <w:rPr>
                <w:rFonts w:hint="eastAsia" w:ascii="Times New Roman" w:eastAsia="宋体" w:cs="Times New Roman"/>
                <w:color w:val="auto"/>
              </w:rPr>
              <w:t>固定顶罐的工作损失</w:t>
            </w:r>
            <w:r>
              <w:rPr>
                <w:rFonts w:hint="eastAsia" w:ascii="Times New Roman" w:eastAsia="宋体" w:cs="Times New Roman"/>
                <w:color w:val="auto"/>
                <w:lang w:val="en-US" w:eastAsia="zh-CN"/>
              </w:rPr>
              <w:t>为0.726</w:t>
            </w:r>
            <w:r>
              <w:rPr>
                <w:rFonts w:hint="eastAsia" w:ascii="Times New Roman" w:eastAsia="宋体" w:cs="Times New Roman"/>
                <w:color w:val="auto"/>
              </w:rPr>
              <w:t>kg/m</w:t>
            </w:r>
            <w:r>
              <w:rPr>
                <w:rFonts w:hint="eastAsia" w:ascii="Times New Roman" w:eastAsia="宋体" w:cs="Times New Roman"/>
                <w:color w:val="auto"/>
                <w:vertAlign w:val="superscript"/>
              </w:rPr>
              <w:t>3</w:t>
            </w:r>
            <w:r>
              <w:rPr>
                <w:rFonts w:hint="eastAsia" w:ascii="Times New Roman" w:eastAsia="宋体" w:cs="Times New Roman"/>
                <w:color w:val="auto"/>
                <w:vertAlign w:val="baseline"/>
                <w:lang w:eastAsia="zh-CN"/>
              </w:rPr>
              <w:t>，</w:t>
            </w:r>
            <w:r>
              <w:rPr>
                <w:rFonts w:hint="eastAsia" w:ascii="Times New Roman" w:eastAsia="宋体" w:cs="Times New Roman"/>
                <w:color w:val="auto"/>
                <w:vertAlign w:val="baseline"/>
                <w:lang w:val="en-US" w:eastAsia="zh-CN"/>
              </w:rPr>
              <w:t>则本项目一个储罐最大储存270m</w:t>
            </w:r>
            <w:r>
              <w:rPr>
                <w:rFonts w:hint="eastAsia" w:ascii="Times New Roman" w:eastAsia="宋体" w:cs="Times New Roman"/>
                <w:color w:val="auto"/>
                <w:vertAlign w:val="superscript"/>
                <w:lang w:val="en-US" w:eastAsia="zh-CN"/>
              </w:rPr>
              <w:t>3</w:t>
            </w:r>
            <w:r>
              <w:rPr>
                <w:rFonts w:hint="eastAsia" w:ascii="Times New Roman" w:eastAsia="宋体" w:cs="Times New Roman"/>
                <w:color w:val="auto"/>
                <w:vertAlign w:val="baseline"/>
                <w:lang w:val="en-US" w:eastAsia="zh-CN"/>
              </w:rPr>
              <w:t>，</w:t>
            </w:r>
            <w:r>
              <w:rPr>
                <w:rFonts w:hint="eastAsia"/>
                <w:lang w:val="en-US" w:eastAsia="zh-CN"/>
              </w:rPr>
              <w:t>“大呼吸”</w:t>
            </w:r>
            <w:r>
              <w:rPr>
                <w:rFonts w:hint="eastAsia" w:ascii="Times New Roman" w:eastAsia="宋体" w:cs="Times New Roman"/>
                <w:color w:val="auto"/>
                <w:vertAlign w:val="baseline"/>
                <w:lang w:val="en-US" w:eastAsia="zh-CN"/>
              </w:rPr>
              <w:t>损耗量约196.02kg/a。</w:t>
            </w:r>
          </w:p>
          <w:p w14:paraId="07CAB22D">
            <w:pPr>
              <w:keepNext w:val="0"/>
              <w:keepLines w:val="0"/>
              <w:suppressLineNumbers w:val="0"/>
              <w:bidi w:val="0"/>
              <w:spacing w:before="0" w:beforeAutospacing="0" w:after="0" w:afterAutospacing="0"/>
              <w:ind w:left="0" w:right="0"/>
              <w:rPr>
                <w:rFonts w:hint="default"/>
                <w:lang w:val="en-US" w:eastAsia="zh-CN"/>
              </w:rPr>
            </w:pPr>
            <w:r>
              <w:rPr>
                <w:rFonts w:hint="eastAsia" w:ascii="Times New Roman" w:eastAsia="宋体" w:cs="Times New Roman"/>
                <w:color w:val="auto"/>
                <w:vertAlign w:val="baseline"/>
                <w:lang w:val="en-US" w:eastAsia="zh-CN"/>
              </w:rPr>
              <w:t>综上，</w:t>
            </w:r>
            <w:r>
              <w:rPr>
                <w:rFonts w:hint="eastAsia"/>
                <w:lang w:eastAsia="zh-CN"/>
              </w:rPr>
              <w:t>储罐“小呼吸”</w:t>
            </w:r>
            <w:r>
              <w:rPr>
                <w:rFonts w:hint="eastAsia"/>
                <w:lang w:val="en-US" w:eastAsia="zh-CN"/>
              </w:rPr>
              <w:t>忽略不计，“大呼吸”</w:t>
            </w:r>
            <w:r>
              <w:rPr>
                <w:rFonts w:hint="eastAsia" w:ascii="Times New Roman" w:eastAsia="宋体" w:cs="Times New Roman"/>
                <w:color w:val="auto"/>
                <w:vertAlign w:val="baseline"/>
                <w:lang w:val="en-US" w:eastAsia="zh-CN"/>
              </w:rPr>
              <w:t>损耗量约0.196t/a，储罐“大小呼吸”废气合计为0.196t/a。</w:t>
            </w:r>
          </w:p>
          <w:p w14:paraId="5307192B">
            <w:pPr>
              <w:pStyle w:val="4"/>
              <w:suppressLineNumbers w:val="0"/>
              <w:bidi w:val="0"/>
              <w:spacing w:before="0" w:beforeAutospacing="0" w:after="0" w:afterAutospacing="0"/>
              <w:ind w:left="0" w:right="0"/>
              <w:rPr>
                <w:rFonts w:hint="default"/>
                <w:lang w:val="en-US" w:eastAsia="zh-CN"/>
              </w:rPr>
            </w:pPr>
            <w:r>
              <w:rPr>
                <w:rFonts w:hint="eastAsia"/>
                <w:lang w:val="en-US" w:eastAsia="zh-CN"/>
              </w:rPr>
              <w:t>1.2废气治理</w:t>
            </w:r>
            <w:r>
              <w:rPr>
                <w:rFonts w:hint="default"/>
                <w:lang w:val="en-US" w:eastAsia="zh-CN"/>
              </w:rPr>
              <w:t>技术可行性</w:t>
            </w:r>
            <w:r>
              <w:rPr>
                <w:rFonts w:hint="eastAsia"/>
                <w:lang w:val="en-US" w:eastAsia="zh-CN"/>
              </w:rPr>
              <w:t>分析</w:t>
            </w:r>
            <w:r>
              <w:rPr>
                <w:rFonts w:hint="default"/>
                <w:lang w:val="en-US" w:eastAsia="zh-CN"/>
              </w:rPr>
              <w:t xml:space="preserve"> </w:t>
            </w:r>
          </w:p>
          <w:p w14:paraId="312BDC86">
            <w:pPr>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本项目烘干降温废气采用二级旋风处理+布袋除尘器处理后经15m排气筒排出，根据《排污许可证申请与核发技术规范食品制造工业一方便食品、食品及饲料添加剂制造工业》（</w:t>
            </w:r>
            <w:r>
              <w:rPr>
                <w:rFonts w:hint="eastAsia" w:ascii="Times New Roman" w:hAnsi="Times New Roman" w:cs="Times New Roman"/>
                <w:color w:val="auto"/>
                <w:spacing w:val="0"/>
                <w:kern w:val="2"/>
                <w:sz w:val="24"/>
                <w:szCs w:val="24"/>
                <w:lang w:val="en-US" w:eastAsia="zh-CN" w:bidi="ar"/>
              </w:rPr>
              <w:t xml:space="preserve">HJ </w:t>
            </w:r>
            <w:r>
              <w:rPr>
                <w:rFonts w:hint="eastAsia" w:cs="Times New Roman"/>
                <w:color w:val="auto"/>
                <w:spacing w:val="0"/>
                <w:kern w:val="2"/>
                <w:sz w:val="24"/>
                <w:szCs w:val="24"/>
                <w:lang w:val="en-US" w:eastAsia="zh-CN" w:bidi="ar"/>
              </w:rPr>
              <w:t>1030.3-2019</w:t>
            </w:r>
            <w:r>
              <w:rPr>
                <w:rFonts w:hint="eastAsia"/>
                <w:lang w:val="en-US" w:eastAsia="zh-CN"/>
              </w:rPr>
              <w:t>）中附录B中表B.2，旋风除尘和布袋除尘器均属于可行技术</w:t>
            </w:r>
            <w:r>
              <w:rPr>
                <w:rFonts w:hint="eastAsia"/>
                <w:lang w:eastAsia="zh-CN"/>
              </w:rPr>
              <w:t>。</w:t>
            </w:r>
          </w:p>
          <w:p w14:paraId="5D62E829">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有机溶剂回收经三级冷却水回收+冷冻系统处理后经15m高排气筒排出，结合现有污染物排放监测情况，处理后污染物满足《大气污染物综合排放标准》（GB16297-1996）表2中的二级限值要求，根据《排污许可证申请与核发技术规范食品制造工业一方便食品、食品及饲料添加剂制造工业》（HJ 1030.3-2019）中附录B中表B.2，冷凝回收属于可行技术。</w:t>
            </w:r>
          </w:p>
          <w:p w14:paraId="4613D73A">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上料、装货工序产生少量粉尘，以无组织形式排放，厂区现有厂界无组织监测情况，无组织污染物排放浓度均满足《大气污染物综合排放标准》（GB16297-1996）表2中的无组织限值要求，根据《排污许可证申请与核发技术规范食品制造工业一方便食品、食品及饲料添加剂制造工业》（HJ 1030.3-2019）中6.3.2.2中采用封闭车间属于可行技术。</w:t>
            </w:r>
          </w:p>
          <w:p w14:paraId="4D0D28BD">
            <w:pPr>
              <w:pStyle w:val="4"/>
              <w:suppressLineNumbers w:val="0"/>
              <w:bidi w:val="0"/>
              <w:spacing w:before="0" w:beforeAutospacing="0" w:after="0" w:afterAutospacing="0"/>
              <w:ind w:left="0" w:right="0"/>
              <w:rPr>
                <w:rFonts w:hint="eastAsia"/>
                <w:lang w:val="en-US" w:eastAsia="zh-CN"/>
              </w:rPr>
            </w:pPr>
            <w:r>
              <w:rPr>
                <w:rFonts w:hint="eastAsia"/>
                <w:lang w:val="en-US" w:eastAsia="zh-CN"/>
              </w:rPr>
              <w:t>1.3非正常工况</w:t>
            </w:r>
          </w:p>
          <w:p w14:paraId="0746D081">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本项目冷却循环系统及冷冻系统属于生产设备，出现故障，中控系统可警报提示，立即停止检修，因此不考虑该状况下的非正常工况。</w:t>
            </w:r>
          </w:p>
          <w:p w14:paraId="1B8F00C0">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本项目非正常工况排放主要为考虑布袋除尘</w:t>
            </w:r>
            <w:r>
              <w:rPr>
                <w:rFonts w:hint="eastAsia"/>
                <w:lang w:eastAsia="zh-CN"/>
              </w:rPr>
              <w:t>的非正常工况</w:t>
            </w:r>
            <w:r>
              <w:rPr>
                <w:rFonts w:hint="eastAsia"/>
                <w:lang w:val="en-US" w:eastAsia="zh-CN"/>
              </w:rPr>
              <w:t>，旋风除尘器属于预处理设备，治理效率为80%，出现故障，立即停止检修，因此不考虑该状况下的非正常工况。布袋除尘效率为99.9%，部分布袋破裂，治理效率下降至50%，</w:t>
            </w:r>
            <w:r>
              <w:rPr>
                <w:rFonts w:hint="default"/>
              </w:rPr>
              <w:t>事故</w:t>
            </w:r>
            <w:r>
              <w:rPr>
                <w:rFonts w:hint="eastAsia"/>
                <w:lang w:eastAsia="zh-CN"/>
              </w:rPr>
              <w:t>持续</w:t>
            </w:r>
            <w:r>
              <w:rPr>
                <w:rFonts w:hint="default"/>
              </w:rPr>
              <w:t>时间为15min，发生频次为</w:t>
            </w:r>
            <w:r>
              <w:rPr>
                <w:rFonts w:hint="eastAsia"/>
                <w:lang w:val="en-US" w:eastAsia="zh-CN"/>
              </w:rPr>
              <w:t>2</w:t>
            </w:r>
            <w:r>
              <w:rPr>
                <w:rFonts w:hint="default"/>
              </w:rPr>
              <w:t>次/年</w:t>
            </w:r>
            <w:r>
              <w:rPr>
                <w:rFonts w:hint="eastAsia"/>
                <w:lang w:eastAsia="zh-CN"/>
              </w:rPr>
              <w:t>，</w:t>
            </w:r>
            <w:r>
              <w:rPr>
                <w:rFonts w:hint="eastAsia"/>
                <w:lang w:val="en-US" w:eastAsia="zh-CN"/>
              </w:rPr>
              <w:t>废气非正常工况源强情况见</w:t>
            </w:r>
            <w:r>
              <w:rPr>
                <w:rFonts w:hint="default"/>
              </w:rPr>
              <w:t>表</w:t>
            </w:r>
            <w:r>
              <w:rPr>
                <w:rFonts w:hint="eastAsia"/>
                <w:lang w:val="en-US" w:eastAsia="zh-CN"/>
              </w:rPr>
              <w:t>4-5。</w:t>
            </w:r>
          </w:p>
          <w:p w14:paraId="723145B1">
            <w:pPr>
              <w:pStyle w:val="6"/>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表</w:t>
            </w:r>
            <w:r>
              <w:rPr>
                <w:rFonts w:hint="eastAsia"/>
                <w:lang w:val="en-US" w:eastAsia="zh-CN"/>
              </w:rPr>
              <w:t>4-5                    非正常工况排污情况</w:t>
            </w:r>
          </w:p>
          <w:tbl>
            <w:tblPr>
              <w:tblStyle w:val="30"/>
              <w:tblW w:w="83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7"/>
              <w:gridCol w:w="719"/>
              <w:gridCol w:w="596"/>
              <w:gridCol w:w="927"/>
              <w:gridCol w:w="960"/>
              <w:gridCol w:w="1026"/>
              <w:gridCol w:w="744"/>
              <w:gridCol w:w="761"/>
              <w:gridCol w:w="793"/>
              <w:gridCol w:w="1081"/>
            </w:tblGrid>
            <w:tr w14:paraId="17E36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7" w:type="dxa"/>
                  <w:tcBorders>
                    <w:tl2br w:val="nil"/>
                    <w:tr2bl w:val="nil"/>
                  </w:tcBorders>
                  <w:noWrap w:val="0"/>
                  <w:vAlign w:val="center"/>
                </w:tcPr>
                <w:p w14:paraId="7320586D">
                  <w:pPr>
                    <w:pStyle w:val="53"/>
                    <w:keepNext w:val="0"/>
                    <w:keepLines w:val="0"/>
                    <w:suppressLineNumbers w:val="0"/>
                    <w:topLinePunct/>
                    <w:autoSpaceDE/>
                    <w:autoSpaceDN/>
                    <w:bidi w:val="0"/>
                    <w:spacing w:before="0" w:beforeAutospacing="0" w:after="0" w:afterAutospacing="0"/>
                    <w:ind w:left="0" w:leftChars="0" w:firstLine="0" w:firstLineChars="0"/>
                    <w:jc w:val="both"/>
                    <w:textAlignment w:val="center"/>
                    <w:rPr>
                      <w:rFonts w:hint="eastAsia" w:ascii="Times New Roman" w:hAnsi="Times New Roman" w:eastAsia="宋体" w:cs="Times New Roman"/>
                      <w:kern w:val="2"/>
                      <w:sz w:val="21"/>
                      <w:szCs w:val="21"/>
                      <w:lang w:val="en-US" w:eastAsia="zh-CN"/>
                    </w:rPr>
                  </w:pPr>
                  <w:r>
                    <w:rPr>
                      <w:rFonts w:hint="eastAsia" w:cs="Times New Roman"/>
                      <w:kern w:val="2"/>
                      <w:sz w:val="21"/>
                      <w:szCs w:val="21"/>
                      <w:lang w:val="en-US" w:eastAsia="zh-CN"/>
                    </w:rPr>
                    <w:t>排放源</w:t>
                  </w:r>
                </w:p>
              </w:tc>
              <w:tc>
                <w:tcPr>
                  <w:tcW w:w="719" w:type="dxa"/>
                  <w:tcBorders>
                    <w:tl2br w:val="nil"/>
                    <w:tr2bl w:val="nil"/>
                  </w:tcBorders>
                  <w:noWrap w:val="0"/>
                  <w:vAlign w:val="center"/>
                </w:tcPr>
                <w:p w14:paraId="72E52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污染物名称</w:t>
                  </w:r>
                </w:p>
              </w:tc>
              <w:tc>
                <w:tcPr>
                  <w:tcW w:w="596" w:type="dxa"/>
                  <w:tcBorders>
                    <w:tl2br w:val="nil"/>
                    <w:tr2bl w:val="nil"/>
                  </w:tcBorders>
                  <w:noWrap w:val="0"/>
                  <w:vAlign w:val="center"/>
                </w:tcPr>
                <w:p w14:paraId="3E8949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处理效率</w:t>
                  </w:r>
                </w:p>
              </w:tc>
              <w:tc>
                <w:tcPr>
                  <w:tcW w:w="927" w:type="dxa"/>
                  <w:tcBorders>
                    <w:tl2br w:val="nil"/>
                    <w:tr2bl w:val="nil"/>
                  </w:tcBorders>
                  <w:noWrap w:val="0"/>
                  <w:vAlign w:val="center"/>
                </w:tcPr>
                <w:p w14:paraId="7893F74E">
                  <w:pPr>
                    <w:pStyle w:val="53"/>
                    <w:keepNext w:val="0"/>
                    <w:keepLines w:val="0"/>
                    <w:suppressLineNumbers w:val="0"/>
                    <w:topLinePunct/>
                    <w:autoSpaceDE/>
                    <w:autoSpaceDN/>
                    <w:bidi w:val="0"/>
                    <w:spacing w:before="0" w:beforeAutospacing="0" w:after="0" w:afterAutospacing="0"/>
                    <w:ind w:left="0" w:leftChars="0" w:right="0" w:rightChars="0" w:firstLine="0" w:firstLineChars="0"/>
                    <w:textAlignment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rPr>
                    <w:t>处理风量（m</w:t>
                  </w:r>
                  <w:r>
                    <w:rPr>
                      <w:rFonts w:hint="eastAsia" w:cs="Times New Roman"/>
                      <w:kern w:val="2"/>
                      <w:sz w:val="21"/>
                      <w:szCs w:val="21"/>
                      <w:vertAlign w:val="superscript"/>
                      <w:lang w:val="en-US" w:eastAsia="zh-CN"/>
                    </w:rPr>
                    <w:t>3</w:t>
                  </w:r>
                  <w:r>
                    <w:rPr>
                      <w:rFonts w:hint="eastAsia" w:cs="Times New Roman"/>
                      <w:kern w:val="2"/>
                      <w:sz w:val="21"/>
                      <w:szCs w:val="21"/>
                      <w:lang w:val="en-US" w:eastAsia="zh-CN"/>
                    </w:rPr>
                    <w:t>/h）</w:t>
                  </w:r>
                </w:p>
              </w:tc>
              <w:tc>
                <w:tcPr>
                  <w:tcW w:w="960" w:type="dxa"/>
                  <w:tcBorders>
                    <w:tl2br w:val="nil"/>
                    <w:tr2bl w:val="nil"/>
                  </w:tcBorders>
                  <w:noWrap w:val="0"/>
                  <w:vAlign w:val="center"/>
                </w:tcPr>
                <w:p w14:paraId="1F0415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排放速率</w:t>
                  </w:r>
                </w:p>
                <w:p w14:paraId="5BBBAF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eastAsia="zh-CN"/>
                    </w:rPr>
                    <w:t>（kg/h）</w:t>
                  </w:r>
                </w:p>
              </w:tc>
              <w:tc>
                <w:tcPr>
                  <w:tcW w:w="1026" w:type="dxa"/>
                  <w:tcBorders>
                    <w:tl2br w:val="nil"/>
                    <w:tr2bl w:val="nil"/>
                  </w:tcBorders>
                  <w:noWrap w:val="0"/>
                  <w:vAlign w:val="center"/>
                </w:tcPr>
                <w:p w14:paraId="0BFDA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排放浓度</w:t>
                  </w:r>
                </w:p>
                <w:p w14:paraId="06CEB4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eastAsia="zh-CN"/>
                    </w:rPr>
                    <w:t>（mg/m</w:t>
                  </w:r>
                  <w:r>
                    <w:rPr>
                      <w:rFonts w:hint="default" w:ascii="Times New Roman" w:hAnsi="Times New Roman" w:eastAsia="宋体" w:cs="Times New Roman"/>
                      <w:color w:val="000000"/>
                      <w:sz w:val="21"/>
                      <w:szCs w:val="21"/>
                      <w:highlight w:val="none"/>
                      <w:vertAlign w:val="superscript"/>
                      <w:lang w:eastAsia="zh-CN"/>
                    </w:rPr>
                    <w:t>3</w:t>
                  </w:r>
                  <w:r>
                    <w:rPr>
                      <w:rFonts w:hint="default" w:ascii="Times New Roman" w:hAnsi="Times New Roman" w:eastAsia="宋体" w:cs="Times New Roman"/>
                      <w:color w:val="000000"/>
                      <w:sz w:val="21"/>
                      <w:szCs w:val="21"/>
                      <w:highlight w:val="none"/>
                      <w:lang w:eastAsia="zh-CN"/>
                    </w:rPr>
                    <w:t>）</w:t>
                  </w:r>
                </w:p>
              </w:tc>
              <w:tc>
                <w:tcPr>
                  <w:tcW w:w="744" w:type="dxa"/>
                  <w:tcBorders>
                    <w:tl2br w:val="nil"/>
                    <w:tr2bl w:val="nil"/>
                  </w:tcBorders>
                  <w:noWrap w:val="0"/>
                  <w:vAlign w:val="center"/>
                </w:tcPr>
                <w:p w14:paraId="039E8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发生频次（次）</w:t>
                  </w:r>
                </w:p>
              </w:tc>
              <w:tc>
                <w:tcPr>
                  <w:tcW w:w="761" w:type="dxa"/>
                  <w:tcBorders>
                    <w:tl2br w:val="nil"/>
                    <w:tr2bl w:val="nil"/>
                  </w:tcBorders>
                  <w:noWrap w:val="0"/>
                  <w:vAlign w:val="center"/>
                </w:tcPr>
                <w:p w14:paraId="4B810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单次持续时间（</w:t>
                  </w:r>
                  <w:r>
                    <w:rPr>
                      <w:rFonts w:hint="eastAsia" w:cs="Times New Roman"/>
                      <w:color w:val="000000"/>
                      <w:sz w:val="21"/>
                      <w:szCs w:val="21"/>
                      <w:highlight w:val="none"/>
                      <w:lang w:val="en-US" w:eastAsia="zh-CN"/>
                    </w:rPr>
                    <w:t>h</w:t>
                  </w:r>
                  <w:r>
                    <w:rPr>
                      <w:rFonts w:hint="eastAsia" w:cs="Times New Roman"/>
                      <w:color w:val="000000"/>
                      <w:sz w:val="21"/>
                      <w:szCs w:val="21"/>
                      <w:highlight w:val="none"/>
                      <w:lang w:eastAsia="zh-CN"/>
                    </w:rPr>
                    <w:t>）</w:t>
                  </w:r>
                </w:p>
              </w:tc>
              <w:tc>
                <w:tcPr>
                  <w:tcW w:w="793" w:type="dxa"/>
                  <w:tcBorders>
                    <w:tl2br w:val="nil"/>
                    <w:tr2bl w:val="nil"/>
                  </w:tcBorders>
                  <w:noWrap w:val="0"/>
                  <w:vAlign w:val="center"/>
                </w:tcPr>
                <w:p w14:paraId="3C7C5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sz w:val="21"/>
                      <w:szCs w:val="21"/>
                      <w:highlight w:val="none"/>
                      <w:lang w:eastAsia="zh-CN"/>
                    </w:rPr>
                    <w:t>排放量（</w:t>
                  </w:r>
                  <w:r>
                    <w:rPr>
                      <w:rFonts w:hint="eastAsia" w:cs="Times New Roman"/>
                      <w:color w:val="000000"/>
                      <w:sz w:val="21"/>
                      <w:szCs w:val="21"/>
                      <w:highlight w:val="none"/>
                      <w:lang w:val="en-US" w:eastAsia="zh-CN"/>
                    </w:rPr>
                    <w:t>kg</w:t>
                  </w:r>
                  <w:r>
                    <w:rPr>
                      <w:rFonts w:hint="eastAsia" w:cs="Times New Roman"/>
                      <w:color w:val="000000"/>
                      <w:sz w:val="21"/>
                      <w:szCs w:val="21"/>
                      <w:highlight w:val="none"/>
                      <w:lang w:eastAsia="zh-CN"/>
                    </w:rPr>
                    <w:t>）</w:t>
                  </w:r>
                </w:p>
              </w:tc>
              <w:tc>
                <w:tcPr>
                  <w:tcW w:w="1081" w:type="dxa"/>
                  <w:tcBorders>
                    <w:tl2br w:val="nil"/>
                    <w:tr2bl w:val="nil"/>
                  </w:tcBorders>
                  <w:noWrap w:val="0"/>
                  <w:vAlign w:val="center"/>
                </w:tcPr>
                <w:p w14:paraId="54AF1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eastAsia="zh-CN"/>
                    </w:rPr>
                    <w:t>处理措施</w:t>
                  </w:r>
                </w:p>
              </w:tc>
            </w:tr>
            <w:tr w14:paraId="4761E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7" w:type="dxa"/>
                  <w:tcBorders>
                    <w:tl2br w:val="nil"/>
                    <w:tr2bl w:val="nil"/>
                  </w:tcBorders>
                  <w:noWrap w:val="0"/>
                  <w:vAlign w:val="center"/>
                </w:tcPr>
                <w:p w14:paraId="082F194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DA00</w:t>
                  </w:r>
                  <w:r>
                    <w:rPr>
                      <w:rFonts w:hint="eastAsia" w:cs="Times New Roman"/>
                      <w:color w:val="auto"/>
                      <w:kern w:val="2"/>
                      <w:sz w:val="21"/>
                      <w:szCs w:val="21"/>
                      <w:lang w:val="en-US" w:eastAsia="zh-CN" w:bidi="ar-SA"/>
                    </w:rPr>
                    <w:t>1</w:t>
                  </w:r>
                </w:p>
              </w:tc>
              <w:tc>
                <w:tcPr>
                  <w:tcW w:w="719" w:type="dxa"/>
                  <w:tcBorders>
                    <w:tl2br w:val="nil"/>
                    <w:tr2bl w:val="nil"/>
                  </w:tcBorders>
                  <w:noWrap w:val="0"/>
                  <w:vAlign w:val="center"/>
                </w:tcPr>
                <w:p w14:paraId="7376C800">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颗粒物</w:t>
                  </w:r>
                </w:p>
              </w:tc>
              <w:tc>
                <w:tcPr>
                  <w:tcW w:w="596" w:type="dxa"/>
                  <w:tcBorders>
                    <w:tl2br w:val="nil"/>
                    <w:tr2bl w:val="nil"/>
                  </w:tcBorders>
                  <w:noWrap w:val="0"/>
                  <w:vAlign w:val="center"/>
                </w:tcPr>
                <w:p w14:paraId="12B4E055">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98</w:t>
                  </w:r>
                  <w:r>
                    <w:rPr>
                      <w:rFonts w:hint="eastAsia" w:eastAsia="宋体" w:cs="Times New Roman"/>
                      <w:color w:val="auto"/>
                      <w:kern w:val="2"/>
                      <w:sz w:val="21"/>
                      <w:szCs w:val="21"/>
                      <w:lang w:val="en-US" w:eastAsia="zh-CN" w:bidi="ar-SA"/>
                    </w:rPr>
                    <w:t>%</w:t>
                  </w:r>
                </w:p>
              </w:tc>
              <w:tc>
                <w:tcPr>
                  <w:tcW w:w="927" w:type="dxa"/>
                  <w:tcBorders>
                    <w:tl2br w:val="nil"/>
                    <w:tr2bl w:val="nil"/>
                  </w:tcBorders>
                  <w:noWrap w:val="0"/>
                  <w:vAlign w:val="center"/>
                </w:tcPr>
                <w:p w14:paraId="460F11EC">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30000</w:t>
                  </w:r>
                </w:p>
              </w:tc>
              <w:tc>
                <w:tcPr>
                  <w:tcW w:w="960" w:type="dxa"/>
                  <w:tcBorders>
                    <w:tl2br w:val="nil"/>
                    <w:tr2bl w:val="nil"/>
                  </w:tcBorders>
                  <w:noWrap w:val="0"/>
                  <w:vAlign w:val="center"/>
                </w:tcPr>
                <w:p w14:paraId="02ADE173">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1097.222 </w:t>
                  </w:r>
                </w:p>
              </w:tc>
              <w:tc>
                <w:tcPr>
                  <w:tcW w:w="1026" w:type="dxa"/>
                  <w:tcBorders>
                    <w:tl2br w:val="nil"/>
                    <w:tr2bl w:val="nil"/>
                  </w:tcBorders>
                  <w:noWrap w:val="0"/>
                  <w:vAlign w:val="center"/>
                </w:tcPr>
                <w:p w14:paraId="66232D7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36574.074 </w:t>
                  </w:r>
                </w:p>
              </w:tc>
              <w:tc>
                <w:tcPr>
                  <w:tcW w:w="744" w:type="dxa"/>
                  <w:tcBorders>
                    <w:tl2br w:val="nil"/>
                    <w:tr2bl w:val="nil"/>
                  </w:tcBorders>
                  <w:noWrap w:val="0"/>
                  <w:vAlign w:val="center"/>
                </w:tcPr>
                <w:p w14:paraId="77A8EB3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761" w:type="dxa"/>
                  <w:tcBorders>
                    <w:tl2br w:val="nil"/>
                    <w:tr2bl w:val="nil"/>
                  </w:tcBorders>
                  <w:noWrap w:val="0"/>
                  <w:vAlign w:val="center"/>
                </w:tcPr>
                <w:p w14:paraId="4E32C74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793" w:type="dxa"/>
                  <w:tcBorders>
                    <w:tl2br w:val="nil"/>
                    <w:tr2bl w:val="nil"/>
                  </w:tcBorders>
                  <w:noWrap w:val="0"/>
                  <w:vAlign w:val="center"/>
                </w:tcPr>
                <w:p w14:paraId="4869C4F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2194.444</w:t>
                  </w:r>
                </w:p>
              </w:tc>
              <w:tc>
                <w:tcPr>
                  <w:tcW w:w="1081" w:type="dxa"/>
                  <w:tcBorders>
                    <w:tl2br w:val="nil"/>
                    <w:tr2bl w:val="nil"/>
                  </w:tcBorders>
                  <w:noWrap w:val="0"/>
                  <w:vAlign w:val="center"/>
                </w:tcPr>
                <w:p w14:paraId="6C0DBED6">
                  <w:pPr>
                    <w:pStyle w:val="53"/>
                    <w:keepNext w:val="0"/>
                    <w:keepLines w:val="0"/>
                    <w:suppressLineNumbers w:val="0"/>
                    <w:topLinePunct/>
                    <w:autoSpaceDE/>
                    <w:autoSpaceDN/>
                    <w:bidi w:val="0"/>
                    <w:spacing w:before="0" w:beforeAutospacing="0" w:after="0" w:afterAutospacing="0"/>
                    <w:ind w:left="0" w:leftChars="0" w:right="0" w:rightChars="0" w:firstLine="0" w:firstLineChars="0"/>
                    <w:textAlignment w:val="center"/>
                    <w:rPr>
                      <w:rFonts w:hint="eastAsia" w:cs="Times New Roman"/>
                      <w:kern w:val="2"/>
                      <w:sz w:val="21"/>
                      <w:szCs w:val="21"/>
                      <w:lang w:val="en-US" w:eastAsia="zh-CN" w:bidi="ar-SA"/>
                    </w:rPr>
                  </w:pPr>
                  <w:r>
                    <w:rPr>
                      <w:rFonts w:hint="eastAsia" w:cs="Times New Roman"/>
                      <w:kern w:val="2"/>
                      <w:sz w:val="21"/>
                      <w:szCs w:val="21"/>
                      <w:lang w:val="en-US" w:eastAsia="zh-CN" w:bidi="ar-SA"/>
                    </w:rPr>
                    <w:t>发现后紧急抢修</w:t>
                  </w:r>
                </w:p>
              </w:tc>
            </w:tr>
          </w:tbl>
          <w:p w14:paraId="55BCD304">
            <w:pPr>
              <w:pStyle w:val="4"/>
              <w:suppressLineNumbers w:val="0"/>
              <w:bidi w:val="0"/>
              <w:spacing w:before="0" w:beforeAutospacing="0" w:after="0" w:afterAutospacing="0"/>
              <w:ind w:left="0" w:right="0"/>
              <w:rPr>
                <w:rFonts w:hint="default"/>
                <w:lang w:val="en-US" w:eastAsia="zh-CN"/>
              </w:rPr>
            </w:pPr>
            <w:r>
              <w:rPr>
                <w:rFonts w:hint="eastAsia"/>
                <w:lang w:val="en-US" w:eastAsia="zh-CN"/>
              </w:rPr>
              <w:t>1.4自行监测</w:t>
            </w:r>
          </w:p>
          <w:p w14:paraId="42E96C42">
            <w:pPr>
              <w:keepNext w:val="0"/>
              <w:keepLines w:val="0"/>
              <w:suppressLineNumbers w:val="0"/>
              <w:bidi w:val="0"/>
              <w:spacing w:before="0" w:beforeAutospacing="0" w:after="0" w:afterAutospacing="0"/>
              <w:ind w:left="0" w:right="0"/>
              <w:rPr>
                <w:rFonts w:hint="default"/>
                <w:lang w:val="en-US" w:eastAsia="zh-CN"/>
              </w:rPr>
            </w:pPr>
            <w:r>
              <w:rPr>
                <w:rFonts w:hint="eastAsia" w:ascii="宋体" w:hAnsi="宋体" w:eastAsia="宋体" w:cs="宋体"/>
                <w:color w:val="auto"/>
                <w:spacing w:val="0"/>
                <w:kern w:val="2"/>
                <w:sz w:val="24"/>
                <w:szCs w:val="24"/>
                <w:lang w:val="en-US" w:eastAsia="zh-CN" w:bidi="ar"/>
              </w:rPr>
              <w:t>根据《排污单位自行监测技术指南 总则》</w:t>
            </w:r>
            <w:r>
              <w:rPr>
                <w:rFonts w:hint="default" w:ascii="Times New Roman" w:hAnsi="Times New Roman" w:cs="Times New Roman"/>
                <w:color w:val="auto"/>
                <w:spacing w:val="0"/>
                <w:kern w:val="2"/>
                <w:sz w:val="24"/>
                <w:szCs w:val="24"/>
                <w:lang w:val="en-US" w:eastAsia="zh-CN" w:bidi="ar"/>
              </w:rPr>
              <w:t>(HJ 819-2017</w:t>
            </w:r>
            <w:r>
              <w:rPr>
                <w:rFonts w:hint="eastAsia" w:cs="Times New Roman"/>
                <w:color w:val="auto"/>
                <w:spacing w:val="0"/>
                <w:kern w:val="2"/>
                <w:sz w:val="24"/>
                <w:szCs w:val="24"/>
                <w:lang w:val="en-US" w:eastAsia="zh-CN" w:bidi="ar"/>
              </w:rPr>
              <w:t>）</w:t>
            </w:r>
            <w:r>
              <w:rPr>
                <w:rFonts w:hint="eastAsia" w:ascii="Times New Roman" w:hAnsi="Times New Roman" w:cs="Times New Roman"/>
                <w:color w:val="auto"/>
                <w:spacing w:val="0"/>
                <w:kern w:val="2"/>
                <w:sz w:val="24"/>
                <w:szCs w:val="24"/>
                <w:lang w:val="en-US" w:eastAsia="zh-CN" w:bidi="ar"/>
              </w:rPr>
              <w:t>《</w:t>
            </w:r>
            <w:r>
              <w:rPr>
                <w:rFonts w:hint="eastAsia"/>
                <w:lang w:val="en-US" w:eastAsia="zh-CN"/>
              </w:rPr>
              <w:t>排污许可证申请与核发技术规范食品制造工业一方便食品、食品及饲料添加剂制造工业</w:t>
            </w:r>
            <w:r>
              <w:rPr>
                <w:rFonts w:hint="eastAsia" w:ascii="Times New Roman" w:hAnsi="Times New Roman" w:cs="Times New Roman"/>
                <w:color w:val="auto"/>
                <w:spacing w:val="0"/>
                <w:kern w:val="2"/>
                <w:sz w:val="24"/>
                <w:szCs w:val="24"/>
                <w:lang w:val="en-US" w:eastAsia="zh-CN" w:bidi="ar"/>
              </w:rPr>
              <w:t xml:space="preserve">》(HJ </w:t>
            </w:r>
            <w:r>
              <w:rPr>
                <w:rFonts w:hint="eastAsia" w:cs="Times New Roman"/>
                <w:color w:val="auto"/>
                <w:spacing w:val="0"/>
                <w:kern w:val="2"/>
                <w:sz w:val="24"/>
                <w:szCs w:val="24"/>
                <w:lang w:val="en-US" w:eastAsia="zh-CN" w:bidi="ar"/>
              </w:rPr>
              <w:t>1030.3-2019</w:t>
            </w:r>
            <w:r>
              <w:rPr>
                <w:rFonts w:hint="eastAsia" w:ascii="Times New Roman" w:hAnsi="Times New Roman" w:cs="Times New Roman"/>
                <w:color w:val="auto"/>
                <w:spacing w:val="0"/>
                <w:kern w:val="2"/>
                <w:sz w:val="24"/>
                <w:szCs w:val="24"/>
                <w:lang w:val="en-US" w:eastAsia="zh-CN" w:bidi="ar"/>
              </w:rPr>
              <w:t>)</w:t>
            </w:r>
            <w:r>
              <w:rPr>
                <w:rFonts w:hint="eastAsia"/>
                <w:lang w:val="en-US" w:eastAsia="zh-CN"/>
              </w:rPr>
              <w:t>，</w:t>
            </w:r>
            <w:r>
              <w:rPr>
                <w:rFonts w:hint="default"/>
                <w:lang w:val="en-US" w:eastAsia="zh-CN"/>
              </w:rPr>
              <w:t>监测计划见表</w:t>
            </w:r>
            <w:r>
              <w:rPr>
                <w:rFonts w:hint="eastAsia"/>
                <w:lang w:val="en-US" w:eastAsia="zh-CN"/>
              </w:rPr>
              <w:t>4-6</w:t>
            </w:r>
            <w:r>
              <w:rPr>
                <w:rFonts w:hint="default"/>
                <w:lang w:val="en-US" w:eastAsia="zh-CN"/>
              </w:rPr>
              <w:t>。</w:t>
            </w:r>
          </w:p>
          <w:p w14:paraId="5762F531">
            <w:pPr>
              <w:pStyle w:val="6"/>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表</w:t>
            </w:r>
            <w:r>
              <w:rPr>
                <w:rFonts w:hint="eastAsia"/>
                <w:lang w:val="en-US" w:eastAsia="zh-CN"/>
              </w:rPr>
              <w:t>4-6                           废气监测计划一览表</w:t>
            </w:r>
          </w:p>
          <w:tbl>
            <w:tblPr>
              <w:tblStyle w:val="30"/>
              <w:tblW w:w="8242"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1770"/>
              <w:gridCol w:w="4005"/>
              <w:gridCol w:w="1183"/>
            </w:tblGrid>
            <w:tr w14:paraId="05C8A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4" w:type="dxa"/>
                  <w:tcBorders>
                    <w:tl2br w:val="nil"/>
                    <w:tr2bl w:val="nil"/>
                  </w:tcBorders>
                  <w:noWrap w:val="0"/>
                  <w:vAlign w:val="center"/>
                </w:tcPr>
                <w:p w14:paraId="17F56117">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类别</w:t>
                  </w:r>
                </w:p>
              </w:tc>
              <w:tc>
                <w:tcPr>
                  <w:tcW w:w="1770" w:type="dxa"/>
                  <w:tcBorders>
                    <w:tl2br w:val="nil"/>
                    <w:tr2bl w:val="nil"/>
                  </w:tcBorders>
                  <w:noWrap w:val="0"/>
                  <w:vAlign w:val="center"/>
                </w:tcPr>
                <w:p w14:paraId="121C4D58">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监测位置</w:t>
                  </w:r>
                </w:p>
              </w:tc>
              <w:tc>
                <w:tcPr>
                  <w:tcW w:w="4005" w:type="dxa"/>
                  <w:tcBorders>
                    <w:tl2br w:val="nil"/>
                    <w:tr2bl w:val="nil"/>
                  </w:tcBorders>
                  <w:noWrap w:val="0"/>
                  <w:vAlign w:val="center"/>
                </w:tcPr>
                <w:p w14:paraId="3485F43C">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监测项目</w:t>
                  </w:r>
                </w:p>
              </w:tc>
              <w:tc>
                <w:tcPr>
                  <w:tcW w:w="1183" w:type="dxa"/>
                  <w:tcBorders>
                    <w:tl2br w:val="nil"/>
                    <w:tr2bl w:val="nil"/>
                  </w:tcBorders>
                  <w:noWrap w:val="0"/>
                  <w:vAlign w:val="center"/>
                </w:tcPr>
                <w:p w14:paraId="178AD33C">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监测频次</w:t>
                  </w:r>
                </w:p>
              </w:tc>
            </w:tr>
            <w:tr w14:paraId="34733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4" w:type="dxa"/>
                  <w:vMerge w:val="restart"/>
                  <w:tcBorders>
                    <w:tl2br w:val="nil"/>
                    <w:tr2bl w:val="nil"/>
                  </w:tcBorders>
                  <w:noWrap w:val="0"/>
                  <w:vAlign w:val="center"/>
                </w:tcPr>
                <w:p w14:paraId="5A761832">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有组织废气</w:t>
                  </w:r>
                </w:p>
              </w:tc>
              <w:tc>
                <w:tcPr>
                  <w:tcW w:w="1770" w:type="dxa"/>
                  <w:tcBorders>
                    <w:tl2br w:val="nil"/>
                    <w:tr2bl w:val="nil"/>
                  </w:tcBorders>
                  <w:noWrap w:val="0"/>
                  <w:vAlign w:val="center"/>
                </w:tcPr>
                <w:p w14:paraId="5145FACF">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default" w:eastAsia="宋体"/>
                      <w:lang w:val="en-US" w:eastAsia="zh-CN"/>
                    </w:rPr>
                  </w:pPr>
                  <w:r>
                    <w:rPr>
                      <w:rFonts w:hint="eastAsia"/>
                      <w:lang w:val="en-US" w:eastAsia="zh-CN"/>
                    </w:rPr>
                    <w:t>DA001</w:t>
                  </w:r>
                </w:p>
              </w:tc>
              <w:tc>
                <w:tcPr>
                  <w:tcW w:w="4005" w:type="dxa"/>
                  <w:tcBorders>
                    <w:tl2br w:val="nil"/>
                    <w:tr2bl w:val="nil"/>
                  </w:tcBorders>
                  <w:noWrap w:val="0"/>
                  <w:vAlign w:val="center"/>
                </w:tcPr>
                <w:p w14:paraId="6B028438">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颗粒物</w:t>
                  </w:r>
                </w:p>
              </w:tc>
              <w:tc>
                <w:tcPr>
                  <w:tcW w:w="1183" w:type="dxa"/>
                  <w:tcBorders>
                    <w:tl2br w:val="nil"/>
                    <w:tr2bl w:val="nil"/>
                  </w:tcBorders>
                  <w:noWrap w:val="0"/>
                  <w:vAlign w:val="center"/>
                </w:tcPr>
                <w:p w14:paraId="40C6E343">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default"/>
                      <w:lang w:val="en-US" w:eastAsia="zh-CN"/>
                    </w:rPr>
                  </w:pPr>
                  <w:r>
                    <w:rPr>
                      <w:rFonts w:hint="eastAsia"/>
                      <w:lang w:val="en-US" w:eastAsia="zh-CN"/>
                    </w:rPr>
                    <w:t>半年</w:t>
                  </w:r>
                </w:p>
              </w:tc>
            </w:tr>
            <w:tr w14:paraId="2CB990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284" w:type="dxa"/>
                  <w:vMerge w:val="continue"/>
                  <w:tcBorders>
                    <w:tl2br w:val="nil"/>
                    <w:tr2bl w:val="nil"/>
                  </w:tcBorders>
                  <w:noWrap w:val="0"/>
                  <w:vAlign w:val="center"/>
                </w:tcPr>
                <w:p w14:paraId="64E197A3">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p>
              </w:tc>
              <w:tc>
                <w:tcPr>
                  <w:tcW w:w="1770" w:type="dxa"/>
                  <w:tcBorders>
                    <w:tl2br w:val="nil"/>
                    <w:tr2bl w:val="nil"/>
                  </w:tcBorders>
                  <w:noWrap w:val="0"/>
                  <w:vAlign w:val="center"/>
                </w:tcPr>
                <w:p w14:paraId="76C6761E">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default"/>
                      <w:lang w:val="en-US" w:eastAsia="zh-CN"/>
                    </w:rPr>
                  </w:pPr>
                  <w:r>
                    <w:rPr>
                      <w:rFonts w:hint="eastAsia"/>
                      <w:lang w:val="en-US" w:eastAsia="zh-CN"/>
                    </w:rPr>
                    <w:t>DA002</w:t>
                  </w:r>
                </w:p>
              </w:tc>
              <w:tc>
                <w:tcPr>
                  <w:tcW w:w="4005" w:type="dxa"/>
                  <w:tcBorders>
                    <w:bottom w:val="single" w:color="auto" w:sz="4" w:space="0"/>
                    <w:tl2br w:val="nil"/>
                    <w:tr2bl w:val="nil"/>
                  </w:tcBorders>
                  <w:noWrap w:val="0"/>
                  <w:vAlign w:val="center"/>
                </w:tcPr>
                <w:p w14:paraId="609CEDD9">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非甲烷总烃</w:t>
                  </w:r>
                </w:p>
              </w:tc>
              <w:tc>
                <w:tcPr>
                  <w:tcW w:w="1183" w:type="dxa"/>
                  <w:tcBorders>
                    <w:bottom w:val="single" w:color="auto" w:sz="4" w:space="0"/>
                    <w:tl2br w:val="nil"/>
                    <w:tr2bl w:val="nil"/>
                  </w:tcBorders>
                  <w:noWrap w:val="0"/>
                  <w:vAlign w:val="center"/>
                </w:tcPr>
                <w:p w14:paraId="66B1B07B">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default"/>
                      <w:lang w:val="en-US" w:eastAsia="zh-CN"/>
                    </w:rPr>
                  </w:pPr>
                  <w:r>
                    <w:rPr>
                      <w:rFonts w:hint="eastAsia"/>
                      <w:lang w:val="en-US" w:eastAsia="zh-CN"/>
                    </w:rPr>
                    <w:t>半年</w:t>
                  </w:r>
                </w:p>
              </w:tc>
            </w:tr>
            <w:tr w14:paraId="3F21A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4" w:type="dxa"/>
                  <w:vMerge w:val="restart"/>
                  <w:tcBorders>
                    <w:tl2br w:val="nil"/>
                    <w:tr2bl w:val="nil"/>
                  </w:tcBorders>
                  <w:noWrap w:val="0"/>
                  <w:vAlign w:val="center"/>
                </w:tcPr>
                <w:p w14:paraId="484680D7">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无组织废气</w:t>
                  </w:r>
                </w:p>
              </w:tc>
              <w:tc>
                <w:tcPr>
                  <w:tcW w:w="1770" w:type="dxa"/>
                  <w:tcBorders>
                    <w:tl2br w:val="nil"/>
                    <w:tr2bl w:val="nil"/>
                  </w:tcBorders>
                  <w:noWrap w:val="0"/>
                  <w:vAlign w:val="center"/>
                </w:tcPr>
                <w:p w14:paraId="37B3F463">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厂界</w:t>
                  </w:r>
                </w:p>
              </w:tc>
              <w:tc>
                <w:tcPr>
                  <w:tcW w:w="4005" w:type="dxa"/>
                  <w:tcBorders>
                    <w:tl2br w:val="nil"/>
                    <w:tr2bl w:val="nil"/>
                  </w:tcBorders>
                  <w:noWrap w:val="0"/>
                  <w:vAlign w:val="center"/>
                </w:tcPr>
                <w:p w14:paraId="100B5B4C">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default"/>
                      <w:lang w:val="en-US" w:eastAsia="zh-CN"/>
                    </w:rPr>
                  </w:pPr>
                  <w:r>
                    <w:rPr>
                      <w:rFonts w:hint="eastAsia"/>
                      <w:lang w:val="en-US" w:eastAsia="zh-CN"/>
                    </w:rPr>
                    <w:t>颗粒物、非甲烷总烃</w:t>
                  </w:r>
                </w:p>
              </w:tc>
              <w:tc>
                <w:tcPr>
                  <w:tcW w:w="1183" w:type="dxa"/>
                  <w:tcBorders>
                    <w:tl2br w:val="nil"/>
                    <w:tr2bl w:val="nil"/>
                  </w:tcBorders>
                  <w:noWrap w:val="0"/>
                  <w:vAlign w:val="center"/>
                </w:tcPr>
                <w:p w14:paraId="3680E704">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半年</w:t>
                  </w:r>
                </w:p>
              </w:tc>
            </w:tr>
            <w:tr w14:paraId="0F2364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84" w:type="dxa"/>
                  <w:vMerge w:val="continue"/>
                  <w:tcBorders>
                    <w:tl2br w:val="nil"/>
                    <w:tr2bl w:val="nil"/>
                  </w:tcBorders>
                  <w:noWrap w:val="0"/>
                  <w:vAlign w:val="center"/>
                </w:tcPr>
                <w:p w14:paraId="7477E5E4">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p>
              </w:tc>
              <w:tc>
                <w:tcPr>
                  <w:tcW w:w="1770" w:type="dxa"/>
                  <w:tcBorders>
                    <w:tl2br w:val="nil"/>
                    <w:tr2bl w:val="nil"/>
                  </w:tcBorders>
                  <w:noWrap w:val="0"/>
                  <w:vAlign w:val="center"/>
                </w:tcPr>
                <w:p w14:paraId="41A72816">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车间外</w:t>
                  </w:r>
                </w:p>
              </w:tc>
              <w:tc>
                <w:tcPr>
                  <w:tcW w:w="4005" w:type="dxa"/>
                  <w:tcBorders>
                    <w:tl2br w:val="nil"/>
                    <w:tr2bl w:val="nil"/>
                  </w:tcBorders>
                  <w:noWrap w:val="0"/>
                  <w:vAlign w:val="center"/>
                </w:tcPr>
                <w:p w14:paraId="104733B2">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非甲烷总烃</w:t>
                  </w:r>
                </w:p>
              </w:tc>
              <w:tc>
                <w:tcPr>
                  <w:tcW w:w="1183" w:type="dxa"/>
                  <w:tcBorders>
                    <w:tl2br w:val="nil"/>
                    <w:tr2bl w:val="nil"/>
                  </w:tcBorders>
                  <w:noWrap w:val="0"/>
                  <w:vAlign w:val="center"/>
                </w:tcPr>
                <w:p w14:paraId="5FC9C53A">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firstLine="0" w:firstLineChars="0"/>
                    <w:textAlignment w:val="center"/>
                    <w:rPr>
                      <w:rFonts w:hint="eastAsia"/>
                      <w:lang w:val="en-US" w:eastAsia="zh-CN"/>
                    </w:rPr>
                  </w:pPr>
                  <w:r>
                    <w:rPr>
                      <w:rFonts w:hint="eastAsia"/>
                      <w:lang w:val="en-US" w:eastAsia="zh-CN"/>
                    </w:rPr>
                    <w:t>半年</w:t>
                  </w:r>
                </w:p>
              </w:tc>
            </w:tr>
          </w:tbl>
          <w:p w14:paraId="738F3BC7">
            <w:pPr>
              <w:pStyle w:val="4"/>
              <w:suppressLineNumbers w:val="0"/>
              <w:bidi w:val="0"/>
              <w:spacing w:before="0" w:beforeAutospacing="0" w:after="0" w:afterAutospacing="0"/>
              <w:ind w:left="0" w:right="0"/>
              <w:rPr>
                <w:rFonts w:hint="default"/>
              </w:rPr>
            </w:pPr>
            <w:r>
              <w:rPr>
                <w:rFonts w:hint="default"/>
              </w:rPr>
              <w:t>2</w:t>
            </w:r>
            <w:r>
              <w:rPr>
                <w:rFonts w:hint="eastAsia"/>
              </w:rPr>
              <w:t>、废水</w:t>
            </w:r>
          </w:p>
          <w:p w14:paraId="7AC0CFAE">
            <w:pPr>
              <w:keepNext w:val="0"/>
              <w:keepLines w:val="0"/>
              <w:suppressLineNumbers w:val="0"/>
              <w:bidi w:val="0"/>
              <w:spacing w:before="0" w:beforeAutospacing="0" w:after="0" w:afterAutospacing="0"/>
              <w:ind w:left="0" w:right="0"/>
              <w:rPr>
                <w:rFonts w:hint="eastAsia"/>
                <w:lang w:eastAsia="zh-CN"/>
              </w:rPr>
            </w:pPr>
            <w:r>
              <w:rPr>
                <w:rFonts w:hint="eastAsia"/>
                <w:lang w:eastAsia="zh-CN"/>
              </w:rPr>
              <w:t>本项目蒸汽冷凝工序产生少量废水，可回用于循环冷却工序，不外排。</w:t>
            </w:r>
          </w:p>
          <w:p w14:paraId="255A33FA">
            <w:pPr>
              <w:pStyle w:val="4"/>
              <w:suppressLineNumbers w:val="0"/>
              <w:bidi w:val="0"/>
              <w:spacing w:before="0" w:beforeAutospacing="0" w:after="0" w:afterAutospacing="0"/>
              <w:ind w:left="0" w:right="0"/>
              <w:rPr>
                <w:rFonts w:hint="default"/>
              </w:rPr>
            </w:pPr>
            <w:r>
              <w:rPr>
                <w:rFonts w:hint="default"/>
              </w:rPr>
              <w:t>3</w:t>
            </w:r>
            <w:r>
              <w:rPr>
                <w:rFonts w:hint="eastAsia"/>
              </w:rPr>
              <w:t>、噪声</w:t>
            </w:r>
          </w:p>
          <w:p w14:paraId="2B5C57D8">
            <w:pPr>
              <w:pStyle w:val="4"/>
              <w:suppressLineNumbers w:val="0"/>
              <w:bidi w:val="0"/>
              <w:spacing w:before="0" w:beforeAutospacing="0" w:after="0" w:afterAutospacing="0"/>
              <w:ind w:left="0" w:right="0"/>
              <w:rPr>
                <w:rFonts w:hint="eastAsia"/>
                <w:lang w:val="en-US" w:eastAsia="zh-CN"/>
              </w:rPr>
            </w:pPr>
            <w:r>
              <w:rPr>
                <w:rFonts w:hint="eastAsia"/>
                <w:lang w:val="en-US" w:eastAsia="zh-CN"/>
              </w:rPr>
              <w:t>3.1噪声预测</w:t>
            </w:r>
          </w:p>
          <w:p w14:paraId="3E8CCF5A">
            <w:pPr>
              <w:keepNext w:val="0"/>
              <w:keepLines w:val="0"/>
              <w:suppressLineNumbers w:val="0"/>
              <w:bidi w:val="0"/>
              <w:spacing w:before="0" w:beforeAutospacing="0" w:after="0" w:afterAutospacing="0"/>
              <w:ind w:left="0" w:right="0"/>
              <w:rPr>
                <w:rFonts w:hint="default"/>
              </w:rPr>
            </w:pPr>
            <w:r>
              <w:rPr>
                <w:rFonts w:hint="eastAsia"/>
                <w:lang w:val="en-US" w:eastAsia="zh-CN"/>
              </w:rPr>
              <w:t>项目噪声源主要为原有设备噪声，本项目浸提器、蒸脱机、泵、过滤机、蒸发器、风机等工序产生的机械噪声，噪声在75-90</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）之间，通过基础减振、厂房隔声后可有效降低20</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）以上。</w:t>
            </w:r>
          </w:p>
          <w:p w14:paraId="0D267574">
            <w:pPr>
              <w:keepNext w:val="0"/>
              <w:keepLines w:val="0"/>
              <w:suppressLineNumbers w:val="0"/>
              <w:bidi w:val="0"/>
              <w:spacing w:before="0" w:beforeAutospacing="0" w:after="0" w:afterAutospacing="0"/>
              <w:ind w:left="0" w:right="0"/>
              <w:rPr>
                <w:rFonts w:hint="eastAsia"/>
              </w:rPr>
            </w:pPr>
            <w:r>
              <w:rPr>
                <w:rFonts w:hint="eastAsia"/>
                <w:lang w:val="en-US" w:eastAsia="zh-CN"/>
              </w:rPr>
              <w:t>（1）</w:t>
            </w:r>
            <w:r>
              <w:rPr>
                <w:rFonts w:hint="eastAsia"/>
              </w:rPr>
              <w:t>预测模式的确定</w:t>
            </w:r>
          </w:p>
          <w:p w14:paraId="40958E81">
            <w:pPr>
              <w:keepNext w:val="0"/>
              <w:keepLines w:val="0"/>
              <w:suppressLineNumbers w:val="0"/>
              <w:bidi w:val="0"/>
              <w:spacing w:before="0" w:beforeAutospacing="0" w:after="0" w:afterAutospacing="0"/>
              <w:ind w:left="0" w:right="0"/>
              <w:rPr>
                <w:rFonts w:hint="eastAsia"/>
              </w:rPr>
            </w:pPr>
            <w:r>
              <w:rPr>
                <w:rFonts w:hint="eastAsia"/>
              </w:rPr>
              <w:t>采用《环境影响评价技术导则</w:t>
            </w:r>
            <w:r>
              <w:rPr>
                <w:rFonts w:hint="eastAsia"/>
                <w:lang w:val="en-US" w:eastAsia="zh-CN"/>
              </w:rPr>
              <w:t xml:space="preserve"> </w:t>
            </w:r>
            <w:r>
              <w:rPr>
                <w:rFonts w:hint="eastAsia"/>
              </w:rPr>
              <w:t>声环境》</w:t>
            </w:r>
            <w:r>
              <w:rPr>
                <w:rFonts w:hint="eastAsia"/>
                <w:lang w:eastAsia="zh-CN"/>
              </w:rPr>
              <w:t>（</w:t>
            </w:r>
            <w:r>
              <w:rPr>
                <w:rFonts w:hint="eastAsia"/>
              </w:rPr>
              <w:t>HJ2.4-20</w:t>
            </w:r>
            <w:r>
              <w:rPr>
                <w:rFonts w:hint="eastAsia"/>
                <w:lang w:val="en-US" w:eastAsia="zh-CN"/>
              </w:rPr>
              <w:t>21）</w:t>
            </w:r>
            <w:r>
              <w:rPr>
                <w:rFonts w:hint="eastAsia"/>
              </w:rPr>
              <w:t>中推荐的模式进行计算。</w:t>
            </w:r>
          </w:p>
          <w:p w14:paraId="43DDC605">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2</w:t>
            </w:r>
            <w:r>
              <w:rPr>
                <w:rFonts w:hint="eastAsia"/>
                <w:lang w:eastAsia="zh-CN"/>
              </w:rPr>
              <w:t>）</w:t>
            </w:r>
            <w:r>
              <w:rPr>
                <w:rFonts w:hint="eastAsia"/>
              </w:rPr>
              <w:t>噪声源参数的确定</w:t>
            </w:r>
          </w:p>
          <w:p w14:paraId="08D35147">
            <w:pPr>
              <w:keepNext w:val="0"/>
              <w:keepLines w:val="0"/>
              <w:suppressLineNumbers w:val="0"/>
              <w:bidi w:val="0"/>
              <w:spacing w:before="0" w:beforeAutospacing="0" w:after="0" w:afterAutospacing="0"/>
              <w:ind w:left="0" w:right="0"/>
              <w:rPr>
                <w:rFonts w:hint="eastAsia"/>
              </w:rPr>
            </w:pPr>
            <w:r>
              <w:rPr>
                <w:rFonts w:hint="eastAsia"/>
              </w:rPr>
              <w:t>根据建设单位所</w:t>
            </w:r>
            <w:r>
              <w:rPr>
                <w:rFonts w:hint="eastAsia"/>
                <w:lang w:val="en-US" w:eastAsia="zh-CN"/>
              </w:rPr>
              <w:t>提供的参数及类比调查的结果，原点坐标</w:t>
            </w:r>
            <w:r>
              <w:rPr>
                <w:rFonts w:hint="default"/>
                <w:lang w:val="en-US" w:eastAsia="zh-CN"/>
              </w:rPr>
              <w:t>（</w:t>
            </w:r>
            <w:bookmarkStart w:id="14" w:name="PO_8"/>
            <w:r>
              <w:rPr>
                <w:rFonts w:hint="eastAsia"/>
                <w:lang w:val="en-US" w:eastAsia="zh-CN"/>
              </w:rPr>
              <w:t>经度：</w:t>
            </w:r>
            <w:r>
              <w:rPr>
                <w:rFonts w:hint="default"/>
                <w:lang w:val="en-US" w:eastAsia="zh-CN"/>
              </w:rPr>
              <w:t>86°19′8.346″</w:t>
            </w:r>
            <w:r>
              <w:rPr>
                <w:rFonts w:hint="eastAsia"/>
                <w:lang w:val="en-US" w:eastAsia="zh-CN"/>
              </w:rPr>
              <w:t>，</w:t>
            </w:r>
            <w:bookmarkEnd w:id="14"/>
            <w:r>
              <w:rPr>
                <w:rFonts w:hint="eastAsia"/>
                <w:lang w:val="en-US" w:eastAsia="zh-CN"/>
              </w:rPr>
              <w:t>纬度</w:t>
            </w:r>
            <w:r>
              <w:rPr>
                <w:rFonts w:hint="default"/>
                <w:lang w:val="en-US" w:eastAsia="zh-CN"/>
              </w:rPr>
              <w:t>：41°52′23.077″）为坐标原点，正东向为X轴正方向，正北向为Y轴正方向</w:t>
            </w:r>
            <w:r>
              <w:rPr>
                <w:rFonts w:hint="eastAsia"/>
                <w:lang w:eastAsia="zh-CN"/>
              </w:rPr>
              <w:t>，</w:t>
            </w:r>
            <w:r>
              <w:rPr>
                <w:rFonts w:hint="eastAsia"/>
              </w:rPr>
              <w:t>主要产噪设备参数见下表。</w:t>
            </w:r>
          </w:p>
          <w:p w14:paraId="7988357B">
            <w:pPr>
              <w:pStyle w:val="6"/>
              <w:keepNext w:val="0"/>
              <w:keepLines w:val="0"/>
              <w:suppressLineNumbers w:val="0"/>
              <w:bidi w:val="0"/>
              <w:spacing w:before="0" w:beforeAutospacing="0" w:after="0" w:afterAutospacing="0"/>
              <w:ind w:left="0" w:right="0"/>
              <w:rPr>
                <w:rFonts w:hint="default"/>
                <w:color w:val="0000FF"/>
                <w:vertAlign w:val="baseline"/>
              </w:rPr>
            </w:pPr>
            <w:r>
              <w:rPr>
                <w:rFonts w:hint="eastAsia"/>
                <w:color w:val="auto"/>
              </w:rPr>
              <w:t>表</w:t>
            </w:r>
            <w:r>
              <w:rPr>
                <w:rFonts w:hint="eastAsia"/>
                <w:color w:val="auto"/>
                <w:lang w:val="en-US" w:eastAsia="zh-CN"/>
              </w:rPr>
              <w:t>4-7</w:t>
            </w:r>
            <w:r>
              <w:rPr>
                <w:rFonts w:hint="eastAsia"/>
                <w:color w:val="auto"/>
              </w:rPr>
              <w:t xml:space="preserve">                 </w:t>
            </w:r>
            <w:r>
              <w:rPr>
                <w:rFonts w:hint="eastAsia"/>
                <w:color w:val="auto"/>
                <w:lang w:eastAsia="zh-CN"/>
              </w:rPr>
              <w:t>工业企业噪声源强调查清单（室外声源）</w:t>
            </w:r>
          </w:p>
          <w:tbl>
            <w:tblPr>
              <w:tblStyle w:val="3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594"/>
              <w:gridCol w:w="589"/>
              <w:gridCol w:w="589"/>
              <w:gridCol w:w="484"/>
              <w:gridCol w:w="1943"/>
              <w:gridCol w:w="1308"/>
              <w:gridCol w:w="745"/>
              <w:gridCol w:w="728"/>
            </w:tblGrid>
            <w:tr w14:paraId="54EDD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490" w:type="dxa"/>
                  <w:vMerge w:val="restart"/>
                  <w:tcBorders>
                    <w:tl2br w:val="nil"/>
                    <w:tr2bl w:val="nil"/>
                  </w:tcBorders>
                  <w:shd w:val="clear" w:color="auto" w:fill="auto"/>
                  <w:vAlign w:val="center"/>
                </w:tcPr>
                <w:p w14:paraId="24183B83">
                  <w:pPr>
                    <w:pStyle w:val="8"/>
                    <w:keepNext w:val="0"/>
                    <w:keepLines w:val="0"/>
                    <w:suppressLineNumbers w:val="0"/>
                    <w:bidi w:val="0"/>
                    <w:spacing w:before="0" w:beforeAutospacing="0" w:after="0" w:afterAutospacing="0"/>
                    <w:ind w:left="0" w:right="0"/>
                    <w:rPr>
                      <w:rFonts w:hint="default"/>
                    </w:rPr>
                  </w:pPr>
                  <w:r>
                    <w:rPr>
                      <w:rFonts w:hint="default"/>
                    </w:rPr>
                    <w:t>序号</w:t>
                  </w:r>
                </w:p>
              </w:tc>
              <w:tc>
                <w:tcPr>
                  <w:tcW w:w="1594" w:type="dxa"/>
                  <w:vMerge w:val="restart"/>
                  <w:tcBorders>
                    <w:tl2br w:val="nil"/>
                    <w:tr2bl w:val="nil"/>
                  </w:tcBorders>
                  <w:shd w:val="clear" w:color="auto" w:fill="auto"/>
                  <w:vAlign w:val="center"/>
                </w:tcPr>
                <w:p w14:paraId="3BF640D7">
                  <w:pPr>
                    <w:pStyle w:val="8"/>
                    <w:keepNext w:val="0"/>
                    <w:keepLines w:val="0"/>
                    <w:suppressLineNumbers w:val="0"/>
                    <w:bidi w:val="0"/>
                    <w:spacing w:before="0" w:beforeAutospacing="0" w:after="0" w:afterAutospacing="0"/>
                    <w:ind w:left="0" w:right="0"/>
                    <w:rPr>
                      <w:rFonts w:hint="default"/>
                    </w:rPr>
                  </w:pPr>
                  <w:r>
                    <w:rPr>
                      <w:rFonts w:hint="default"/>
                    </w:rPr>
                    <w:t>声源名称</w:t>
                  </w:r>
                </w:p>
              </w:tc>
              <w:tc>
                <w:tcPr>
                  <w:tcW w:w="1662" w:type="dxa"/>
                  <w:gridSpan w:val="3"/>
                  <w:tcBorders>
                    <w:tl2br w:val="nil"/>
                    <w:tr2bl w:val="nil"/>
                  </w:tcBorders>
                  <w:shd w:val="clear" w:color="auto" w:fill="auto"/>
                  <w:vAlign w:val="center"/>
                </w:tcPr>
                <w:p w14:paraId="4FB54B66">
                  <w:pPr>
                    <w:pStyle w:val="8"/>
                    <w:keepNext w:val="0"/>
                    <w:keepLines w:val="0"/>
                    <w:suppressLineNumbers w:val="0"/>
                    <w:bidi w:val="0"/>
                    <w:spacing w:before="0" w:beforeAutospacing="0" w:after="0" w:afterAutospacing="0"/>
                    <w:ind w:left="0" w:right="0"/>
                    <w:rPr>
                      <w:rFonts w:hint="default"/>
                    </w:rPr>
                  </w:pPr>
                  <w:r>
                    <w:rPr>
                      <w:rFonts w:hint="default"/>
                    </w:rPr>
                    <w:t>空间相对位置/m</w:t>
                  </w:r>
                </w:p>
              </w:tc>
              <w:tc>
                <w:tcPr>
                  <w:tcW w:w="3251" w:type="dxa"/>
                  <w:gridSpan w:val="2"/>
                  <w:tcBorders>
                    <w:tl2br w:val="nil"/>
                    <w:tr2bl w:val="nil"/>
                  </w:tcBorders>
                  <w:shd w:val="clear" w:color="auto" w:fill="auto"/>
                  <w:vAlign w:val="center"/>
                </w:tcPr>
                <w:p w14:paraId="6055AE4F">
                  <w:pPr>
                    <w:pStyle w:val="8"/>
                    <w:keepNext w:val="0"/>
                    <w:keepLines w:val="0"/>
                    <w:suppressLineNumbers w:val="0"/>
                    <w:bidi w:val="0"/>
                    <w:spacing w:before="0" w:beforeAutospacing="0" w:after="0" w:afterAutospacing="0"/>
                    <w:ind w:left="0" w:right="0"/>
                    <w:rPr>
                      <w:rFonts w:hint="default"/>
                      <w:lang w:eastAsia="zh-CN"/>
                    </w:rPr>
                  </w:pPr>
                  <w:r>
                    <w:rPr>
                      <w:rFonts w:hint="default"/>
                      <w:lang w:eastAsia="zh-CN"/>
                    </w:rPr>
                    <w:t>声源源强（任选一种）</w:t>
                  </w:r>
                </w:p>
              </w:tc>
              <w:tc>
                <w:tcPr>
                  <w:tcW w:w="745" w:type="dxa"/>
                  <w:vMerge w:val="restart"/>
                  <w:tcBorders>
                    <w:tl2br w:val="nil"/>
                    <w:tr2bl w:val="nil"/>
                  </w:tcBorders>
                  <w:shd w:val="clear" w:color="auto" w:fill="auto"/>
                  <w:vAlign w:val="center"/>
                </w:tcPr>
                <w:p w14:paraId="2DB3A0E5">
                  <w:pPr>
                    <w:pStyle w:val="8"/>
                    <w:keepNext w:val="0"/>
                    <w:keepLines w:val="0"/>
                    <w:suppressLineNumbers w:val="0"/>
                    <w:bidi w:val="0"/>
                    <w:spacing w:before="0" w:beforeAutospacing="0" w:after="0" w:afterAutospacing="0"/>
                    <w:ind w:left="0" w:right="0"/>
                    <w:rPr>
                      <w:rFonts w:hint="default"/>
                    </w:rPr>
                  </w:pPr>
                  <w:r>
                    <w:rPr>
                      <w:rFonts w:hint="default"/>
                    </w:rPr>
                    <w:t>声源控制措施</w:t>
                  </w:r>
                </w:p>
              </w:tc>
              <w:tc>
                <w:tcPr>
                  <w:tcW w:w="728" w:type="dxa"/>
                  <w:vMerge w:val="restart"/>
                  <w:tcBorders>
                    <w:tl2br w:val="nil"/>
                    <w:tr2bl w:val="nil"/>
                  </w:tcBorders>
                  <w:shd w:val="clear" w:color="auto" w:fill="auto"/>
                  <w:vAlign w:val="center"/>
                </w:tcPr>
                <w:p w14:paraId="25B4A808">
                  <w:pPr>
                    <w:pStyle w:val="8"/>
                    <w:keepNext w:val="0"/>
                    <w:keepLines w:val="0"/>
                    <w:suppressLineNumbers w:val="0"/>
                    <w:bidi w:val="0"/>
                    <w:spacing w:before="0" w:beforeAutospacing="0" w:after="0" w:afterAutospacing="0"/>
                    <w:ind w:left="0" w:right="0"/>
                    <w:rPr>
                      <w:rFonts w:hint="default"/>
                    </w:rPr>
                  </w:pPr>
                  <w:r>
                    <w:rPr>
                      <w:rFonts w:hint="default"/>
                    </w:rPr>
                    <w:t>运行时段</w:t>
                  </w:r>
                </w:p>
              </w:tc>
            </w:tr>
            <w:tr w14:paraId="4FADD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90" w:type="dxa"/>
                  <w:vMerge w:val="continue"/>
                  <w:tcBorders>
                    <w:tl2br w:val="nil"/>
                    <w:tr2bl w:val="nil"/>
                  </w:tcBorders>
                  <w:shd w:val="clear" w:color="auto" w:fill="auto"/>
                  <w:vAlign w:val="center"/>
                </w:tcPr>
                <w:p w14:paraId="629688EC">
                  <w:pPr>
                    <w:pStyle w:val="8"/>
                    <w:keepNext w:val="0"/>
                    <w:keepLines w:val="0"/>
                    <w:suppressLineNumbers w:val="0"/>
                    <w:bidi w:val="0"/>
                    <w:spacing w:before="0" w:beforeAutospacing="0" w:after="0" w:afterAutospacing="0"/>
                    <w:ind w:left="0" w:right="0"/>
                    <w:rPr>
                      <w:rFonts w:hint="default"/>
                    </w:rPr>
                  </w:pPr>
                </w:p>
              </w:tc>
              <w:tc>
                <w:tcPr>
                  <w:tcW w:w="1594" w:type="dxa"/>
                  <w:vMerge w:val="continue"/>
                  <w:tcBorders>
                    <w:tl2br w:val="nil"/>
                    <w:tr2bl w:val="nil"/>
                  </w:tcBorders>
                  <w:shd w:val="clear" w:color="auto" w:fill="auto"/>
                  <w:vAlign w:val="center"/>
                </w:tcPr>
                <w:p w14:paraId="3A2E4E83">
                  <w:pPr>
                    <w:pStyle w:val="8"/>
                    <w:keepNext w:val="0"/>
                    <w:keepLines w:val="0"/>
                    <w:suppressLineNumbers w:val="0"/>
                    <w:bidi w:val="0"/>
                    <w:spacing w:before="0" w:beforeAutospacing="0" w:after="0" w:afterAutospacing="0"/>
                    <w:ind w:left="0" w:right="0"/>
                    <w:rPr>
                      <w:rFonts w:hint="default"/>
                    </w:rPr>
                  </w:pPr>
                </w:p>
              </w:tc>
              <w:tc>
                <w:tcPr>
                  <w:tcW w:w="589" w:type="dxa"/>
                  <w:tcBorders>
                    <w:tl2br w:val="nil"/>
                    <w:tr2bl w:val="nil"/>
                  </w:tcBorders>
                  <w:shd w:val="clear" w:color="auto" w:fill="auto"/>
                  <w:vAlign w:val="center"/>
                </w:tcPr>
                <w:p w14:paraId="32663AA9">
                  <w:pPr>
                    <w:pStyle w:val="8"/>
                    <w:keepNext w:val="0"/>
                    <w:keepLines w:val="0"/>
                    <w:suppressLineNumbers w:val="0"/>
                    <w:bidi w:val="0"/>
                    <w:spacing w:before="0" w:beforeAutospacing="0" w:after="0" w:afterAutospacing="0"/>
                    <w:ind w:left="0" w:right="0"/>
                    <w:rPr>
                      <w:rFonts w:hint="default"/>
                    </w:rPr>
                  </w:pPr>
                  <w:r>
                    <w:rPr>
                      <w:rFonts w:hint="default"/>
                    </w:rPr>
                    <w:t>X</w:t>
                  </w:r>
                </w:p>
              </w:tc>
              <w:tc>
                <w:tcPr>
                  <w:tcW w:w="589" w:type="dxa"/>
                  <w:tcBorders>
                    <w:tl2br w:val="nil"/>
                    <w:tr2bl w:val="nil"/>
                  </w:tcBorders>
                  <w:shd w:val="clear" w:color="auto" w:fill="auto"/>
                  <w:vAlign w:val="center"/>
                </w:tcPr>
                <w:p w14:paraId="3889E368">
                  <w:pPr>
                    <w:pStyle w:val="8"/>
                    <w:keepNext w:val="0"/>
                    <w:keepLines w:val="0"/>
                    <w:suppressLineNumbers w:val="0"/>
                    <w:bidi w:val="0"/>
                    <w:spacing w:before="0" w:beforeAutospacing="0" w:after="0" w:afterAutospacing="0"/>
                    <w:ind w:left="0" w:right="0"/>
                    <w:rPr>
                      <w:rFonts w:hint="default"/>
                    </w:rPr>
                  </w:pPr>
                  <w:r>
                    <w:rPr>
                      <w:rFonts w:hint="default"/>
                    </w:rPr>
                    <w:t>Y</w:t>
                  </w:r>
                </w:p>
              </w:tc>
              <w:tc>
                <w:tcPr>
                  <w:tcW w:w="484" w:type="dxa"/>
                  <w:tcBorders>
                    <w:tl2br w:val="nil"/>
                    <w:tr2bl w:val="nil"/>
                  </w:tcBorders>
                  <w:shd w:val="clear" w:color="auto" w:fill="auto"/>
                  <w:vAlign w:val="center"/>
                </w:tcPr>
                <w:p w14:paraId="191264BD">
                  <w:pPr>
                    <w:pStyle w:val="8"/>
                    <w:keepNext w:val="0"/>
                    <w:keepLines w:val="0"/>
                    <w:suppressLineNumbers w:val="0"/>
                    <w:bidi w:val="0"/>
                    <w:spacing w:before="0" w:beforeAutospacing="0" w:after="0" w:afterAutospacing="0"/>
                    <w:ind w:left="0" w:right="0"/>
                    <w:rPr>
                      <w:rFonts w:hint="default"/>
                    </w:rPr>
                  </w:pPr>
                  <w:r>
                    <w:rPr>
                      <w:rFonts w:hint="default"/>
                    </w:rPr>
                    <w:t>Z</w:t>
                  </w:r>
                </w:p>
              </w:tc>
              <w:tc>
                <w:tcPr>
                  <w:tcW w:w="1943" w:type="dxa"/>
                  <w:tcBorders>
                    <w:tl2br w:val="nil"/>
                    <w:tr2bl w:val="nil"/>
                  </w:tcBorders>
                  <w:shd w:val="clear" w:color="auto" w:fill="auto"/>
                  <w:vAlign w:val="center"/>
                </w:tcPr>
                <w:p w14:paraId="4CCBD86B">
                  <w:pPr>
                    <w:pStyle w:val="8"/>
                    <w:keepNext w:val="0"/>
                    <w:keepLines w:val="0"/>
                    <w:suppressLineNumbers w:val="0"/>
                    <w:bidi w:val="0"/>
                    <w:spacing w:before="0" w:beforeAutospacing="0" w:after="0" w:afterAutospacing="0"/>
                    <w:ind w:left="0" w:right="0"/>
                    <w:rPr>
                      <w:rFonts w:hint="default"/>
                    </w:rPr>
                  </w:pPr>
                  <w:r>
                    <w:rPr>
                      <w:rFonts w:hint="default"/>
                    </w:rPr>
                    <w:t>（声压级/距声源距离）/（dB(A)/m）</w:t>
                  </w:r>
                </w:p>
              </w:tc>
              <w:tc>
                <w:tcPr>
                  <w:tcW w:w="1308" w:type="dxa"/>
                  <w:tcBorders>
                    <w:tl2br w:val="nil"/>
                    <w:tr2bl w:val="nil"/>
                  </w:tcBorders>
                  <w:shd w:val="clear" w:color="auto" w:fill="auto"/>
                  <w:vAlign w:val="center"/>
                </w:tcPr>
                <w:p w14:paraId="1F260EEE">
                  <w:pPr>
                    <w:pStyle w:val="8"/>
                    <w:keepNext w:val="0"/>
                    <w:keepLines w:val="0"/>
                    <w:suppressLineNumbers w:val="0"/>
                    <w:bidi w:val="0"/>
                    <w:spacing w:before="0" w:beforeAutospacing="0" w:after="0" w:afterAutospacing="0"/>
                    <w:ind w:left="0" w:right="0"/>
                    <w:rPr>
                      <w:rFonts w:hint="default"/>
                    </w:rPr>
                  </w:pPr>
                  <w:r>
                    <w:rPr>
                      <w:rFonts w:hint="default"/>
                    </w:rPr>
                    <w:t>声功率级/dB(A)</w:t>
                  </w:r>
                </w:p>
              </w:tc>
              <w:tc>
                <w:tcPr>
                  <w:tcW w:w="745" w:type="dxa"/>
                  <w:vMerge w:val="continue"/>
                  <w:tcBorders>
                    <w:tl2br w:val="nil"/>
                    <w:tr2bl w:val="nil"/>
                  </w:tcBorders>
                  <w:shd w:val="clear" w:color="auto" w:fill="auto"/>
                  <w:vAlign w:val="center"/>
                </w:tcPr>
                <w:p w14:paraId="18AE0EB8">
                  <w:pPr>
                    <w:pStyle w:val="8"/>
                    <w:keepNext w:val="0"/>
                    <w:keepLines w:val="0"/>
                    <w:suppressLineNumbers w:val="0"/>
                    <w:bidi w:val="0"/>
                    <w:spacing w:before="0" w:beforeAutospacing="0" w:after="0" w:afterAutospacing="0"/>
                    <w:ind w:left="0" w:right="0"/>
                    <w:rPr>
                      <w:rFonts w:hint="default"/>
                    </w:rPr>
                  </w:pPr>
                </w:p>
              </w:tc>
              <w:tc>
                <w:tcPr>
                  <w:tcW w:w="728" w:type="dxa"/>
                  <w:vMerge w:val="continue"/>
                  <w:tcBorders>
                    <w:tl2br w:val="nil"/>
                    <w:tr2bl w:val="nil"/>
                  </w:tcBorders>
                  <w:shd w:val="clear" w:color="auto" w:fill="auto"/>
                  <w:vAlign w:val="center"/>
                </w:tcPr>
                <w:p w14:paraId="175A41C8">
                  <w:pPr>
                    <w:pStyle w:val="8"/>
                    <w:keepNext w:val="0"/>
                    <w:keepLines w:val="0"/>
                    <w:suppressLineNumbers w:val="0"/>
                    <w:bidi w:val="0"/>
                    <w:spacing w:before="0" w:beforeAutospacing="0" w:after="0" w:afterAutospacing="0"/>
                    <w:ind w:left="0" w:right="0"/>
                    <w:rPr>
                      <w:rFonts w:hint="default"/>
                    </w:rPr>
                  </w:pPr>
                </w:p>
              </w:tc>
            </w:tr>
            <w:tr w14:paraId="52FE8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57" w:hRule="exact"/>
              </w:trPr>
              <w:tc>
                <w:tcPr>
                  <w:tcW w:w="490" w:type="dxa"/>
                  <w:tcBorders>
                    <w:tl2br w:val="nil"/>
                    <w:tr2bl w:val="nil"/>
                  </w:tcBorders>
                  <w:shd w:val="clear" w:color="auto" w:fill="auto"/>
                  <w:vAlign w:val="center"/>
                </w:tcPr>
                <w:p w14:paraId="3B2CC952">
                  <w:pPr>
                    <w:pStyle w:val="8"/>
                    <w:keepNext w:val="0"/>
                    <w:keepLines w:val="0"/>
                    <w:suppressLineNumbers w:val="0"/>
                    <w:bidi w:val="0"/>
                    <w:spacing w:before="0" w:beforeAutospacing="0" w:after="0" w:afterAutospacing="0"/>
                    <w:ind w:left="0" w:right="0"/>
                    <w:rPr>
                      <w:rFonts w:hint="default"/>
                    </w:rPr>
                  </w:pPr>
                  <w:r>
                    <w:rPr>
                      <w:rFonts w:hint="default"/>
                    </w:rPr>
                    <w:t>1</w:t>
                  </w:r>
                </w:p>
              </w:tc>
              <w:tc>
                <w:tcPr>
                  <w:tcW w:w="1594" w:type="dxa"/>
                  <w:tcBorders>
                    <w:tl2br w:val="nil"/>
                    <w:tr2bl w:val="nil"/>
                  </w:tcBorders>
                  <w:shd w:val="clear" w:color="auto" w:fill="auto"/>
                  <w:vAlign w:val="center"/>
                </w:tcPr>
                <w:p w14:paraId="62F38C89">
                  <w:pPr>
                    <w:pStyle w:val="8"/>
                    <w:keepNext w:val="0"/>
                    <w:keepLines w:val="0"/>
                    <w:suppressLineNumbers w:val="0"/>
                    <w:bidi w:val="0"/>
                    <w:spacing w:before="0" w:beforeAutospacing="0" w:after="0" w:afterAutospacing="0"/>
                    <w:ind w:left="0" w:right="0"/>
                    <w:rPr>
                      <w:rFonts w:hint="default"/>
                    </w:rPr>
                  </w:pPr>
                  <w:r>
                    <w:rPr>
                      <w:rFonts w:hint="default"/>
                    </w:rPr>
                    <w:t>室外新溶泵3台（按点声源组预测）</w:t>
                  </w:r>
                </w:p>
              </w:tc>
              <w:tc>
                <w:tcPr>
                  <w:tcW w:w="589" w:type="dxa"/>
                  <w:tcBorders>
                    <w:tl2br w:val="nil"/>
                    <w:tr2bl w:val="nil"/>
                  </w:tcBorders>
                  <w:shd w:val="clear" w:color="auto" w:fill="auto"/>
                  <w:vAlign w:val="center"/>
                </w:tcPr>
                <w:p w14:paraId="649800C6">
                  <w:pPr>
                    <w:pStyle w:val="8"/>
                    <w:keepNext w:val="0"/>
                    <w:keepLines w:val="0"/>
                    <w:suppressLineNumbers w:val="0"/>
                    <w:bidi w:val="0"/>
                    <w:spacing w:before="0" w:beforeAutospacing="0" w:after="0" w:afterAutospacing="0"/>
                    <w:ind w:left="0" w:right="0"/>
                    <w:rPr>
                      <w:rFonts w:hint="default"/>
                    </w:rPr>
                  </w:pPr>
                  <w:r>
                    <w:rPr>
                      <w:rFonts w:hint="default"/>
                    </w:rPr>
                    <w:t>-6</w:t>
                  </w:r>
                </w:p>
              </w:tc>
              <w:tc>
                <w:tcPr>
                  <w:tcW w:w="589" w:type="dxa"/>
                  <w:tcBorders>
                    <w:tl2br w:val="nil"/>
                    <w:tr2bl w:val="nil"/>
                  </w:tcBorders>
                  <w:shd w:val="clear" w:color="auto" w:fill="auto"/>
                  <w:vAlign w:val="center"/>
                </w:tcPr>
                <w:p w14:paraId="127C6630">
                  <w:pPr>
                    <w:pStyle w:val="8"/>
                    <w:keepNext w:val="0"/>
                    <w:keepLines w:val="0"/>
                    <w:suppressLineNumbers w:val="0"/>
                    <w:bidi w:val="0"/>
                    <w:spacing w:before="0" w:beforeAutospacing="0" w:after="0" w:afterAutospacing="0"/>
                    <w:ind w:left="0" w:right="0"/>
                    <w:rPr>
                      <w:rFonts w:hint="default"/>
                    </w:rPr>
                  </w:pPr>
                  <w:r>
                    <w:rPr>
                      <w:rFonts w:hint="default"/>
                    </w:rPr>
                    <w:t>56.6</w:t>
                  </w:r>
                </w:p>
              </w:tc>
              <w:tc>
                <w:tcPr>
                  <w:tcW w:w="484" w:type="dxa"/>
                  <w:tcBorders>
                    <w:tl2br w:val="nil"/>
                    <w:tr2bl w:val="nil"/>
                  </w:tcBorders>
                  <w:shd w:val="clear" w:color="auto" w:fill="auto"/>
                  <w:vAlign w:val="center"/>
                </w:tcPr>
                <w:p w14:paraId="2ADDD89E">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943" w:type="dxa"/>
                  <w:tcBorders>
                    <w:tl2br w:val="nil"/>
                    <w:tr2bl w:val="nil"/>
                  </w:tcBorders>
                  <w:shd w:val="clear" w:color="auto" w:fill="auto"/>
                  <w:vAlign w:val="center"/>
                </w:tcPr>
                <w:p w14:paraId="48975BF4">
                  <w:pPr>
                    <w:pStyle w:val="8"/>
                    <w:keepNext w:val="0"/>
                    <w:keepLines w:val="0"/>
                    <w:suppressLineNumbers w:val="0"/>
                    <w:bidi w:val="0"/>
                    <w:spacing w:before="0" w:beforeAutospacing="0" w:after="0" w:afterAutospacing="0"/>
                    <w:ind w:left="0" w:right="0"/>
                    <w:rPr>
                      <w:rFonts w:hint="eastAsia" w:eastAsia="宋体"/>
                      <w:lang w:val="en-US" w:eastAsia="zh-CN"/>
                    </w:rPr>
                  </w:pPr>
                  <w:r>
                    <w:rPr>
                      <w:rFonts w:hint="eastAsia"/>
                      <w:lang w:val="en-US" w:eastAsia="zh-CN"/>
                    </w:rPr>
                    <w:t>/</w:t>
                  </w:r>
                </w:p>
              </w:tc>
              <w:tc>
                <w:tcPr>
                  <w:tcW w:w="1308" w:type="dxa"/>
                  <w:tcBorders>
                    <w:tl2br w:val="nil"/>
                    <w:tr2bl w:val="nil"/>
                  </w:tcBorders>
                  <w:shd w:val="clear" w:color="auto" w:fill="auto"/>
                  <w:vAlign w:val="center"/>
                </w:tcPr>
                <w:p w14:paraId="6B51B886">
                  <w:pPr>
                    <w:pStyle w:val="8"/>
                    <w:keepNext w:val="0"/>
                    <w:keepLines w:val="0"/>
                    <w:suppressLineNumbers w:val="0"/>
                    <w:bidi w:val="0"/>
                    <w:spacing w:before="0" w:beforeAutospacing="0" w:after="0" w:afterAutospacing="0"/>
                    <w:ind w:left="0" w:right="0"/>
                    <w:rPr>
                      <w:rFonts w:hint="default"/>
                    </w:rPr>
                  </w:pPr>
                  <w:r>
                    <w:rPr>
                      <w:rFonts w:hint="default"/>
                    </w:rPr>
                    <w:t>85（等效后：89.8)</w:t>
                  </w:r>
                </w:p>
              </w:tc>
              <w:tc>
                <w:tcPr>
                  <w:tcW w:w="745" w:type="dxa"/>
                  <w:tcBorders>
                    <w:tl2br w:val="nil"/>
                    <w:tr2bl w:val="nil"/>
                  </w:tcBorders>
                  <w:shd w:val="clear" w:color="auto" w:fill="auto"/>
                  <w:vAlign w:val="center"/>
                </w:tcPr>
                <w:p w14:paraId="35631A79">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728" w:type="dxa"/>
                  <w:tcBorders>
                    <w:tl2br w:val="nil"/>
                    <w:tr2bl w:val="nil"/>
                  </w:tcBorders>
                  <w:shd w:val="clear" w:color="auto" w:fill="auto"/>
                  <w:vAlign w:val="center"/>
                </w:tcPr>
                <w:p w14:paraId="0624E564">
                  <w:pPr>
                    <w:pStyle w:val="8"/>
                    <w:keepNext w:val="0"/>
                    <w:keepLines w:val="0"/>
                    <w:suppressLineNumbers w:val="0"/>
                    <w:bidi w:val="0"/>
                    <w:spacing w:before="0" w:beforeAutospacing="0" w:after="0" w:afterAutospacing="0"/>
                    <w:ind w:left="0" w:right="0"/>
                    <w:rPr>
                      <w:rFonts w:hint="default"/>
                    </w:rPr>
                  </w:pPr>
                  <w:r>
                    <w:rPr>
                      <w:rFonts w:hint="default"/>
                    </w:rPr>
                    <w:t>24.0</w:t>
                  </w:r>
                </w:p>
              </w:tc>
            </w:tr>
            <w:tr w14:paraId="01E7D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29" w:hRule="exact"/>
              </w:trPr>
              <w:tc>
                <w:tcPr>
                  <w:tcW w:w="490" w:type="dxa"/>
                  <w:tcBorders>
                    <w:tl2br w:val="nil"/>
                    <w:tr2bl w:val="nil"/>
                  </w:tcBorders>
                  <w:shd w:val="clear" w:color="auto" w:fill="auto"/>
                  <w:vAlign w:val="center"/>
                </w:tcPr>
                <w:p w14:paraId="592B5F02">
                  <w:pPr>
                    <w:pStyle w:val="8"/>
                    <w:keepNext w:val="0"/>
                    <w:keepLines w:val="0"/>
                    <w:suppressLineNumbers w:val="0"/>
                    <w:bidi w:val="0"/>
                    <w:spacing w:before="0" w:beforeAutospacing="0" w:after="0" w:afterAutospacing="0"/>
                    <w:ind w:left="0" w:right="0"/>
                    <w:rPr>
                      <w:rFonts w:hint="default"/>
                    </w:rPr>
                  </w:pPr>
                  <w:r>
                    <w:rPr>
                      <w:rFonts w:hint="default"/>
                    </w:rPr>
                    <w:t>2</w:t>
                  </w:r>
                </w:p>
              </w:tc>
              <w:tc>
                <w:tcPr>
                  <w:tcW w:w="1594" w:type="dxa"/>
                  <w:tcBorders>
                    <w:tl2br w:val="nil"/>
                    <w:tr2bl w:val="nil"/>
                  </w:tcBorders>
                  <w:shd w:val="clear" w:color="auto" w:fill="auto"/>
                  <w:vAlign w:val="center"/>
                </w:tcPr>
                <w:p w14:paraId="67A3B4BE">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室外循环水泵3台（按点声源组预测）</w:t>
                  </w:r>
                </w:p>
              </w:tc>
              <w:tc>
                <w:tcPr>
                  <w:tcW w:w="589" w:type="dxa"/>
                  <w:tcBorders>
                    <w:tl2br w:val="nil"/>
                    <w:tr2bl w:val="nil"/>
                  </w:tcBorders>
                  <w:shd w:val="clear" w:color="auto" w:fill="auto"/>
                  <w:vAlign w:val="center"/>
                </w:tcPr>
                <w:p w14:paraId="0AA3C595">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28.5</w:t>
                  </w:r>
                </w:p>
              </w:tc>
              <w:tc>
                <w:tcPr>
                  <w:tcW w:w="589" w:type="dxa"/>
                  <w:tcBorders>
                    <w:tl2br w:val="nil"/>
                    <w:tr2bl w:val="nil"/>
                  </w:tcBorders>
                  <w:shd w:val="clear" w:color="auto" w:fill="auto"/>
                  <w:vAlign w:val="center"/>
                </w:tcPr>
                <w:p w14:paraId="1A69432D">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27.7</w:t>
                  </w:r>
                </w:p>
              </w:tc>
              <w:tc>
                <w:tcPr>
                  <w:tcW w:w="484" w:type="dxa"/>
                  <w:tcBorders>
                    <w:tl2br w:val="nil"/>
                    <w:tr2bl w:val="nil"/>
                  </w:tcBorders>
                  <w:shd w:val="clear" w:color="auto" w:fill="auto"/>
                  <w:vAlign w:val="center"/>
                </w:tcPr>
                <w:p w14:paraId="3AD374EE">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1.2</w:t>
                  </w:r>
                </w:p>
              </w:tc>
              <w:tc>
                <w:tcPr>
                  <w:tcW w:w="1943" w:type="dxa"/>
                  <w:tcBorders>
                    <w:tl2br w:val="nil"/>
                    <w:tr2bl w:val="nil"/>
                  </w:tcBorders>
                  <w:shd w:val="clear" w:color="auto" w:fill="auto"/>
                  <w:vAlign w:val="center"/>
                </w:tcPr>
                <w:p w14:paraId="6DB42CE2">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8" w:type="dxa"/>
                  <w:tcBorders>
                    <w:tl2br w:val="nil"/>
                    <w:tr2bl w:val="nil"/>
                  </w:tcBorders>
                  <w:shd w:val="clear" w:color="auto" w:fill="auto"/>
                  <w:vAlign w:val="center"/>
                </w:tcPr>
                <w:p w14:paraId="51B84ED0">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85（等效后：89.8)</w:t>
                  </w:r>
                </w:p>
              </w:tc>
              <w:tc>
                <w:tcPr>
                  <w:tcW w:w="745" w:type="dxa"/>
                  <w:tcBorders>
                    <w:tl2br w:val="nil"/>
                    <w:tr2bl w:val="nil"/>
                  </w:tcBorders>
                  <w:shd w:val="clear" w:color="auto" w:fill="auto"/>
                  <w:vAlign w:val="center"/>
                </w:tcPr>
                <w:p w14:paraId="65E96C40">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基础减振</w:t>
                  </w:r>
                </w:p>
              </w:tc>
              <w:tc>
                <w:tcPr>
                  <w:tcW w:w="728" w:type="dxa"/>
                  <w:tcBorders>
                    <w:tl2br w:val="nil"/>
                    <w:tr2bl w:val="nil"/>
                  </w:tcBorders>
                  <w:shd w:val="clear" w:color="auto" w:fill="auto"/>
                  <w:vAlign w:val="center"/>
                </w:tcPr>
                <w:p w14:paraId="0FA95AAB">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24.0</w:t>
                  </w:r>
                </w:p>
              </w:tc>
            </w:tr>
            <w:tr w14:paraId="1F63F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83" w:hRule="exact"/>
              </w:trPr>
              <w:tc>
                <w:tcPr>
                  <w:tcW w:w="490" w:type="dxa"/>
                  <w:tcBorders>
                    <w:tl2br w:val="nil"/>
                    <w:tr2bl w:val="nil"/>
                  </w:tcBorders>
                  <w:shd w:val="clear" w:color="auto" w:fill="auto"/>
                  <w:vAlign w:val="center"/>
                </w:tcPr>
                <w:p w14:paraId="10156DAD">
                  <w:pPr>
                    <w:pStyle w:val="8"/>
                    <w:keepNext w:val="0"/>
                    <w:keepLines w:val="0"/>
                    <w:suppressLineNumbers w:val="0"/>
                    <w:bidi w:val="0"/>
                    <w:spacing w:before="0" w:beforeAutospacing="0" w:after="0" w:afterAutospacing="0"/>
                    <w:ind w:left="0" w:right="0"/>
                    <w:rPr>
                      <w:rFonts w:hint="default"/>
                    </w:rPr>
                  </w:pPr>
                  <w:r>
                    <w:rPr>
                      <w:rFonts w:hint="default"/>
                    </w:rPr>
                    <w:t>3</w:t>
                  </w:r>
                </w:p>
              </w:tc>
              <w:tc>
                <w:tcPr>
                  <w:tcW w:w="1594" w:type="dxa"/>
                  <w:tcBorders>
                    <w:tl2br w:val="nil"/>
                    <w:tr2bl w:val="nil"/>
                  </w:tcBorders>
                  <w:shd w:val="clear" w:color="auto" w:fill="auto"/>
                  <w:vAlign w:val="center"/>
                </w:tcPr>
                <w:p w14:paraId="70BE54DF">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室外隔膜泵,3台（按点声源组预测）</w:t>
                  </w:r>
                </w:p>
              </w:tc>
              <w:tc>
                <w:tcPr>
                  <w:tcW w:w="589" w:type="dxa"/>
                  <w:tcBorders>
                    <w:tl2br w:val="nil"/>
                    <w:tr2bl w:val="nil"/>
                  </w:tcBorders>
                  <w:shd w:val="clear" w:color="auto" w:fill="auto"/>
                  <w:vAlign w:val="center"/>
                </w:tcPr>
                <w:p w14:paraId="050F66CF">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34.7</w:t>
                  </w:r>
                </w:p>
              </w:tc>
              <w:tc>
                <w:tcPr>
                  <w:tcW w:w="589" w:type="dxa"/>
                  <w:tcBorders>
                    <w:tl2br w:val="nil"/>
                    <w:tr2bl w:val="nil"/>
                  </w:tcBorders>
                  <w:shd w:val="clear" w:color="auto" w:fill="auto"/>
                  <w:vAlign w:val="center"/>
                </w:tcPr>
                <w:p w14:paraId="21B4159E">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-1.5</w:t>
                  </w:r>
                </w:p>
              </w:tc>
              <w:tc>
                <w:tcPr>
                  <w:tcW w:w="484" w:type="dxa"/>
                  <w:tcBorders>
                    <w:tl2br w:val="nil"/>
                    <w:tr2bl w:val="nil"/>
                  </w:tcBorders>
                  <w:shd w:val="clear" w:color="auto" w:fill="auto"/>
                  <w:vAlign w:val="center"/>
                </w:tcPr>
                <w:p w14:paraId="5D9271E2">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1.2</w:t>
                  </w:r>
                </w:p>
              </w:tc>
              <w:tc>
                <w:tcPr>
                  <w:tcW w:w="1943" w:type="dxa"/>
                  <w:tcBorders>
                    <w:tl2br w:val="nil"/>
                    <w:tr2bl w:val="nil"/>
                  </w:tcBorders>
                  <w:shd w:val="clear" w:color="auto" w:fill="auto"/>
                  <w:vAlign w:val="center"/>
                </w:tcPr>
                <w:p w14:paraId="09F81ACA">
                  <w:pPr>
                    <w:pStyle w:val="8"/>
                    <w:keepNext w:val="0"/>
                    <w:keepLines w:val="0"/>
                    <w:suppressLineNumbers w:val="0"/>
                    <w:bidi w:val="0"/>
                    <w:spacing w:before="0" w:beforeAutospacing="0" w:after="0" w:afterAutospacing="0"/>
                    <w:ind w:left="0" w:right="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308" w:type="dxa"/>
                  <w:tcBorders>
                    <w:tl2br w:val="nil"/>
                    <w:tr2bl w:val="nil"/>
                  </w:tcBorders>
                  <w:shd w:val="clear" w:color="auto" w:fill="auto"/>
                  <w:vAlign w:val="center"/>
                </w:tcPr>
                <w:p w14:paraId="4D8E8232">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85（等效后：89.8)</w:t>
                  </w:r>
                </w:p>
              </w:tc>
              <w:tc>
                <w:tcPr>
                  <w:tcW w:w="745" w:type="dxa"/>
                  <w:tcBorders>
                    <w:tl2br w:val="nil"/>
                    <w:tr2bl w:val="nil"/>
                  </w:tcBorders>
                  <w:shd w:val="clear" w:color="auto" w:fill="auto"/>
                  <w:vAlign w:val="center"/>
                </w:tcPr>
                <w:p w14:paraId="2B116E03">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基础减振</w:t>
                  </w:r>
                </w:p>
              </w:tc>
              <w:tc>
                <w:tcPr>
                  <w:tcW w:w="728" w:type="dxa"/>
                  <w:tcBorders>
                    <w:tl2br w:val="nil"/>
                    <w:tr2bl w:val="nil"/>
                  </w:tcBorders>
                  <w:shd w:val="clear" w:color="auto" w:fill="auto"/>
                  <w:vAlign w:val="center"/>
                </w:tcPr>
                <w:p w14:paraId="484B5126">
                  <w:pPr>
                    <w:pStyle w:val="8"/>
                    <w:keepNext w:val="0"/>
                    <w:keepLines w:val="0"/>
                    <w:suppressLineNumbers w:val="0"/>
                    <w:bidi w:val="0"/>
                    <w:spacing w:before="0" w:beforeAutospacing="0" w:after="0" w:afterAutospacing="0"/>
                    <w:ind w:left="0" w:right="0" w:firstLine="0" w:firstLineChars="0"/>
                    <w:rPr>
                      <w:rFonts w:hint="default" w:ascii="Times New Roman" w:hAnsi="Times New Roman" w:eastAsia="宋体" w:cs="Times New Roman"/>
                      <w:kern w:val="2"/>
                      <w:sz w:val="21"/>
                      <w:szCs w:val="24"/>
                      <w:lang w:val="en-US" w:eastAsia="zh-CN" w:bidi="ar-SA"/>
                    </w:rPr>
                  </w:pPr>
                  <w:r>
                    <w:rPr>
                      <w:rFonts w:hint="default"/>
                    </w:rPr>
                    <w:t>24.0</w:t>
                  </w:r>
                </w:p>
              </w:tc>
            </w:tr>
          </w:tbl>
          <w:p w14:paraId="25B0969B">
            <w:pPr>
              <w:pStyle w:val="9"/>
              <w:keepLines w:val="0"/>
              <w:suppressLineNumbers w:val="0"/>
              <w:bidi w:val="0"/>
              <w:spacing w:before="0" w:beforeAutospacing="0" w:after="0" w:afterAutospacing="0"/>
              <w:ind w:left="0" w:right="0"/>
              <w:rPr>
                <w:rFonts w:hint="default"/>
                <w:lang w:eastAsia="zh-CN"/>
              </w:rPr>
            </w:pPr>
            <w:r>
              <w:rPr>
                <w:rFonts w:hint="default"/>
                <w:lang w:eastAsia="zh-CN"/>
              </w:rPr>
              <w:t>表</w:t>
            </w:r>
            <w:r>
              <w:rPr>
                <w:rFonts w:hint="eastAsia"/>
                <w:lang w:val="en-US" w:eastAsia="zh-CN"/>
              </w:rPr>
              <w:t>4-8</w:t>
            </w:r>
            <w:r>
              <w:rPr>
                <w:rFonts w:hint="default"/>
                <w:lang w:eastAsia="zh-CN"/>
              </w:rPr>
              <w:tab/>
            </w:r>
            <w:r>
              <w:rPr>
                <w:rFonts w:hint="default"/>
                <w:lang w:eastAsia="zh-CN"/>
              </w:rPr>
              <w:t>工业企业噪声源强调查清单（室内声源）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3"/>
              <w:gridCol w:w="353"/>
              <w:gridCol w:w="401"/>
              <w:gridCol w:w="501"/>
              <w:gridCol w:w="357"/>
              <w:gridCol w:w="370"/>
              <w:gridCol w:w="370"/>
              <w:gridCol w:w="229"/>
              <w:gridCol w:w="312"/>
              <w:gridCol w:w="312"/>
              <w:gridCol w:w="312"/>
              <w:gridCol w:w="316"/>
              <w:gridCol w:w="312"/>
              <w:gridCol w:w="312"/>
              <w:gridCol w:w="312"/>
              <w:gridCol w:w="316"/>
              <w:gridCol w:w="353"/>
              <w:gridCol w:w="312"/>
              <w:gridCol w:w="312"/>
              <w:gridCol w:w="312"/>
              <w:gridCol w:w="316"/>
              <w:gridCol w:w="313"/>
              <w:gridCol w:w="313"/>
              <w:gridCol w:w="313"/>
              <w:gridCol w:w="313"/>
              <w:gridCol w:w="188"/>
            </w:tblGrid>
            <w:tr w14:paraId="7C41F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0" w:hRule="atLeast"/>
                <w:jc w:val="center"/>
              </w:trPr>
              <w:tc>
                <w:tcPr>
                  <w:tcW w:w="208" w:type="pct"/>
                  <w:vMerge w:val="restart"/>
                  <w:tcBorders>
                    <w:tl2br w:val="nil"/>
                    <w:tr2bl w:val="nil"/>
                  </w:tcBorders>
                  <w:shd w:val="clear" w:color="auto" w:fill="auto"/>
                  <w:vAlign w:val="center"/>
                </w:tcPr>
                <w:p w14:paraId="7155CB5B">
                  <w:pPr>
                    <w:pStyle w:val="8"/>
                    <w:keepNext w:val="0"/>
                    <w:keepLines w:val="0"/>
                    <w:suppressLineNumbers w:val="0"/>
                    <w:bidi w:val="0"/>
                    <w:spacing w:before="0" w:beforeAutospacing="0" w:after="0" w:afterAutospacing="0"/>
                    <w:ind w:left="0" w:right="0"/>
                    <w:rPr>
                      <w:rFonts w:hint="default"/>
                    </w:rPr>
                  </w:pPr>
                  <w:bookmarkStart w:id="15" w:name="PT_6"/>
                  <w:r>
                    <w:rPr>
                      <w:rFonts w:hint="default"/>
                    </w:rPr>
                    <w:t>序号</w:t>
                  </w:r>
                </w:p>
              </w:tc>
              <w:tc>
                <w:tcPr>
                  <w:tcW w:w="208" w:type="pct"/>
                  <w:vMerge w:val="restart"/>
                  <w:tcBorders>
                    <w:tl2br w:val="nil"/>
                    <w:tr2bl w:val="nil"/>
                  </w:tcBorders>
                  <w:shd w:val="clear" w:color="auto" w:fill="auto"/>
                  <w:vAlign w:val="center"/>
                </w:tcPr>
                <w:p w14:paraId="364224BD">
                  <w:pPr>
                    <w:pStyle w:val="8"/>
                    <w:keepNext w:val="0"/>
                    <w:keepLines w:val="0"/>
                    <w:suppressLineNumbers w:val="0"/>
                    <w:bidi w:val="0"/>
                    <w:spacing w:before="0" w:beforeAutospacing="0" w:after="0" w:afterAutospacing="0"/>
                    <w:ind w:left="0" w:right="0"/>
                    <w:rPr>
                      <w:rFonts w:hint="default"/>
                    </w:rPr>
                  </w:pPr>
                  <w:r>
                    <w:rPr>
                      <w:rFonts w:hint="default"/>
                    </w:rPr>
                    <w:t>建筑物名称</w:t>
                  </w:r>
                </w:p>
              </w:tc>
              <w:tc>
                <w:tcPr>
                  <w:tcW w:w="236" w:type="pct"/>
                  <w:vMerge w:val="restart"/>
                  <w:tcBorders>
                    <w:tl2br w:val="nil"/>
                    <w:tr2bl w:val="nil"/>
                  </w:tcBorders>
                  <w:shd w:val="clear" w:color="auto" w:fill="auto"/>
                  <w:vAlign w:val="center"/>
                </w:tcPr>
                <w:p w14:paraId="037F11E2">
                  <w:pPr>
                    <w:pStyle w:val="8"/>
                    <w:keepNext w:val="0"/>
                    <w:keepLines w:val="0"/>
                    <w:suppressLineNumbers w:val="0"/>
                    <w:bidi w:val="0"/>
                    <w:spacing w:before="0" w:beforeAutospacing="0" w:after="0" w:afterAutospacing="0"/>
                    <w:ind w:left="0" w:right="0"/>
                    <w:rPr>
                      <w:rFonts w:hint="default"/>
                    </w:rPr>
                  </w:pPr>
                  <w:r>
                    <w:rPr>
                      <w:rFonts w:hint="default"/>
                    </w:rPr>
                    <w:t>声源名称</w:t>
                  </w:r>
                </w:p>
              </w:tc>
              <w:tc>
                <w:tcPr>
                  <w:tcW w:w="295" w:type="pct"/>
                  <w:tcBorders>
                    <w:tl2br w:val="nil"/>
                    <w:tr2bl w:val="nil"/>
                  </w:tcBorders>
                  <w:shd w:val="clear" w:color="auto" w:fill="auto"/>
                  <w:vAlign w:val="center"/>
                </w:tcPr>
                <w:p w14:paraId="673C92B0">
                  <w:pPr>
                    <w:pStyle w:val="8"/>
                    <w:keepNext w:val="0"/>
                    <w:keepLines w:val="0"/>
                    <w:suppressLineNumbers w:val="0"/>
                    <w:bidi w:val="0"/>
                    <w:spacing w:before="0" w:beforeAutospacing="0" w:after="0" w:afterAutospacing="0"/>
                    <w:ind w:left="0" w:right="0"/>
                    <w:rPr>
                      <w:rFonts w:hint="default"/>
                      <w:lang w:eastAsia="zh-CN"/>
                    </w:rPr>
                  </w:pPr>
                  <w:r>
                    <w:rPr>
                      <w:rFonts w:hint="default"/>
                      <w:lang w:eastAsia="zh-CN"/>
                    </w:rPr>
                    <w:t>声源源强</w:t>
                  </w:r>
                </w:p>
              </w:tc>
              <w:tc>
                <w:tcPr>
                  <w:tcW w:w="210" w:type="pct"/>
                  <w:vMerge w:val="restart"/>
                  <w:tcBorders>
                    <w:tl2br w:val="nil"/>
                    <w:tr2bl w:val="nil"/>
                  </w:tcBorders>
                  <w:shd w:val="clear" w:color="auto" w:fill="auto"/>
                  <w:vAlign w:val="center"/>
                </w:tcPr>
                <w:p w14:paraId="25D8573B">
                  <w:pPr>
                    <w:pStyle w:val="8"/>
                    <w:keepNext w:val="0"/>
                    <w:keepLines w:val="0"/>
                    <w:suppressLineNumbers w:val="0"/>
                    <w:bidi w:val="0"/>
                    <w:spacing w:before="0" w:beforeAutospacing="0" w:after="0" w:afterAutospacing="0"/>
                    <w:ind w:left="0" w:right="0"/>
                    <w:rPr>
                      <w:rFonts w:hint="default"/>
                    </w:rPr>
                  </w:pPr>
                  <w:r>
                    <w:rPr>
                      <w:rFonts w:hint="default"/>
                    </w:rPr>
                    <w:t>声源控制措施</w:t>
                  </w:r>
                </w:p>
              </w:tc>
              <w:tc>
                <w:tcPr>
                  <w:tcW w:w="571" w:type="pct"/>
                  <w:gridSpan w:val="3"/>
                  <w:tcBorders>
                    <w:tl2br w:val="nil"/>
                    <w:tr2bl w:val="nil"/>
                  </w:tcBorders>
                  <w:shd w:val="clear" w:color="auto" w:fill="auto"/>
                  <w:vAlign w:val="center"/>
                </w:tcPr>
                <w:p w14:paraId="46E22F88">
                  <w:pPr>
                    <w:pStyle w:val="8"/>
                    <w:keepNext w:val="0"/>
                    <w:keepLines w:val="0"/>
                    <w:suppressLineNumbers w:val="0"/>
                    <w:bidi w:val="0"/>
                    <w:spacing w:before="0" w:beforeAutospacing="0" w:after="0" w:afterAutospacing="0"/>
                    <w:ind w:left="0" w:right="0"/>
                    <w:rPr>
                      <w:rFonts w:hint="default"/>
                    </w:rPr>
                  </w:pPr>
                  <w:r>
                    <w:rPr>
                      <w:rFonts w:hint="default"/>
                    </w:rPr>
                    <w:t>空间相对位置/m</w:t>
                  </w:r>
                </w:p>
              </w:tc>
              <w:tc>
                <w:tcPr>
                  <w:tcW w:w="738" w:type="pct"/>
                  <w:gridSpan w:val="4"/>
                  <w:tcBorders>
                    <w:tl2br w:val="nil"/>
                    <w:tr2bl w:val="nil"/>
                  </w:tcBorders>
                  <w:shd w:val="clear" w:color="auto" w:fill="auto"/>
                  <w:vAlign w:val="center"/>
                </w:tcPr>
                <w:p w14:paraId="00663DCF">
                  <w:pPr>
                    <w:pStyle w:val="8"/>
                    <w:keepNext w:val="0"/>
                    <w:keepLines w:val="0"/>
                    <w:suppressLineNumbers w:val="0"/>
                    <w:bidi w:val="0"/>
                    <w:spacing w:before="0" w:beforeAutospacing="0" w:after="0" w:afterAutospacing="0"/>
                    <w:ind w:left="0" w:right="0"/>
                    <w:rPr>
                      <w:rFonts w:hint="default"/>
                    </w:rPr>
                  </w:pPr>
                  <w:r>
                    <w:rPr>
                      <w:rFonts w:hint="default"/>
                    </w:rPr>
                    <w:t>距室内边界距离/m</w:t>
                  </w:r>
                </w:p>
              </w:tc>
              <w:tc>
                <w:tcPr>
                  <w:tcW w:w="738" w:type="pct"/>
                  <w:gridSpan w:val="4"/>
                  <w:tcBorders>
                    <w:tl2br w:val="nil"/>
                    <w:tr2bl w:val="nil"/>
                  </w:tcBorders>
                  <w:shd w:val="clear" w:color="auto" w:fill="auto"/>
                  <w:vAlign w:val="center"/>
                </w:tcPr>
                <w:p w14:paraId="5B853E5D">
                  <w:pPr>
                    <w:pStyle w:val="8"/>
                    <w:keepNext w:val="0"/>
                    <w:keepLines w:val="0"/>
                    <w:suppressLineNumbers w:val="0"/>
                    <w:bidi w:val="0"/>
                    <w:spacing w:before="0" w:beforeAutospacing="0" w:after="0" w:afterAutospacing="0"/>
                    <w:ind w:left="0" w:right="0"/>
                    <w:rPr>
                      <w:rFonts w:hint="default"/>
                    </w:rPr>
                  </w:pPr>
                  <w:r>
                    <w:rPr>
                      <w:rFonts w:hint="default"/>
                    </w:rPr>
                    <w:t>室内边界声级/dB(A)</w:t>
                  </w:r>
                </w:p>
              </w:tc>
              <w:tc>
                <w:tcPr>
                  <w:tcW w:w="208" w:type="pct"/>
                  <w:vMerge w:val="restart"/>
                  <w:tcBorders>
                    <w:tl2br w:val="nil"/>
                    <w:tr2bl w:val="nil"/>
                  </w:tcBorders>
                  <w:shd w:val="clear" w:color="auto" w:fill="auto"/>
                  <w:vAlign w:val="center"/>
                </w:tcPr>
                <w:p w14:paraId="13C85071">
                  <w:pPr>
                    <w:pStyle w:val="8"/>
                    <w:keepNext w:val="0"/>
                    <w:keepLines w:val="0"/>
                    <w:suppressLineNumbers w:val="0"/>
                    <w:bidi w:val="0"/>
                    <w:spacing w:before="0" w:beforeAutospacing="0" w:after="0" w:afterAutospacing="0"/>
                    <w:ind w:left="0" w:right="0"/>
                    <w:rPr>
                      <w:rFonts w:hint="default"/>
                    </w:rPr>
                  </w:pPr>
                  <w:r>
                    <w:rPr>
                      <w:rFonts w:hint="default"/>
                    </w:rPr>
                    <w:t>运行时段</w:t>
                  </w:r>
                </w:p>
              </w:tc>
              <w:tc>
                <w:tcPr>
                  <w:tcW w:w="738" w:type="pct"/>
                  <w:gridSpan w:val="4"/>
                  <w:tcBorders>
                    <w:tl2br w:val="nil"/>
                    <w:tr2bl w:val="nil"/>
                  </w:tcBorders>
                  <w:shd w:val="clear" w:color="auto" w:fill="auto"/>
                  <w:vAlign w:val="center"/>
                </w:tcPr>
                <w:p w14:paraId="44D64196">
                  <w:pPr>
                    <w:pStyle w:val="8"/>
                    <w:keepNext w:val="0"/>
                    <w:keepLines w:val="0"/>
                    <w:suppressLineNumbers w:val="0"/>
                    <w:bidi w:val="0"/>
                    <w:spacing w:before="0" w:beforeAutospacing="0" w:after="0" w:afterAutospacing="0"/>
                    <w:ind w:left="0" w:right="0"/>
                    <w:rPr>
                      <w:rFonts w:hint="default"/>
                    </w:rPr>
                  </w:pPr>
                  <w:r>
                    <w:rPr>
                      <w:rFonts w:hint="default"/>
                    </w:rPr>
                    <w:t>建筑物插入损失 / dB(A)</w:t>
                  </w:r>
                  <w:bookmarkStart w:id="16" w:name="PT_10"/>
                  <w:bookmarkEnd w:id="16"/>
                </w:p>
              </w:tc>
              <w:tc>
                <w:tcPr>
                  <w:tcW w:w="846" w:type="pct"/>
                  <w:gridSpan w:val="5"/>
                  <w:tcBorders>
                    <w:tl2br w:val="nil"/>
                    <w:tr2bl w:val="nil"/>
                  </w:tcBorders>
                  <w:shd w:val="clear" w:color="auto" w:fill="auto"/>
                  <w:vAlign w:val="center"/>
                </w:tcPr>
                <w:p w14:paraId="7D21AA71">
                  <w:pPr>
                    <w:pStyle w:val="8"/>
                    <w:keepNext w:val="0"/>
                    <w:keepLines w:val="0"/>
                    <w:suppressLineNumbers w:val="0"/>
                    <w:bidi w:val="0"/>
                    <w:spacing w:before="0" w:beforeAutospacing="0" w:after="0" w:afterAutospacing="0"/>
                    <w:ind w:left="0" w:right="0"/>
                    <w:rPr>
                      <w:rFonts w:hint="default"/>
                    </w:rPr>
                  </w:pPr>
                  <w:r>
                    <w:rPr>
                      <w:rFonts w:hint="default"/>
                    </w:rPr>
                    <w:t>建筑物外噪声声压级/dB(A)</w:t>
                  </w:r>
                </w:p>
              </w:tc>
            </w:tr>
            <w:tr w14:paraId="60A95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vMerge w:val="continue"/>
                  <w:tcBorders>
                    <w:tl2br w:val="nil"/>
                    <w:tr2bl w:val="nil"/>
                  </w:tcBorders>
                  <w:shd w:val="clear" w:color="auto" w:fill="auto"/>
                  <w:tcMar>
                    <w:top w:w="0" w:type="dxa"/>
                    <w:left w:w="0" w:type="dxa"/>
                    <w:bottom w:w="0" w:type="dxa"/>
                    <w:right w:w="0" w:type="dxa"/>
                  </w:tcMar>
                  <w:vAlign w:val="center"/>
                </w:tcPr>
                <w:p w14:paraId="49D3F8B7">
                  <w:pPr>
                    <w:pStyle w:val="8"/>
                    <w:keepNext w:val="0"/>
                    <w:keepLines w:val="0"/>
                    <w:suppressLineNumbers w:val="0"/>
                    <w:bidi w:val="0"/>
                    <w:spacing w:before="0" w:beforeAutospacing="0" w:after="0" w:afterAutospacing="0"/>
                    <w:ind w:left="0" w:right="0"/>
                    <w:rPr>
                      <w:rFonts w:hint="default"/>
                      <w:lang w:val="en-US" w:eastAsia="zh-CN"/>
                    </w:rPr>
                  </w:pPr>
                </w:p>
              </w:tc>
              <w:tc>
                <w:tcPr>
                  <w:tcW w:w="208" w:type="pct"/>
                  <w:vMerge w:val="continue"/>
                  <w:tcBorders>
                    <w:tl2br w:val="nil"/>
                    <w:tr2bl w:val="nil"/>
                  </w:tcBorders>
                  <w:shd w:val="clear" w:color="auto" w:fill="auto"/>
                  <w:tcMar>
                    <w:top w:w="0" w:type="dxa"/>
                    <w:left w:w="0" w:type="dxa"/>
                    <w:bottom w:w="0" w:type="dxa"/>
                    <w:right w:w="0" w:type="dxa"/>
                  </w:tcMar>
                  <w:vAlign w:val="center"/>
                </w:tcPr>
                <w:p w14:paraId="0A0D6856">
                  <w:pPr>
                    <w:pStyle w:val="8"/>
                    <w:keepNext w:val="0"/>
                    <w:keepLines w:val="0"/>
                    <w:suppressLineNumbers w:val="0"/>
                    <w:bidi w:val="0"/>
                    <w:spacing w:before="0" w:beforeAutospacing="0" w:after="0" w:afterAutospacing="0"/>
                    <w:ind w:left="0" w:right="0"/>
                    <w:rPr>
                      <w:rFonts w:hint="default"/>
                    </w:rPr>
                  </w:pPr>
                </w:p>
              </w:tc>
              <w:tc>
                <w:tcPr>
                  <w:tcW w:w="236" w:type="pct"/>
                  <w:vMerge w:val="continue"/>
                  <w:tcBorders>
                    <w:tl2br w:val="nil"/>
                    <w:tr2bl w:val="nil"/>
                  </w:tcBorders>
                  <w:shd w:val="clear" w:color="auto" w:fill="auto"/>
                  <w:tcMar>
                    <w:top w:w="0" w:type="dxa"/>
                    <w:left w:w="0" w:type="dxa"/>
                    <w:bottom w:w="0" w:type="dxa"/>
                    <w:right w:w="0" w:type="dxa"/>
                  </w:tcMar>
                  <w:vAlign w:val="center"/>
                </w:tcPr>
                <w:p w14:paraId="629A5079">
                  <w:pPr>
                    <w:pStyle w:val="8"/>
                    <w:keepNext w:val="0"/>
                    <w:keepLines w:val="0"/>
                    <w:suppressLineNumbers w:val="0"/>
                    <w:bidi w:val="0"/>
                    <w:spacing w:before="0" w:beforeAutospacing="0" w:after="0" w:afterAutospacing="0"/>
                    <w:ind w:left="0" w:right="0"/>
                    <w:rPr>
                      <w:rFonts w:hint="default"/>
                    </w:rPr>
                  </w:pPr>
                </w:p>
              </w:tc>
              <w:tc>
                <w:tcPr>
                  <w:tcW w:w="295" w:type="pct"/>
                  <w:tcBorders>
                    <w:tl2br w:val="nil"/>
                    <w:tr2bl w:val="nil"/>
                  </w:tcBorders>
                  <w:shd w:val="clear" w:color="auto" w:fill="auto"/>
                  <w:tcMar>
                    <w:top w:w="0" w:type="dxa"/>
                    <w:left w:w="0" w:type="dxa"/>
                    <w:bottom w:w="0" w:type="dxa"/>
                    <w:right w:w="0" w:type="dxa"/>
                  </w:tcMar>
                  <w:vAlign w:val="center"/>
                </w:tcPr>
                <w:p w14:paraId="699BCD4E">
                  <w:pPr>
                    <w:pStyle w:val="8"/>
                    <w:keepNext w:val="0"/>
                    <w:keepLines w:val="0"/>
                    <w:suppressLineNumbers w:val="0"/>
                    <w:bidi w:val="0"/>
                    <w:spacing w:before="0" w:beforeAutospacing="0" w:after="0" w:afterAutospacing="0"/>
                    <w:ind w:left="0" w:right="0"/>
                    <w:rPr>
                      <w:rFonts w:hint="default"/>
                    </w:rPr>
                  </w:pPr>
                  <w:r>
                    <w:rPr>
                      <w:rFonts w:hint="default"/>
                    </w:rPr>
                    <w:t>声功率级/dB(A)</w:t>
                  </w:r>
                </w:p>
              </w:tc>
              <w:tc>
                <w:tcPr>
                  <w:tcW w:w="210" w:type="pct"/>
                  <w:vMerge w:val="continue"/>
                  <w:tcBorders>
                    <w:tl2br w:val="nil"/>
                    <w:tr2bl w:val="nil"/>
                  </w:tcBorders>
                  <w:shd w:val="clear" w:color="auto" w:fill="auto"/>
                  <w:tcMar>
                    <w:top w:w="0" w:type="dxa"/>
                    <w:left w:w="0" w:type="dxa"/>
                    <w:bottom w:w="0" w:type="dxa"/>
                    <w:right w:w="0" w:type="dxa"/>
                  </w:tcMar>
                  <w:vAlign w:val="center"/>
                </w:tcPr>
                <w:p w14:paraId="414512E0">
                  <w:pPr>
                    <w:pStyle w:val="8"/>
                    <w:keepNext w:val="0"/>
                    <w:keepLines w:val="0"/>
                    <w:suppressLineNumbers w:val="0"/>
                    <w:bidi w:val="0"/>
                    <w:spacing w:before="0" w:beforeAutospacing="0" w:after="0" w:afterAutospacing="0"/>
                    <w:ind w:left="0" w:right="0"/>
                    <w:rPr>
                      <w:rFonts w:hint="default"/>
                    </w:rPr>
                  </w:pPr>
                </w:p>
              </w:tc>
              <w:tc>
                <w:tcPr>
                  <w:tcW w:w="218" w:type="pct"/>
                  <w:tcBorders>
                    <w:tl2br w:val="nil"/>
                    <w:tr2bl w:val="nil"/>
                  </w:tcBorders>
                  <w:shd w:val="clear" w:color="auto" w:fill="auto"/>
                  <w:tcMar>
                    <w:top w:w="0" w:type="dxa"/>
                    <w:left w:w="0" w:type="dxa"/>
                    <w:bottom w:w="0" w:type="dxa"/>
                    <w:right w:w="0" w:type="dxa"/>
                  </w:tcMar>
                  <w:vAlign w:val="center"/>
                </w:tcPr>
                <w:p w14:paraId="1FEA6D10">
                  <w:pPr>
                    <w:pStyle w:val="8"/>
                    <w:keepNext w:val="0"/>
                    <w:keepLines w:val="0"/>
                    <w:suppressLineNumbers w:val="0"/>
                    <w:bidi w:val="0"/>
                    <w:spacing w:before="0" w:beforeAutospacing="0" w:after="0" w:afterAutospacing="0"/>
                    <w:ind w:left="0" w:right="0"/>
                    <w:rPr>
                      <w:rFonts w:hint="default"/>
                    </w:rPr>
                  </w:pPr>
                  <w:r>
                    <w:rPr>
                      <w:rFonts w:hint="default"/>
                    </w:rPr>
                    <w:t>X</w:t>
                  </w:r>
                </w:p>
              </w:tc>
              <w:tc>
                <w:tcPr>
                  <w:tcW w:w="218" w:type="pct"/>
                  <w:tcBorders>
                    <w:tl2br w:val="nil"/>
                    <w:tr2bl w:val="nil"/>
                  </w:tcBorders>
                  <w:shd w:val="clear" w:color="auto" w:fill="auto"/>
                  <w:tcMar>
                    <w:top w:w="0" w:type="dxa"/>
                    <w:left w:w="0" w:type="dxa"/>
                    <w:bottom w:w="0" w:type="dxa"/>
                    <w:right w:w="0" w:type="dxa"/>
                  </w:tcMar>
                  <w:vAlign w:val="center"/>
                </w:tcPr>
                <w:p w14:paraId="07A6CF65">
                  <w:pPr>
                    <w:pStyle w:val="8"/>
                    <w:keepNext w:val="0"/>
                    <w:keepLines w:val="0"/>
                    <w:suppressLineNumbers w:val="0"/>
                    <w:bidi w:val="0"/>
                    <w:spacing w:before="0" w:beforeAutospacing="0" w:after="0" w:afterAutospacing="0"/>
                    <w:ind w:left="0" w:right="0"/>
                    <w:rPr>
                      <w:rFonts w:hint="default"/>
                    </w:rPr>
                  </w:pPr>
                  <w:r>
                    <w:rPr>
                      <w:rFonts w:hint="default"/>
                    </w:rPr>
                    <w:t>Y</w:t>
                  </w:r>
                </w:p>
              </w:tc>
              <w:tc>
                <w:tcPr>
                  <w:tcW w:w="133" w:type="pct"/>
                  <w:tcBorders>
                    <w:tl2br w:val="nil"/>
                    <w:tr2bl w:val="nil"/>
                  </w:tcBorders>
                  <w:shd w:val="clear" w:color="auto" w:fill="auto"/>
                  <w:tcMar>
                    <w:top w:w="0" w:type="dxa"/>
                    <w:left w:w="0" w:type="dxa"/>
                    <w:bottom w:w="0" w:type="dxa"/>
                    <w:right w:w="0" w:type="dxa"/>
                  </w:tcMar>
                  <w:vAlign w:val="center"/>
                </w:tcPr>
                <w:p w14:paraId="74481B6F">
                  <w:pPr>
                    <w:pStyle w:val="8"/>
                    <w:keepNext w:val="0"/>
                    <w:keepLines w:val="0"/>
                    <w:suppressLineNumbers w:val="0"/>
                    <w:bidi w:val="0"/>
                    <w:spacing w:before="0" w:beforeAutospacing="0" w:after="0" w:afterAutospacing="0"/>
                    <w:ind w:left="0" w:right="0"/>
                    <w:rPr>
                      <w:rFonts w:hint="default"/>
                    </w:rPr>
                  </w:pPr>
                  <w:r>
                    <w:rPr>
                      <w:rFonts w:hint="default"/>
                    </w:rPr>
                    <w:t>Z</w:t>
                  </w:r>
                </w:p>
              </w:tc>
              <w:tc>
                <w:tcPr>
                  <w:tcW w:w="184" w:type="pct"/>
                  <w:tcBorders>
                    <w:tl2br w:val="nil"/>
                    <w:tr2bl w:val="nil"/>
                  </w:tcBorders>
                  <w:shd w:val="clear" w:color="auto" w:fill="auto"/>
                  <w:tcMar>
                    <w:top w:w="0" w:type="dxa"/>
                    <w:left w:w="0" w:type="dxa"/>
                    <w:bottom w:w="0" w:type="dxa"/>
                    <w:right w:w="0" w:type="dxa"/>
                  </w:tcMar>
                  <w:vAlign w:val="center"/>
                </w:tcPr>
                <w:p w14:paraId="103E4335">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东</w:t>
                  </w:r>
                </w:p>
              </w:tc>
              <w:tc>
                <w:tcPr>
                  <w:tcW w:w="184" w:type="pct"/>
                  <w:tcBorders>
                    <w:tl2br w:val="nil"/>
                    <w:tr2bl w:val="nil"/>
                  </w:tcBorders>
                  <w:shd w:val="clear" w:color="auto" w:fill="auto"/>
                  <w:tcMar>
                    <w:top w:w="0" w:type="dxa"/>
                    <w:left w:w="0" w:type="dxa"/>
                    <w:bottom w:w="0" w:type="dxa"/>
                    <w:right w:w="0" w:type="dxa"/>
                  </w:tcMar>
                  <w:vAlign w:val="center"/>
                </w:tcPr>
                <w:p w14:paraId="58518C39">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南</w:t>
                  </w:r>
                </w:p>
              </w:tc>
              <w:tc>
                <w:tcPr>
                  <w:tcW w:w="184" w:type="pct"/>
                  <w:tcBorders>
                    <w:tl2br w:val="nil"/>
                    <w:tr2bl w:val="nil"/>
                  </w:tcBorders>
                  <w:shd w:val="clear" w:color="auto" w:fill="auto"/>
                  <w:tcMar>
                    <w:top w:w="0" w:type="dxa"/>
                    <w:left w:w="0" w:type="dxa"/>
                    <w:bottom w:w="0" w:type="dxa"/>
                    <w:right w:w="0" w:type="dxa"/>
                  </w:tcMar>
                  <w:vAlign w:val="center"/>
                </w:tcPr>
                <w:p w14:paraId="57E54ACA">
                  <w:pPr>
                    <w:pStyle w:val="8"/>
                    <w:keepNext w:val="0"/>
                    <w:keepLines w:val="0"/>
                    <w:suppressLineNumbers w:val="0"/>
                    <w:bidi w:val="0"/>
                    <w:spacing w:before="0" w:beforeAutospacing="0" w:after="0" w:afterAutospacing="0"/>
                    <w:ind w:left="0" w:right="0"/>
                    <w:rPr>
                      <w:rFonts w:hint="default"/>
                    </w:rPr>
                  </w:pPr>
                  <w:r>
                    <w:rPr>
                      <w:rFonts w:hint="eastAsia"/>
                      <w:lang w:val="en-US" w:eastAsia="zh-CN"/>
                    </w:rPr>
                    <w:t>西</w:t>
                  </w:r>
                </w:p>
              </w:tc>
              <w:tc>
                <w:tcPr>
                  <w:tcW w:w="184" w:type="pct"/>
                  <w:tcBorders>
                    <w:tl2br w:val="nil"/>
                    <w:tr2bl w:val="nil"/>
                  </w:tcBorders>
                  <w:shd w:val="clear" w:color="auto" w:fill="auto"/>
                  <w:tcMar>
                    <w:top w:w="0" w:type="dxa"/>
                    <w:left w:w="0" w:type="dxa"/>
                    <w:bottom w:w="0" w:type="dxa"/>
                    <w:right w:w="0" w:type="dxa"/>
                  </w:tcMar>
                  <w:vAlign w:val="center"/>
                </w:tcPr>
                <w:p w14:paraId="3C0225B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北</w:t>
                  </w:r>
                </w:p>
              </w:tc>
              <w:tc>
                <w:tcPr>
                  <w:tcW w:w="184" w:type="pct"/>
                  <w:tcBorders>
                    <w:tl2br w:val="nil"/>
                    <w:tr2bl w:val="nil"/>
                  </w:tcBorders>
                  <w:shd w:val="clear" w:color="auto" w:fill="auto"/>
                  <w:tcMar>
                    <w:top w:w="0" w:type="dxa"/>
                    <w:left w:w="0" w:type="dxa"/>
                    <w:bottom w:w="0" w:type="dxa"/>
                    <w:right w:w="0" w:type="dxa"/>
                  </w:tcMar>
                  <w:vAlign w:val="center"/>
                </w:tcPr>
                <w:p w14:paraId="5BE18285">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东</w:t>
                  </w:r>
                </w:p>
              </w:tc>
              <w:tc>
                <w:tcPr>
                  <w:tcW w:w="184" w:type="pct"/>
                  <w:tcBorders>
                    <w:tl2br w:val="nil"/>
                    <w:tr2bl w:val="nil"/>
                  </w:tcBorders>
                  <w:shd w:val="clear" w:color="auto" w:fill="auto"/>
                  <w:tcMar>
                    <w:top w:w="0" w:type="dxa"/>
                    <w:left w:w="0" w:type="dxa"/>
                    <w:bottom w:w="0" w:type="dxa"/>
                    <w:right w:w="0" w:type="dxa"/>
                  </w:tcMar>
                  <w:vAlign w:val="center"/>
                </w:tcPr>
                <w:p w14:paraId="436806D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南</w:t>
                  </w:r>
                </w:p>
              </w:tc>
              <w:tc>
                <w:tcPr>
                  <w:tcW w:w="184" w:type="pct"/>
                  <w:tcBorders>
                    <w:tl2br w:val="nil"/>
                    <w:tr2bl w:val="nil"/>
                  </w:tcBorders>
                  <w:shd w:val="clear" w:color="auto" w:fill="auto"/>
                  <w:tcMar>
                    <w:top w:w="0" w:type="dxa"/>
                    <w:left w:w="0" w:type="dxa"/>
                    <w:bottom w:w="0" w:type="dxa"/>
                    <w:right w:w="0" w:type="dxa"/>
                  </w:tcMar>
                  <w:vAlign w:val="center"/>
                </w:tcPr>
                <w:p w14:paraId="74BE5A68">
                  <w:pPr>
                    <w:pStyle w:val="8"/>
                    <w:keepNext w:val="0"/>
                    <w:keepLines w:val="0"/>
                    <w:suppressLineNumbers w:val="0"/>
                    <w:bidi w:val="0"/>
                    <w:spacing w:before="0" w:beforeAutospacing="0" w:after="0" w:afterAutospacing="0"/>
                    <w:ind w:left="0" w:right="0"/>
                    <w:rPr>
                      <w:rFonts w:hint="default"/>
                    </w:rPr>
                  </w:pPr>
                  <w:r>
                    <w:rPr>
                      <w:rFonts w:hint="eastAsia"/>
                      <w:lang w:val="en-US" w:eastAsia="zh-CN"/>
                    </w:rPr>
                    <w:t>西</w:t>
                  </w:r>
                </w:p>
              </w:tc>
              <w:tc>
                <w:tcPr>
                  <w:tcW w:w="184" w:type="pct"/>
                  <w:tcBorders>
                    <w:tl2br w:val="nil"/>
                    <w:tr2bl w:val="nil"/>
                  </w:tcBorders>
                  <w:shd w:val="clear" w:color="auto" w:fill="auto"/>
                  <w:tcMar>
                    <w:top w:w="0" w:type="dxa"/>
                    <w:left w:w="0" w:type="dxa"/>
                    <w:bottom w:w="0" w:type="dxa"/>
                    <w:right w:w="0" w:type="dxa"/>
                  </w:tcMar>
                  <w:vAlign w:val="center"/>
                </w:tcPr>
                <w:p w14:paraId="58E30A90">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北</w:t>
                  </w:r>
                </w:p>
              </w:tc>
              <w:tc>
                <w:tcPr>
                  <w:tcW w:w="208" w:type="pct"/>
                  <w:vMerge w:val="continue"/>
                  <w:tcBorders>
                    <w:tl2br w:val="nil"/>
                    <w:tr2bl w:val="nil"/>
                  </w:tcBorders>
                  <w:shd w:val="clear" w:color="auto" w:fill="auto"/>
                  <w:tcMar>
                    <w:top w:w="0" w:type="dxa"/>
                    <w:left w:w="0" w:type="dxa"/>
                    <w:bottom w:w="0" w:type="dxa"/>
                    <w:right w:w="0" w:type="dxa"/>
                  </w:tcMar>
                  <w:vAlign w:val="center"/>
                </w:tcPr>
                <w:p w14:paraId="5343E4D5">
                  <w:pPr>
                    <w:pStyle w:val="8"/>
                    <w:keepNext w:val="0"/>
                    <w:keepLines w:val="0"/>
                    <w:suppressLineNumbers w:val="0"/>
                    <w:bidi w:val="0"/>
                    <w:spacing w:before="0" w:beforeAutospacing="0" w:after="0" w:afterAutospacing="0"/>
                    <w:ind w:left="0" w:right="0"/>
                    <w:rPr>
                      <w:rFonts w:hint="default"/>
                    </w:rPr>
                  </w:pPr>
                </w:p>
              </w:tc>
              <w:tc>
                <w:tcPr>
                  <w:tcW w:w="184" w:type="pct"/>
                  <w:tcBorders>
                    <w:tl2br w:val="nil"/>
                    <w:tr2bl w:val="nil"/>
                  </w:tcBorders>
                  <w:shd w:val="clear" w:color="auto" w:fill="auto"/>
                  <w:tcMar>
                    <w:top w:w="0" w:type="dxa"/>
                    <w:left w:w="0" w:type="dxa"/>
                    <w:bottom w:w="0" w:type="dxa"/>
                    <w:right w:w="0" w:type="dxa"/>
                  </w:tcMar>
                  <w:vAlign w:val="center"/>
                </w:tcPr>
                <w:p w14:paraId="5046F653">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东</w:t>
                  </w:r>
                </w:p>
              </w:tc>
              <w:tc>
                <w:tcPr>
                  <w:tcW w:w="184" w:type="pct"/>
                  <w:tcBorders>
                    <w:tl2br w:val="nil"/>
                    <w:tr2bl w:val="nil"/>
                  </w:tcBorders>
                  <w:shd w:val="clear" w:color="auto" w:fill="auto"/>
                  <w:tcMar>
                    <w:top w:w="0" w:type="dxa"/>
                    <w:left w:w="0" w:type="dxa"/>
                    <w:bottom w:w="0" w:type="dxa"/>
                    <w:right w:w="0" w:type="dxa"/>
                  </w:tcMar>
                  <w:vAlign w:val="center"/>
                </w:tcPr>
                <w:p w14:paraId="26625E5C">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南</w:t>
                  </w:r>
                </w:p>
              </w:tc>
              <w:tc>
                <w:tcPr>
                  <w:tcW w:w="184" w:type="pct"/>
                  <w:tcBorders>
                    <w:tl2br w:val="nil"/>
                    <w:tr2bl w:val="nil"/>
                  </w:tcBorders>
                  <w:shd w:val="clear" w:color="auto" w:fill="auto"/>
                  <w:tcMar>
                    <w:top w:w="0" w:type="dxa"/>
                    <w:left w:w="0" w:type="dxa"/>
                    <w:bottom w:w="0" w:type="dxa"/>
                    <w:right w:w="0" w:type="dxa"/>
                  </w:tcMar>
                  <w:vAlign w:val="center"/>
                </w:tcPr>
                <w:p w14:paraId="631A779D">
                  <w:pPr>
                    <w:pStyle w:val="8"/>
                    <w:keepNext w:val="0"/>
                    <w:keepLines w:val="0"/>
                    <w:suppressLineNumbers w:val="0"/>
                    <w:bidi w:val="0"/>
                    <w:spacing w:before="0" w:beforeAutospacing="0" w:after="0" w:afterAutospacing="0"/>
                    <w:ind w:left="0" w:right="0"/>
                    <w:rPr>
                      <w:rFonts w:hint="default"/>
                    </w:rPr>
                  </w:pPr>
                  <w:r>
                    <w:rPr>
                      <w:rFonts w:hint="eastAsia"/>
                      <w:lang w:val="en-US" w:eastAsia="zh-CN"/>
                    </w:rPr>
                    <w:t>西</w:t>
                  </w:r>
                </w:p>
              </w:tc>
              <w:tc>
                <w:tcPr>
                  <w:tcW w:w="184" w:type="pct"/>
                  <w:tcBorders>
                    <w:tl2br w:val="nil"/>
                    <w:tr2bl w:val="nil"/>
                  </w:tcBorders>
                  <w:shd w:val="clear" w:color="auto" w:fill="auto"/>
                  <w:tcMar>
                    <w:top w:w="0" w:type="dxa"/>
                    <w:left w:w="0" w:type="dxa"/>
                    <w:bottom w:w="0" w:type="dxa"/>
                    <w:right w:w="0" w:type="dxa"/>
                  </w:tcMar>
                  <w:vAlign w:val="center"/>
                </w:tcPr>
                <w:p w14:paraId="6BFF5B8B">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北</w:t>
                  </w:r>
                </w:p>
              </w:tc>
              <w:tc>
                <w:tcPr>
                  <w:tcW w:w="184" w:type="pct"/>
                  <w:tcBorders>
                    <w:tl2br w:val="nil"/>
                    <w:tr2bl w:val="nil"/>
                  </w:tcBorders>
                  <w:shd w:val="clear" w:color="auto" w:fill="auto"/>
                  <w:tcMar>
                    <w:top w:w="0" w:type="dxa"/>
                    <w:left w:w="0" w:type="dxa"/>
                    <w:bottom w:w="0" w:type="dxa"/>
                    <w:right w:w="0" w:type="dxa"/>
                  </w:tcMar>
                  <w:vAlign w:val="center"/>
                </w:tcPr>
                <w:p w14:paraId="5F84FEE5">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东</w:t>
                  </w:r>
                </w:p>
              </w:tc>
              <w:tc>
                <w:tcPr>
                  <w:tcW w:w="184" w:type="pct"/>
                  <w:tcBorders>
                    <w:tl2br w:val="nil"/>
                    <w:tr2bl w:val="nil"/>
                  </w:tcBorders>
                  <w:shd w:val="clear" w:color="auto" w:fill="auto"/>
                  <w:tcMar>
                    <w:top w:w="0" w:type="dxa"/>
                    <w:left w:w="0" w:type="dxa"/>
                    <w:bottom w:w="0" w:type="dxa"/>
                    <w:right w:w="0" w:type="dxa"/>
                  </w:tcMar>
                  <w:vAlign w:val="center"/>
                </w:tcPr>
                <w:p w14:paraId="2D61E46D">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南</w:t>
                  </w:r>
                </w:p>
              </w:tc>
              <w:tc>
                <w:tcPr>
                  <w:tcW w:w="184" w:type="pct"/>
                  <w:tcBorders>
                    <w:tl2br w:val="nil"/>
                    <w:tr2bl w:val="nil"/>
                  </w:tcBorders>
                  <w:shd w:val="clear" w:color="auto" w:fill="auto"/>
                  <w:tcMar>
                    <w:top w:w="0" w:type="dxa"/>
                    <w:left w:w="0" w:type="dxa"/>
                    <w:bottom w:w="0" w:type="dxa"/>
                    <w:right w:w="0" w:type="dxa"/>
                  </w:tcMar>
                  <w:vAlign w:val="center"/>
                </w:tcPr>
                <w:p w14:paraId="0427725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西</w:t>
                  </w:r>
                </w:p>
              </w:tc>
              <w:tc>
                <w:tcPr>
                  <w:tcW w:w="184" w:type="pct"/>
                  <w:tcBorders>
                    <w:tl2br w:val="nil"/>
                    <w:tr2bl w:val="nil"/>
                  </w:tcBorders>
                  <w:shd w:val="clear" w:color="auto" w:fill="auto"/>
                  <w:tcMar>
                    <w:top w:w="0" w:type="dxa"/>
                    <w:left w:w="0" w:type="dxa"/>
                    <w:bottom w:w="0" w:type="dxa"/>
                    <w:right w:w="0" w:type="dxa"/>
                  </w:tcMar>
                  <w:vAlign w:val="center"/>
                </w:tcPr>
                <w:p w14:paraId="680615C7">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北</w:t>
                  </w:r>
                </w:p>
              </w:tc>
              <w:tc>
                <w:tcPr>
                  <w:tcW w:w="107" w:type="pct"/>
                  <w:tcBorders>
                    <w:tl2br w:val="nil"/>
                    <w:tr2bl w:val="nil"/>
                  </w:tcBorders>
                  <w:shd w:val="clear" w:color="auto" w:fill="auto"/>
                  <w:tcMar>
                    <w:top w:w="0" w:type="dxa"/>
                    <w:left w:w="0" w:type="dxa"/>
                    <w:bottom w:w="0" w:type="dxa"/>
                    <w:right w:w="0" w:type="dxa"/>
                  </w:tcMar>
                  <w:vAlign w:val="center"/>
                </w:tcPr>
                <w:p w14:paraId="2F47C81C">
                  <w:pPr>
                    <w:pStyle w:val="8"/>
                    <w:keepNext w:val="0"/>
                    <w:keepLines w:val="0"/>
                    <w:suppressLineNumbers w:val="0"/>
                    <w:bidi w:val="0"/>
                    <w:spacing w:before="0" w:beforeAutospacing="0" w:after="0" w:afterAutospacing="0"/>
                    <w:ind w:left="0" w:right="0"/>
                    <w:rPr>
                      <w:rFonts w:hint="default"/>
                    </w:rPr>
                  </w:pPr>
                  <w:r>
                    <w:rPr>
                      <w:rFonts w:hint="default"/>
                    </w:rPr>
                    <w:t>建筑物外距离</w:t>
                  </w:r>
                </w:p>
              </w:tc>
            </w:tr>
            <w:tr w14:paraId="29B99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65004A9A">
                  <w:pPr>
                    <w:pStyle w:val="8"/>
                    <w:keepNext w:val="0"/>
                    <w:keepLines w:val="0"/>
                    <w:suppressLineNumbers w:val="0"/>
                    <w:bidi w:val="0"/>
                    <w:spacing w:before="0" w:beforeAutospacing="0" w:after="0" w:afterAutospacing="0"/>
                    <w:ind w:left="0" w:right="0"/>
                    <w:rPr>
                      <w:rFonts w:hint="default"/>
                    </w:rPr>
                  </w:pPr>
                  <w:r>
                    <w:rPr>
                      <w:rFonts w:hint="default"/>
                    </w:rPr>
                    <w:t>1</w:t>
                  </w:r>
                </w:p>
              </w:tc>
              <w:tc>
                <w:tcPr>
                  <w:tcW w:w="208" w:type="pct"/>
                  <w:tcBorders>
                    <w:tl2br w:val="nil"/>
                    <w:tr2bl w:val="nil"/>
                  </w:tcBorders>
                  <w:shd w:val="clear" w:color="auto" w:fill="auto"/>
                  <w:tcMar>
                    <w:top w:w="0" w:type="dxa"/>
                    <w:left w:w="0" w:type="dxa"/>
                    <w:bottom w:w="0" w:type="dxa"/>
                    <w:right w:w="0" w:type="dxa"/>
                  </w:tcMar>
                  <w:vAlign w:val="center"/>
                </w:tcPr>
                <w:p w14:paraId="4732C4AF">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381F60D4">
                  <w:pPr>
                    <w:pStyle w:val="8"/>
                    <w:keepNext w:val="0"/>
                    <w:keepLines w:val="0"/>
                    <w:suppressLineNumbers w:val="0"/>
                    <w:bidi w:val="0"/>
                    <w:spacing w:before="0" w:beforeAutospacing="0" w:after="0" w:afterAutospacing="0"/>
                    <w:ind w:left="0" w:right="0"/>
                    <w:rPr>
                      <w:rFonts w:hint="default"/>
                    </w:rPr>
                  </w:pPr>
                  <w:r>
                    <w:rPr>
                      <w:rFonts w:hint="default"/>
                    </w:rPr>
                    <w:t>浸出器,4台（按点声源组预测）</w:t>
                  </w:r>
                </w:p>
              </w:tc>
              <w:tc>
                <w:tcPr>
                  <w:tcW w:w="295" w:type="pct"/>
                  <w:tcBorders>
                    <w:tl2br w:val="nil"/>
                    <w:tr2bl w:val="nil"/>
                  </w:tcBorders>
                  <w:shd w:val="clear" w:color="auto" w:fill="auto"/>
                  <w:tcMar>
                    <w:top w:w="0" w:type="dxa"/>
                    <w:left w:w="0" w:type="dxa"/>
                    <w:bottom w:w="0" w:type="dxa"/>
                    <w:right w:w="0" w:type="dxa"/>
                  </w:tcMar>
                  <w:vAlign w:val="center"/>
                </w:tcPr>
                <w:p w14:paraId="3F0BCAFD">
                  <w:pPr>
                    <w:pStyle w:val="8"/>
                    <w:keepNext w:val="0"/>
                    <w:keepLines w:val="0"/>
                    <w:suppressLineNumbers w:val="0"/>
                    <w:bidi w:val="0"/>
                    <w:spacing w:before="0" w:beforeAutospacing="0" w:after="0" w:afterAutospacing="0"/>
                    <w:ind w:left="0" w:right="0"/>
                    <w:rPr>
                      <w:rFonts w:hint="default"/>
                    </w:rPr>
                  </w:pPr>
                  <w:r>
                    <w:rPr>
                      <w:rFonts w:hint="default"/>
                    </w:rPr>
                    <w:t>80（等效后：86.0)</w:t>
                  </w:r>
                </w:p>
              </w:tc>
              <w:tc>
                <w:tcPr>
                  <w:tcW w:w="210" w:type="pct"/>
                  <w:tcBorders>
                    <w:tl2br w:val="nil"/>
                    <w:tr2bl w:val="nil"/>
                  </w:tcBorders>
                  <w:shd w:val="clear" w:color="auto" w:fill="auto"/>
                  <w:tcMar>
                    <w:top w:w="0" w:type="dxa"/>
                    <w:left w:w="0" w:type="dxa"/>
                    <w:bottom w:w="0" w:type="dxa"/>
                    <w:right w:w="0" w:type="dxa"/>
                  </w:tcMar>
                  <w:vAlign w:val="center"/>
                </w:tcPr>
                <w:p w14:paraId="2B05EC24">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591E6AC9">
                  <w:pPr>
                    <w:pStyle w:val="8"/>
                    <w:keepNext w:val="0"/>
                    <w:keepLines w:val="0"/>
                    <w:suppressLineNumbers w:val="0"/>
                    <w:bidi w:val="0"/>
                    <w:spacing w:before="0" w:beforeAutospacing="0" w:after="0" w:afterAutospacing="0"/>
                    <w:ind w:left="0" w:right="0"/>
                    <w:rPr>
                      <w:rFonts w:hint="default"/>
                    </w:rPr>
                  </w:pPr>
                  <w:r>
                    <w:rPr>
                      <w:rFonts w:hint="default"/>
                    </w:rPr>
                    <w:t>6.9</w:t>
                  </w:r>
                </w:p>
              </w:tc>
              <w:tc>
                <w:tcPr>
                  <w:tcW w:w="218" w:type="pct"/>
                  <w:tcBorders>
                    <w:tl2br w:val="nil"/>
                    <w:tr2bl w:val="nil"/>
                  </w:tcBorders>
                  <w:shd w:val="clear" w:color="auto" w:fill="auto"/>
                  <w:tcMar>
                    <w:top w:w="0" w:type="dxa"/>
                    <w:left w:w="0" w:type="dxa"/>
                    <w:bottom w:w="0" w:type="dxa"/>
                    <w:right w:w="0" w:type="dxa"/>
                  </w:tcMar>
                  <w:vAlign w:val="center"/>
                </w:tcPr>
                <w:p w14:paraId="52E7EC07">
                  <w:pPr>
                    <w:pStyle w:val="8"/>
                    <w:keepNext w:val="0"/>
                    <w:keepLines w:val="0"/>
                    <w:suppressLineNumbers w:val="0"/>
                    <w:bidi w:val="0"/>
                    <w:spacing w:before="0" w:beforeAutospacing="0" w:after="0" w:afterAutospacing="0"/>
                    <w:ind w:left="0" w:right="0"/>
                    <w:rPr>
                      <w:rFonts w:hint="default"/>
                    </w:rPr>
                  </w:pPr>
                  <w:r>
                    <w:rPr>
                      <w:rFonts w:hint="default"/>
                    </w:rPr>
                    <w:t>-11.1</w:t>
                  </w:r>
                </w:p>
              </w:tc>
              <w:tc>
                <w:tcPr>
                  <w:tcW w:w="133" w:type="pct"/>
                  <w:tcBorders>
                    <w:tl2br w:val="nil"/>
                    <w:tr2bl w:val="nil"/>
                  </w:tcBorders>
                  <w:shd w:val="clear" w:color="auto" w:fill="auto"/>
                  <w:tcMar>
                    <w:top w:w="0" w:type="dxa"/>
                    <w:left w:w="0" w:type="dxa"/>
                    <w:bottom w:w="0" w:type="dxa"/>
                    <w:right w:w="0" w:type="dxa"/>
                  </w:tcMar>
                  <w:vAlign w:val="center"/>
                </w:tcPr>
                <w:p w14:paraId="4C013593">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52279261">
                  <w:pPr>
                    <w:pStyle w:val="8"/>
                    <w:keepNext w:val="0"/>
                    <w:keepLines w:val="0"/>
                    <w:suppressLineNumbers w:val="0"/>
                    <w:bidi w:val="0"/>
                    <w:spacing w:before="0" w:beforeAutospacing="0" w:after="0" w:afterAutospacing="0"/>
                    <w:ind w:left="0" w:right="0"/>
                    <w:rPr>
                      <w:rFonts w:hint="default"/>
                    </w:rPr>
                  </w:pPr>
                  <w:r>
                    <w:rPr>
                      <w:rFonts w:hint="default"/>
                    </w:rPr>
                    <w:t>59.8</w:t>
                  </w:r>
                </w:p>
              </w:tc>
              <w:tc>
                <w:tcPr>
                  <w:tcW w:w="184" w:type="pct"/>
                  <w:tcBorders>
                    <w:tl2br w:val="nil"/>
                    <w:tr2bl w:val="nil"/>
                  </w:tcBorders>
                  <w:shd w:val="clear" w:color="auto" w:fill="auto"/>
                  <w:tcMar>
                    <w:top w:w="0" w:type="dxa"/>
                    <w:left w:w="0" w:type="dxa"/>
                    <w:bottom w:w="0" w:type="dxa"/>
                    <w:right w:w="0" w:type="dxa"/>
                  </w:tcMar>
                  <w:vAlign w:val="center"/>
                </w:tcPr>
                <w:p w14:paraId="2F87997F">
                  <w:pPr>
                    <w:pStyle w:val="8"/>
                    <w:keepNext w:val="0"/>
                    <w:keepLines w:val="0"/>
                    <w:suppressLineNumbers w:val="0"/>
                    <w:bidi w:val="0"/>
                    <w:spacing w:before="0" w:beforeAutospacing="0" w:after="0" w:afterAutospacing="0"/>
                    <w:ind w:left="0" w:right="0"/>
                    <w:rPr>
                      <w:rFonts w:hint="default"/>
                    </w:rPr>
                  </w:pPr>
                  <w:r>
                    <w:rPr>
                      <w:rFonts w:hint="default"/>
                    </w:rPr>
                    <w:t>26.5</w:t>
                  </w:r>
                </w:p>
              </w:tc>
              <w:tc>
                <w:tcPr>
                  <w:tcW w:w="184" w:type="pct"/>
                  <w:tcBorders>
                    <w:tl2br w:val="nil"/>
                    <w:tr2bl w:val="nil"/>
                  </w:tcBorders>
                  <w:shd w:val="clear" w:color="auto" w:fill="auto"/>
                  <w:tcMar>
                    <w:top w:w="0" w:type="dxa"/>
                    <w:left w:w="0" w:type="dxa"/>
                    <w:bottom w:w="0" w:type="dxa"/>
                    <w:right w:w="0" w:type="dxa"/>
                  </w:tcMar>
                  <w:vAlign w:val="center"/>
                </w:tcPr>
                <w:p w14:paraId="0507E6E2">
                  <w:pPr>
                    <w:pStyle w:val="8"/>
                    <w:keepNext w:val="0"/>
                    <w:keepLines w:val="0"/>
                    <w:suppressLineNumbers w:val="0"/>
                    <w:bidi w:val="0"/>
                    <w:spacing w:before="0" w:beforeAutospacing="0" w:after="0" w:afterAutospacing="0"/>
                    <w:ind w:left="0" w:right="0"/>
                    <w:rPr>
                      <w:rFonts w:hint="default"/>
                    </w:rPr>
                  </w:pPr>
                  <w:r>
                    <w:rPr>
                      <w:rFonts w:hint="default"/>
                    </w:rPr>
                    <w:t>26.4</w:t>
                  </w:r>
                </w:p>
              </w:tc>
              <w:tc>
                <w:tcPr>
                  <w:tcW w:w="184" w:type="pct"/>
                  <w:tcBorders>
                    <w:tl2br w:val="nil"/>
                    <w:tr2bl w:val="nil"/>
                  </w:tcBorders>
                  <w:shd w:val="clear" w:color="auto" w:fill="auto"/>
                  <w:tcMar>
                    <w:top w:w="0" w:type="dxa"/>
                    <w:left w:w="0" w:type="dxa"/>
                    <w:bottom w:w="0" w:type="dxa"/>
                    <w:right w:w="0" w:type="dxa"/>
                  </w:tcMar>
                  <w:vAlign w:val="center"/>
                </w:tcPr>
                <w:p w14:paraId="07853BAB">
                  <w:pPr>
                    <w:pStyle w:val="8"/>
                    <w:keepNext w:val="0"/>
                    <w:keepLines w:val="0"/>
                    <w:suppressLineNumbers w:val="0"/>
                    <w:bidi w:val="0"/>
                    <w:spacing w:before="0" w:beforeAutospacing="0" w:after="0" w:afterAutospacing="0"/>
                    <w:ind w:left="0" w:right="0"/>
                    <w:rPr>
                      <w:rFonts w:hint="default"/>
                    </w:rPr>
                  </w:pPr>
                  <w:r>
                    <w:rPr>
                      <w:rFonts w:hint="default"/>
                    </w:rPr>
                    <w:t>22.0</w:t>
                  </w:r>
                </w:p>
              </w:tc>
              <w:tc>
                <w:tcPr>
                  <w:tcW w:w="184" w:type="pct"/>
                  <w:tcBorders>
                    <w:tl2br w:val="nil"/>
                    <w:tr2bl w:val="nil"/>
                  </w:tcBorders>
                  <w:shd w:val="clear" w:color="auto" w:fill="auto"/>
                  <w:tcMar>
                    <w:top w:w="0" w:type="dxa"/>
                    <w:left w:w="0" w:type="dxa"/>
                    <w:bottom w:w="0" w:type="dxa"/>
                    <w:right w:w="0" w:type="dxa"/>
                  </w:tcMar>
                  <w:vAlign w:val="center"/>
                </w:tcPr>
                <w:p w14:paraId="4F0D45D1">
                  <w:pPr>
                    <w:pStyle w:val="8"/>
                    <w:keepNext w:val="0"/>
                    <w:keepLines w:val="0"/>
                    <w:suppressLineNumbers w:val="0"/>
                    <w:bidi w:val="0"/>
                    <w:spacing w:before="0" w:beforeAutospacing="0" w:after="0" w:afterAutospacing="0"/>
                    <w:ind w:left="0" w:right="0"/>
                    <w:rPr>
                      <w:rFonts w:hint="default"/>
                    </w:rPr>
                  </w:pPr>
                  <w:r>
                    <w:rPr>
                      <w:rFonts w:hint="default"/>
                    </w:rPr>
                    <w:t>67.6</w:t>
                  </w:r>
                </w:p>
              </w:tc>
              <w:tc>
                <w:tcPr>
                  <w:tcW w:w="184" w:type="pct"/>
                  <w:tcBorders>
                    <w:tl2br w:val="nil"/>
                    <w:tr2bl w:val="nil"/>
                  </w:tcBorders>
                  <w:shd w:val="clear" w:color="auto" w:fill="auto"/>
                  <w:tcMar>
                    <w:top w:w="0" w:type="dxa"/>
                    <w:left w:w="0" w:type="dxa"/>
                    <w:bottom w:w="0" w:type="dxa"/>
                    <w:right w:w="0" w:type="dxa"/>
                  </w:tcMar>
                  <w:vAlign w:val="center"/>
                </w:tcPr>
                <w:p w14:paraId="084509BD">
                  <w:pPr>
                    <w:pStyle w:val="8"/>
                    <w:keepNext w:val="0"/>
                    <w:keepLines w:val="0"/>
                    <w:suppressLineNumbers w:val="0"/>
                    <w:bidi w:val="0"/>
                    <w:spacing w:before="0" w:beforeAutospacing="0" w:after="0" w:afterAutospacing="0"/>
                    <w:ind w:left="0" w:right="0"/>
                    <w:rPr>
                      <w:rFonts w:hint="default"/>
                    </w:rPr>
                  </w:pPr>
                  <w:r>
                    <w:rPr>
                      <w:rFonts w:hint="default"/>
                    </w:rPr>
                    <w:t>67.7</w:t>
                  </w:r>
                </w:p>
              </w:tc>
              <w:tc>
                <w:tcPr>
                  <w:tcW w:w="184" w:type="pct"/>
                  <w:tcBorders>
                    <w:tl2br w:val="nil"/>
                    <w:tr2bl w:val="nil"/>
                  </w:tcBorders>
                  <w:shd w:val="clear" w:color="auto" w:fill="auto"/>
                  <w:tcMar>
                    <w:top w:w="0" w:type="dxa"/>
                    <w:left w:w="0" w:type="dxa"/>
                    <w:bottom w:w="0" w:type="dxa"/>
                    <w:right w:w="0" w:type="dxa"/>
                  </w:tcMar>
                  <w:vAlign w:val="center"/>
                </w:tcPr>
                <w:p w14:paraId="1AC46670">
                  <w:pPr>
                    <w:pStyle w:val="8"/>
                    <w:keepNext w:val="0"/>
                    <w:keepLines w:val="0"/>
                    <w:suppressLineNumbers w:val="0"/>
                    <w:bidi w:val="0"/>
                    <w:spacing w:before="0" w:beforeAutospacing="0" w:after="0" w:afterAutospacing="0"/>
                    <w:ind w:left="0" w:right="0"/>
                    <w:rPr>
                      <w:rFonts w:hint="default"/>
                    </w:rPr>
                  </w:pPr>
                  <w:r>
                    <w:rPr>
                      <w:rFonts w:hint="default"/>
                    </w:rPr>
                    <w:t>67.7</w:t>
                  </w:r>
                </w:p>
              </w:tc>
              <w:tc>
                <w:tcPr>
                  <w:tcW w:w="184" w:type="pct"/>
                  <w:tcBorders>
                    <w:tl2br w:val="nil"/>
                    <w:tr2bl w:val="nil"/>
                  </w:tcBorders>
                  <w:shd w:val="clear" w:color="auto" w:fill="auto"/>
                  <w:tcMar>
                    <w:top w:w="0" w:type="dxa"/>
                    <w:left w:w="0" w:type="dxa"/>
                    <w:bottom w:w="0" w:type="dxa"/>
                    <w:right w:w="0" w:type="dxa"/>
                  </w:tcMar>
                  <w:vAlign w:val="center"/>
                </w:tcPr>
                <w:p w14:paraId="4239C14F">
                  <w:pPr>
                    <w:pStyle w:val="8"/>
                    <w:keepNext w:val="0"/>
                    <w:keepLines w:val="0"/>
                    <w:suppressLineNumbers w:val="0"/>
                    <w:bidi w:val="0"/>
                    <w:spacing w:before="0" w:beforeAutospacing="0" w:after="0" w:afterAutospacing="0"/>
                    <w:ind w:left="0" w:right="0"/>
                    <w:rPr>
                      <w:rFonts w:hint="default"/>
                    </w:rPr>
                  </w:pPr>
                  <w:r>
                    <w:rPr>
                      <w:rFonts w:hint="default"/>
                    </w:rPr>
                    <w:t>67.7</w:t>
                  </w:r>
                </w:p>
              </w:tc>
              <w:tc>
                <w:tcPr>
                  <w:tcW w:w="208" w:type="pct"/>
                  <w:tcBorders>
                    <w:tl2br w:val="nil"/>
                    <w:tr2bl w:val="nil"/>
                  </w:tcBorders>
                  <w:shd w:val="clear" w:color="auto" w:fill="auto"/>
                  <w:tcMar>
                    <w:top w:w="0" w:type="dxa"/>
                    <w:left w:w="0" w:type="dxa"/>
                    <w:bottom w:w="0" w:type="dxa"/>
                    <w:right w:w="0" w:type="dxa"/>
                  </w:tcMar>
                  <w:vAlign w:val="center"/>
                </w:tcPr>
                <w:p w14:paraId="6130E8DD">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11502C04">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7E236BB">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1E7C559">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61B0139">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DA83D0C">
                  <w:pPr>
                    <w:pStyle w:val="8"/>
                    <w:keepNext w:val="0"/>
                    <w:keepLines w:val="0"/>
                    <w:suppressLineNumbers w:val="0"/>
                    <w:bidi w:val="0"/>
                    <w:spacing w:before="0" w:beforeAutospacing="0" w:after="0" w:afterAutospacing="0"/>
                    <w:ind w:left="0" w:right="0"/>
                    <w:rPr>
                      <w:rFonts w:hint="default"/>
                    </w:rPr>
                  </w:pPr>
                  <w:r>
                    <w:rPr>
                      <w:rFonts w:hint="default"/>
                    </w:rPr>
                    <w:t>41.6</w:t>
                  </w:r>
                </w:p>
              </w:tc>
              <w:tc>
                <w:tcPr>
                  <w:tcW w:w="184" w:type="pct"/>
                  <w:tcBorders>
                    <w:tl2br w:val="nil"/>
                    <w:tr2bl w:val="nil"/>
                  </w:tcBorders>
                  <w:shd w:val="clear" w:color="auto" w:fill="auto"/>
                  <w:tcMar>
                    <w:top w:w="0" w:type="dxa"/>
                    <w:left w:w="0" w:type="dxa"/>
                    <w:bottom w:w="0" w:type="dxa"/>
                    <w:right w:w="0" w:type="dxa"/>
                  </w:tcMar>
                  <w:vAlign w:val="center"/>
                </w:tcPr>
                <w:p w14:paraId="2B03884D">
                  <w:pPr>
                    <w:pStyle w:val="8"/>
                    <w:keepNext w:val="0"/>
                    <w:keepLines w:val="0"/>
                    <w:suppressLineNumbers w:val="0"/>
                    <w:bidi w:val="0"/>
                    <w:spacing w:before="0" w:beforeAutospacing="0" w:after="0" w:afterAutospacing="0"/>
                    <w:ind w:left="0" w:right="0"/>
                    <w:rPr>
                      <w:rFonts w:hint="default"/>
                    </w:rPr>
                  </w:pPr>
                  <w:r>
                    <w:rPr>
                      <w:rFonts w:hint="default"/>
                    </w:rPr>
                    <w:t>41.7</w:t>
                  </w:r>
                </w:p>
              </w:tc>
              <w:tc>
                <w:tcPr>
                  <w:tcW w:w="184" w:type="pct"/>
                  <w:tcBorders>
                    <w:tl2br w:val="nil"/>
                    <w:tr2bl w:val="nil"/>
                  </w:tcBorders>
                  <w:shd w:val="clear" w:color="auto" w:fill="auto"/>
                  <w:tcMar>
                    <w:top w:w="0" w:type="dxa"/>
                    <w:left w:w="0" w:type="dxa"/>
                    <w:bottom w:w="0" w:type="dxa"/>
                    <w:right w:w="0" w:type="dxa"/>
                  </w:tcMar>
                  <w:vAlign w:val="center"/>
                </w:tcPr>
                <w:p w14:paraId="0079B4D0">
                  <w:pPr>
                    <w:pStyle w:val="8"/>
                    <w:keepNext w:val="0"/>
                    <w:keepLines w:val="0"/>
                    <w:suppressLineNumbers w:val="0"/>
                    <w:bidi w:val="0"/>
                    <w:spacing w:before="0" w:beforeAutospacing="0" w:after="0" w:afterAutospacing="0"/>
                    <w:ind w:left="0" w:right="0"/>
                    <w:rPr>
                      <w:rFonts w:hint="default"/>
                    </w:rPr>
                  </w:pPr>
                  <w:r>
                    <w:rPr>
                      <w:rFonts w:hint="default"/>
                    </w:rPr>
                    <w:t>41.7</w:t>
                  </w:r>
                </w:p>
              </w:tc>
              <w:tc>
                <w:tcPr>
                  <w:tcW w:w="184" w:type="pct"/>
                  <w:tcBorders>
                    <w:tl2br w:val="nil"/>
                    <w:tr2bl w:val="nil"/>
                  </w:tcBorders>
                  <w:shd w:val="clear" w:color="auto" w:fill="auto"/>
                  <w:tcMar>
                    <w:top w:w="0" w:type="dxa"/>
                    <w:left w:w="0" w:type="dxa"/>
                    <w:bottom w:w="0" w:type="dxa"/>
                    <w:right w:w="0" w:type="dxa"/>
                  </w:tcMar>
                  <w:vAlign w:val="center"/>
                </w:tcPr>
                <w:p w14:paraId="4C5C8D48">
                  <w:pPr>
                    <w:pStyle w:val="8"/>
                    <w:keepNext w:val="0"/>
                    <w:keepLines w:val="0"/>
                    <w:suppressLineNumbers w:val="0"/>
                    <w:bidi w:val="0"/>
                    <w:spacing w:before="0" w:beforeAutospacing="0" w:after="0" w:afterAutospacing="0"/>
                    <w:ind w:left="0" w:right="0"/>
                    <w:rPr>
                      <w:rFonts w:hint="default"/>
                    </w:rPr>
                  </w:pPr>
                  <w:r>
                    <w:rPr>
                      <w:rFonts w:hint="default"/>
                    </w:rPr>
                    <w:t>41.7</w:t>
                  </w:r>
                </w:p>
              </w:tc>
              <w:tc>
                <w:tcPr>
                  <w:tcW w:w="107" w:type="pct"/>
                  <w:tcBorders>
                    <w:tl2br w:val="nil"/>
                    <w:tr2bl w:val="nil"/>
                  </w:tcBorders>
                  <w:shd w:val="clear" w:color="auto" w:fill="auto"/>
                  <w:tcMar>
                    <w:top w:w="0" w:type="dxa"/>
                    <w:left w:w="0" w:type="dxa"/>
                    <w:bottom w:w="0" w:type="dxa"/>
                    <w:right w:w="0" w:type="dxa"/>
                  </w:tcMar>
                  <w:vAlign w:val="center"/>
                </w:tcPr>
                <w:p w14:paraId="7278D8C7">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72F75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3A0FC06C">
                  <w:pPr>
                    <w:pStyle w:val="8"/>
                    <w:keepNext w:val="0"/>
                    <w:keepLines w:val="0"/>
                    <w:suppressLineNumbers w:val="0"/>
                    <w:bidi w:val="0"/>
                    <w:spacing w:before="0" w:beforeAutospacing="0" w:after="0" w:afterAutospacing="0"/>
                    <w:ind w:left="0" w:right="0"/>
                    <w:rPr>
                      <w:rFonts w:hint="default"/>
                    </w:rPr>
                  </w:pPr>
                  <w:r>
                    <w:rPr>
                      <w:rFonts w:hint="default"/>
                    </w:rPr>
                    <w:t>2</w:t>
                  </w:r>
                </w:p>
              </w:tc>
              <w:tc>
                <w:tcPr>
                  <w:tcW w:w="208" w:type="pct"/>
                  <w:tcBorders>
                    <w:tl2br w:val="nil"/>
                    <w:tr2bl w:val="nil"/>
                  </w:tcBorders>
                  <w:shd w:val="clear" w:color="auto" w:fill="auto"/>
                  <w:tcMar>
                    <w:top w:w="0" w:type="dxa"/>
                    <w:left w:w="0" w:type="dxa"/>
                    <w:bottom w:w="0" w:type="dxa"/>
                    <w:right w:w="0" w:type="dxa"/>
                  </w:tcMar>
                  <w:vAlign w:val="center"/>
                </w:tcPr>
                <w:p w14:paraId="6ED7D104">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497251FE">
                  <w:pPr>
                    <w:pStyle w:val="8"/>
                    <w:keepNext w:val="0"/>
                    <w:keepLines w:val="0"/>
                    <w:suppressLineNumbers w:val="0"/>
                    <w:bidi w:val="0"/>
                    <w:spacing w:before="0" w:beforeAutospacing="0" w:after="0" w:afterAutospacing="0"/>
                    <w:ind w:left="0" w:right="0"/>
                    <w:rPr>
                      <w:rFonts w:hint="default"/>
                    </w:rPr>
                  </w:pPr>
                  <w:r>
                    <w:rPr>
                      <w:rFonts w:hint="default"/>
                    </w:rPr>
                    <w:t>蒸脱机,2台（按点声源组预测）</w:t>
                  </w:r>
                </w:p>
              </w:tc>
              <w:tc>
                <w:tcPr>
                  <w:tcW w:w="295" w:type="pct"/>
                  <w:tcBorders>
                    <w:tl2br w:val="nil"/>
                    <w:tr2bl w:val="nil"/>
                  </w:tcBorders>
                  <w:shd w:val="clear" w:color="auto" w:fill="auto"/>
                  <w:tcMar>
                    <w:top w:w="0" w:type="dxa"/>
                    <w:left w:w="0" w:type="dxa"/>
                    <w:bottom w:w="0" w:type="dxa"/>
                    <w:right w:w="0" w:type="dxa"/>
                  </w:tcMar>
                  <w:vAlign w:val="center"/>
                </w:tcPr>
                <w:p w14:paraId="7FDD236E">
                  <w:pPr>
                    <w:pStyle w:val="8"/>
                    <w:keepNext w:val="0"/>
                    <w:keepLines w:val="0"/>
                    <w:suppressLineNumbers w:val="0"/>
                    <w:bidi w:val="0"/>
                    <w:spacing w:before="0" w:beforeAutospacing="0" w:after="0" w:afterAutospacing="0"/>
                    <w:ind w:left="0" w:right="0"/>
                    <w:rPr>
                      <w:rFonts w:hint="default"/>
                    </w:rPr>
                  </w:pPr>
                  <w:r>
                    <w:rPr>
                      <w:rFonts w:hint="default"/>
                    </w:rPr>
                    <w:t>85（等效后：88.0)</w:t>
                  </w:r>
                </w:p>
              </w:tc>
              <w:tc>
                <w:tcPr>
                  <w:tcW w:w="210" w:type="pct"/>
                  <w:tcBorders>
                    <w:tl2br w:val="nil"/>
                    <w:tr2bl w:val="nil"/>
                  </w:tcBorders>
                  <w:shd w:val="clear" w:color="auto" w:fill="auto"/>
                  <w:tcMar>
                    <w:top w:w="0" w:type="dxa"/>
                    <w:left w:w="0" w:type="dxa"/>
                    <w:bottom w:w="0" w:type="dxa"/>
                    <w:right w:w="0" w:type="dxa"/>
                  </w:tcMar>
                  <w:vAlign w:val="center"/>
                </w:tcPr>
                <w:p w14:paraId="66D22F7F">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210D2C66">
                  <w:pPr>
                    <w:pStyle w:val="8"/>
                    <w:keepNext w:val="0"/>
                    <w:keepLines w:val="0"/>
                    <w:suppressLineNumbers w:val="0"/>
                    <w:bidi w:val="0"/>
                    <w:spacing w:before="0" w:beforeAutospacing="0" w:after="0" w:afterAutospacing="0"/>
                    <w:ind w:left="0" w:right="0"/>
                    <w:rPr>
                      <w:rFonts w:hint="default"/>
                    </w:rPr>
                  </w:pPr>
                  <w:r>
                    <w:rPr>
                      <w:rFonts w:hint="default"/>
                    </w:rPr>
                    <w:t>17.9</w:t>
                  </w:r>
                </w:p>
              </w:tc>
              <w:tc>
                <w:tcPr>
                  <w:tcW w:w="218" w:type="pct"/>
                  <w:tcBorders>
                    <w:tl2br w:val="nil"/>
                    <w:tr2bl w:val="nil"/>
                  </w:tcBorders>
                  <w:shd w:val="clear" w:color="auto" w:fill="auto"/>
                  <w:tcMar>
                    <w:top w:w="0" w:type="dxa"/>
                    <w:left w:w="0" w:type="dxa"/>
                    <w:bottom w:w="0" w:type="dxa"/>
                    <w:right w:w="0" w:type="dxa"/>
                  </w:tcMar>
                  <w:vAlign w:val="center"/>
                </w:tcPr>
                <w:p w14:paraId="13AE7503">
                  <w:pPr>
                    <w:pStyle w:val="8"/>
                    <w:keepNext w:val="0"/>
                    <w:keepLines w:val="0"/>
                    <w:suppressLineNumbers w:val="0"/>
                    <w:bidi w:val="0"/>
                    <w:spacing w:before="0" w:beforeAutospacing="0" w:after="0" w:afterAutospacing="0"/>
                    <w:ind w:left="0" w:right="0"/>
                    <w:rPr>
                      <w:rFonts w:hint="default"/>
                    </w:rPr>
                  </w:pPr>
                  <w:r>
                    <w:rPr>
                      <w:rFonts w:hint="default"/>
                    </w:rPr>
                    <w:t>-18.6</w:t>
                  </w:r>
                </w:p>
              </w:tc>
              <w:tc>
                <w:tcPr>
                  <w:tcW w:w="133" w:type="pct"/>
                  <w:tcBorders>
                    <w:tl2br w:val="nil"/>
                    <w:tr2bl w:val="nil"/>
                  </w:tcBorders>
                  <w:shd w:val="clear" w:color="auto" w:fill="auto"/>
                  <w:tcMar>
                    <w:top w:w="0" w:type="dxa"/>
                    <w:left w:w="0" w:type="dxa"/>
                    <w:bottom w:w="0" w:type="dxa"/>
                    <w:right w:w="0" w:type="dxa"/>
                  </w:tcMar>
                  <w:vAlign w:val="center"/>
                </w:tcPr>
                <w:p w14:paraId="7D17E2F3">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49113313">
                  <w:pPr>
                    <w:pStyle w:val="8"/>
                    <w:keepNext w:val="0"/>
                    <w:keepLines w:val="0"/>
                    <w:suppressLineNumbers w:val="0"/>
                    <w:bidi w:val="0"/>
                    <w:spacing w:before="0" w:beforeAutospacing="0" w:after="0" w:afterAutospacing="0"/>
                    <w:ind w:left="0" w:right="0"/>
                    <w:rPr>
                      <w:rFonts w:hint="default"/>
                    </w:rPr>
                  </w:pPr>
                  <w:r>
                    <w:rPr>
                      <w:rFonts w:hint="default"/>
                    </w:rPr>
                    <w:t>46.5</w:t>
                  </w:r>
                </w:p>
              </w:tc>
              <w:tc>
                <w:tcPr>
                  <w:tcW w:w="184" w:type="pct"/>
                  <w:tcBorders>
                    <w:tl2br w:val="nil"/>
                    <w:tr2bl w:val="nil"/>
                  </w:tcBorders>
                  <w:shd w:val="clear" w:color="auto" w:fill="auto"/>
                  <w:tcMar>
                    <w:top w:w="0" w:type="dxa"/>
                    <w:left w:w="0" w:type="dxa"/>
                    <w:bottom w:w="0" w:type="dxa"/>
                    <w:right w:w="0" w:type="dxa"/>
                  </w:tcMar>
                  <w:vAlign w:val="center"/>
                </w:tcPr>
                <w:p w14:paraId="108B556E">
                  <w:pPr>
                    <w:pStyle w:val="8"/>
                    <w:keepNext w:val="0"/>
                    <w:keepLines w:val="0"/>
                    <w:suppressLineNumbers w:val="0"/>
                    <w:bidi w:val="0"/>
                    <w:spacing w:before="0" w:beforeAutospacing="0" w:after="0" w:afterAutospacing="0"/>
                    <w:ind w:left="0" w:right="0"/>
                    <w:rPr>
                      <w:rFonts w:hint="default"/>
                    </w:rPr>
                  </w:pPr>
                  <w:r>
                    <w:rPr>
                      <w:rFonts w:hint="default"/>
                    </w:rPr>
                    <w:t>27.2</w:t>
                  </w:r>
                </w:p>
              </w:tc>
              <w:tc>
                <w:tcPr>
                  <w:tcW w:w="184" w:type="pct"/>
                  <w:tcBorders>
                    <w:tl2br w:val="nil"/>
                    <w:tr2bl w:val="nil"/>
                  </w:tcBorders>
                  <w:shd w:val="clear" w:color="auto" w:fill="auto"/>
                  <w:tcMar>
                    <w:top w:w="0" w:type="dxa"/>
                    <w:left w:w="0" w:type="dxa"/>
                    <w:bottom w:w="0" w:type="dxa"/>
                    <w:right w:w="0" w:type="dxa"/>
                  </w:tcMar>
                  <w:vAlign w:val="center"/>
                </w:tcPr>
                <w:p w14:paraId="1CB995AC">
                  <w:pPr>
                    <w:pStyle w:val="8"/>
                    <w:keepNext w:val="0"/>
                    <w:keepLines w:val="0"/>
                    <w:suppressLineNumbers w:val="0"/>
                    <w:bidi w:val="0"/>
                    <w:spacing w:before="0" w:beforeAutospacing="0" w:after="0" w:afterAutospacing="0"/>
                    <w:ind w:left="0" w:right="0"/>
                    <w:rPr>
                      <w:rFonts w:hint="default"/>
                    </w:rPr>
                  </w:pPr>
                  <w:r>
                    <w:rPr>
                      <w:rFonts w:hint="default"/>
                    </w:rPr>
                    <w:t>27.2</w:t>
                  </w:r>
                </w:p>
              </w:tc>
              <w:tc>
                <w:tcPr>
                  <w:tcW w:w="184" w:type="pct"/>
                  <w:tcBorders>
                    <w:tl2br w:val="nil"/>
                    <w:tr2bl w:val="nil"/>
                  </w:tcBorders>
                  <w:shd w:val="clear" w:color="auto" w:fill="auto"/>
                  <w:tcMar>
                    <w:top w:w="0" w:type="dxa"/>
                    <w:left w:w="0" w:type="dxa"/>
                    <w:bottom w:w="0" w:type="dxa"/>
                    <w:right w:w="0" w:type="dxa"/>
                  </w:tcMar>
                  <w:vAlign w:val="center"/>
                </w:tcPr>
                <w:p w14:paraId="758F8431">
                  <w:pPr>
                    <w:pStyle w:val="8"/>
                    <w:keepNext w:val="0"/>
                    <w:keepLines w:val="0"/>
                    <w:suppressLineNumbers w:val="0"/>
                    <w:bidi w:val="0"/>
                    <w:spacing w:before="0" w:beforeAutospacing="0" w:after="0" w:afterAutospacing="0"/>
                    <w:ind w:left="0" w:right="0"/>
                    <w:rPr>
                      <w:rFonts w:hint="default"/>
                    </w:rPr>
                  </w:pPr>
                  <w:r>
                    <w:rPr>
                      <w:rFonts w:hint="default"/>
                    </w:rPr>
                    <w:t>21.1</w:t>
                  </w:r>
                </w:p>
              </w:tc>
              <w:tc>
                <w:tcPr>
                  <w:tcW w:w="184" w:type="pct"/>
                  <w:tcBorders>
                    <w:tl2br w:val="nil"/>
                    <w:tr2bl w:val="nil"/>
                  </w:tcBorders>
                  <w:shd w:val="clear" w:color="auto" w:fill="auto"/>
                  <w:tcMar>
                    <w:top w:w="0" w:type="dxa"/>
                    <w:left w:w="0" w:type="dxa"/>
                    <w:bottom w:w="0" w:type="dxa"/>
                    <w:right w:w="0" w:type="dxa"/>
                  </w:tcMar>
                  <w:vAlign w:val="center"/>
                </w:tcPr>
                <w:p w14:paraId="49FC8D32">
                  <w:pPr>
                    <w:pStyle w:val="8"/>
                    <w:keepNext w:val="0"/>
                    <w:keepLines w:val="0"/>
                    <w:suppressLineNumbers w:val="0"/>
                    <w:bidi w:val="0"/>
                    <w:spacing w:before="0" w:beforeAutospacing="0" w:after="0" w:afterAutospacing="0"/>
                    <w:ind w:left="0" w:right="0"/>
                    <w:rPr>
                      <w:rFonts w:hint="default"/>
                    </w:rPr>
                  </w:pPr>
                  <w:r>
                    <w:rPr>
                      <w:rFonts w:hint="default"/>
                    </w:rPr>
                    <w:t>69.6</w:t>
                  </w:r>
                </w:p>
              </w:tc>
              <w:tc>
                <w:tcPr>
                  <w:tcW w:w="184" w:type="pct"/>
                  <w:tcBorders>
                    <w:tl2br w:val="nil"/>
                    <w:tr2bl w:val="nil"/>
                  </w:tcBorders>
                  <w:shd w:val="clear" w:color="auto" w:fill="auto"/>
                  <w:tcMar>
                    <w:top w:w="0" w:type="dxa"/>
                    <w:left w:w="0" w:type="dxa"/>
                    <w:bottom w:w="0" w:type="dxa"/>
                    <w:right w:w="0" w:type="dxa"/>
                  </w:tcMar>
                  <w:vAlign w:val="center"/>
                </w:tcPr>
                <w:p w14:paraId="3C2536A9">
                  <w:pPr>
                    <w:pStyle w:val="8"/>
                    <w:keepNext w:val="0"/>
                    <w:keepLines w:val="0"/>
                    <w:suppressLineNumbers w:val="0"/>
                    <w:bidi w:val="0"/>
                    <w:spacing w:before="0" w:beforeAutospacing="0" w:after="0" w:afterAutospacing="0"/>
                    <w:ind w:left="0" w:right="0"/>
                    <w:rPr>
                      <w:rFonts w:hint="default"/>
                    </w:rPr>
                  </w:pPr>
                  <w:r>
                    <w:rPr>
                      <w:rFonts w:hint="default"/>
                    </w:rPr>
                    <w:t>69.7</w:t>
                  </w:r>
                </w:p>
              </w:tc>
              <w:tc>
                <w:tcPr>
                  <w:tcW w:w="184" w:type="pct"/>
                  <w:tcBorders>
                    <w:tl2br w:val="nil"/>
                    <w:tr2bl w:val="nil"/>
                  </w:tcBorders>
                  <w:shd w:val="clear" w:color="auto" w:fill="auto"/>
                  <w:tcMar>
                    <w:top w:w="0" w:type="dxa"/>
                    <w:left w:w="0" w:type="dxa"/>
                    <w:bottom w:w="0" w:type="dxa"/>
                    <w:right w:w="0" w:type="dxa"/>
                  </w:tcMar>
                  <w:vAlign w:val="center"/>
                </w:tcPr>
                <w:p w14:paraId="419C4287">
                  <w:pPr>
                    <w:pStyle w:val="8"/>
                    <w:keepNext w:val="0"/>
                    <w:keepLines w:val="0"/>
                    <w:suppressLineNumbers w:val="0"/>
                    <w:bidi w:val="0"/>
                    <w:spacing w:before="0" w:beforeAutospacing="0" w:after="0" w:afterAutospacing="0"/>
                    <w:ind w:left="0" w:right="0"/>
                    <w:rPr>
                      <w:rFonts w:hint="default"/>
                    </w:rPr>
                  </w:pPr>
                  <w:r>
                    <w:rPr>
                      <w:rFonts w:hint="default"/>
                    </w:rPr>
                    <w:t>69.7</w:t>
                  </w:r>
                </w:p>
              </w:tc>
              <w:tc>
                <w:tcPr>
                  <w:tcW w:w="184" w:type="pct"/>
                  <w:tcBorders>
                    <w:tl2br w:val="nil"/>
                    <w:tr2bl w:val="nil"/>
                  </w:tcBorders>
                  <w:shd w:val="clear" w:color="auto" w:fill="auto"/>
                  <w:tcMar>
                    <w:top w:w="0" w:type="dxa"/>
                    <w:left w:w="0" w:type="dxa"/>
                    <w:bottom w:w="0" w:type="dxa"/>
                    <w:right w:w="0" w:type="dxa"/>
                  </w:tcMar>
                  <w:vAlign w:val="center"/>
                </w:tcPr>
                <w:p w14:paraId="7FA07ECC">
                  <w:pPr>
                    <w:pStyle w:val="8"/>
                    <w:keepNext w:val="0"/>
                    <w:keepLines w:val="0"/>
                    <w:suppressLineNumbers w:val="0"/>
                    <w:bidi w:val="0"/>
                    <w:spacing w:before="0" w:beforeAutospacing="0" w:after="0" w:afterAutospacing="0"/>
                    <w:ind w:left="0" w:right="0"/>
                    <w:rPr>
                      <w:rFonts w:hint="default"/>
                    </w:rPr>
                  </w:pPr>
                  <w:r>
                    <w:rPr>
                      <w:rFonts w:hint="default"/>
                    </w:rPr>
                    <w:t>69.7</w:t>
                  </w:r>
                </w:p>
              </w:tc>
              <w:tc>
                <w:tcPr>
                  <w:tcW w:w="208" w:type="pct"/>
                  <w:tcBorders>
                    <w:tl2br w:val="nil"/>
                    <w:tr2bl w:val="nil"/>
                  </w:tcBorders>
                  <w:shd w:val="clear" w:color="auto" w:fill="auto"/>
                  <w:tcMar>
                    <w:top w:w="0" w:type="dxa"/>
                    <w:left w:w="0" w:type="dxa"/>
                    <w:bottom w:w="0" w:type="dxa"/>
                    <w:right w:w="0" w:type="dxa"/>
                  </w:tcMar>
                  <w:vAlign w:val="center"/>
                </w:tcPr>
                <w:p w14:paraId="512484F5">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3B6E578C">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A186FFC">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3AC2B07E">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3F2E5DD">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4E253ABE">
                  <w:pPr>
                    <w:pStyle w:val="8"/>
                    <w:keepNext w:val="0"/>
                    <w:keepLines w:val="0"/>
                    <w:suppressLineNumbers w:val="0"/>
                    <w:bidi w:val="0"/>
                    <w:spacing w:before="0" w:beforeAutospacing="0" w:after="0" w:afterAutospacing="0"/>
                    <w:ind w:left="0" w:right="0"/>
                    <w:rPr>
                      <w:rFonts w:hint="default"/>
                    </w:rPr>
                  </w:pPr>
                  <w:r>
                    <w:rPr>
                      <w:rFonts w:hint="default"/>
                    </w:rPr>
                    <w:t>43.6</w:t>
                  </w:r>
                </w:p>
              </w:tc>
              <w:tc>
                <w:tcPr>
                  <w:tcW w:w="184" w:type="pct"/>
                  <w:tcBorders>
                    <w:tl2br w:val="nil"/>
                    <w:tr2bl w:val="nil"/>
                  </w:tcBorders>
                  <w:shd w:val="clear" w:color="auto" w:fill="auto"/>
                  <w:tcMar>
                    <w:top w:w="0" w:type="dxa"/>
                    <w:left w:w="0" w:type="dxa"/>
                    <w:bottom w:w="0" w:type="dxa"/>
                    <w:right w:w="0" w:type="dxa"/>
                  </w:tcMar>
                  <w:vAlign w:val="center"/>
                </w:tcPr>
                <w:p w14:paraId="05796DD9">
                  <w:pPr>
                    <w:pStyle w:val="8"/>
                    <w:keepNext w:val="0"/>
                    <w:keepLines w:val="0"/>
                    <w:suppressLineNumbers w:val="0"/>
                    <w:bidi w:val="0"/>
                    <w:spacing w:before="0" w:beforeAutospacing="0" w:after="0" w:afterAutospacing="0"/>
                    <w:ind w:left="0" w:right="0"/>
                    <w:rPr>
                      <w:rFonts w:hint="default"/>
                    </w:rPr>
                  </w:pPr>
                  <w:r>
                    <w:rPr>
                      <w:rFonts w:hint="default"/>
                    </w:rPr>
                    <w:t>43.7</w:t>
                  </w:r>
                </w:p>
              </w:tc>
              <w:tc>
                <w:tcPr>
                  <w:tcW w:w="184" w:type="pct"/>
                  <w:tcBorders>
                    <w:tl2br w:val="nil"/>
                    <w:tr2bl w:val="nil"/>
                  </w:tcBorders>
                  <w:shd w:val="clear" w:color="auto" w:fill="auto"/>
                  <w:tcMar>
                    <w:top w:w="0" w:type="dxa"/>
                    <w:left w:w="0" w:type="dxa"/>
                    <w:bottom w:w="0" w:type="dxa"/>
                    <w:right w:w="0" w:type="dxa"/>
                  </w:tcMar>
                  <w:vAlign w:val="center"/>
                </w:tcPr>
                <w:p w14:paraId="0BA96842">
                  <w:pPr>
                    <w:pStyle w:val="8"/>
                    <w:keepNext w:val="0"/>
                    <w:keepLines w:val="0"/>
                    <w:suppressLineNumbers w:val="0"/>
                    <w:bidi w:val="0"/>
                    <w:spacing w:before="0" w:beforeAutospacing="0" w:after="0" w:afterAutospacing="0"/>
                    <w:ind w:left="0" w:right="0"/>
                    <w:rPr>
                      <w:rFonts w:hint="default"/>
                    </w:rPr>
                  </w:pPr>
                  <w:r>
                    <w:rPr>
                      <w:rFonts w:hint="default"/>
                    </w:rPr>
                    <w:t>43.7</w:t>
                  </w:r>
                </w:p>
              </w:tc>
              <w:tc>
                <w:tcPr>
                  <w:tcW w:w="184" w:type="pct"/>
                  <w:tcBorders>
                    <w:tl2br w:val="nil"/>
                    <w:tr2bl w:val="nil"/>
                  </w:tcBorders>
                  <w:shd w:val="clear" w:color="auto" w:fill="auto"/>
                  <w:tcMar>
                    <w:top w:w="0" w:type="dxa"/>
                    <w:left w:w="0" w:type="dxa"/>
                    <w:bottom w:w="0" w:type="dxa"/>
                    <w:right w:w="0" w:type="dxa"/>
                  </w:tcMar>
                  <w:vAlign w:val="center"/>
                </w:tcPr>
                <w:p w14:paraId="0F21A89D">
                  <w:pPr>
                    <w:pStyle w:val="8"/>
                    <w:keepNext w:val="0"/>
                    <w:keepLines w:val="0"/>
                    <w:suppressLineNumbers w:val="0"/>
                    <w:bidi w:val="0"/>
                    <w:spacing w:before="0" w:beforeAutospacing="0" w:after="0" w:afterAutospacing="0"/>
                    <w:ind w:left="0" w:right="0"/>
                    <w:rPr>
                      <w:rFonts w:hint="default"/>
                    </w:rPr>
                  </w:pPr>
                  <w:r>
                    <w:rPr>
                      <w:rFonts w:hint="default"/>
                    </w:rPr>
                    <w:t>43.7</w:t>
                  </w:r>
                </w:p>
              </w:tc>
              <w:tc>
                <w:tcPr>
                  <w:tcW w:w="107" w:type="pct"/>
                  <w:tcBorders>
                    <w:tl2br w:val="nil"/>
                    <w:tr2bl w:val="nil"/>
                  </w:tcBorders>
                  <w:shd w:val="clear" w:color="auto" w:fill="auto"/>
                  <w:tcMar>
                    <w:top w:w="0" w:type="dxa"/>
                    <w:left w:w="0" w:type="dxa"/>
                    <w:bottom w:w="0" w:type="dxa"/>
                    <w:right w:w="0" w:type="dxa"/>
                  </w:tcMar>
                  <w:vAlign w:val="center"/>
                </w:tcPr>
                <w:p w14:paraId="22C67C63">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23098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0E4BFB2A">
                  <w:pPr>
                    <w:pStyle w:val="8"/>
                    <w:keepNext w:val="0"/>
                    <w:keepLines w:val="0"/>
                    <w:suppressLineNumbers w:val="0"/>
                    <w:bidi w:val="0"/>
                    <w:spacing w:before="0" w:beforeAutospacing="0" w:after="0" w:afterAutospacing="0"/>
                    <w:ind w:left="0" w:right="0"/>
                    <w:rPr>
                      <w:rFonts w:hint="default"/>
                    </w:rPr>
                  </w:pPr>
                  <w:r>
                    <w:rPr>
                      <w:rFonts w:hint="default"/>
                    </w:rPr>
                    <w:t>3</w:t>
                  </w:r>
                </w:p>
              </w:tc>
              <w:tc>
                <w:tcPr>
                  <w:tcW w:w="208" w:type="pct"/>
                  <w:tcBorders>
                    <w:tl2br w:val="nil"/>
                    <w:tr2bl w:val="nil"/>
                  </w:tcBorders>
                  <w:shd w:val="clear" w:color="auto" w:fill="auto"/>
                  <w:tcMar>
                    <w:top w:w="0" w:type="dxa"/>
                    <w:left w:w="0" w:type="dxa"/>
                    <w:bottom w:w="0" w:type="dxa"/>
                    <w:right w:w="0" w:type="dxa"/>
                  </w:tcMar>
                  <w:vAlign w:val="center"/>
                </w:tcPr>
                <w:p w14:paraId="7E5D0F3A">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6F0CE56E">
                  <w:pPr>
                    <w:pStyle w:val="8"/>
                    <w:keepNext w:val="0"/>
                    <w:keepLines w:val="0"/>
                    <w:suppressLineNumbers w:val="0"/>
                    <w:bidi w:val="0"/>
                    <w:spacing w:before="0" w:beforeAutospacing="0" w:after="0" w:afterAutospacing="0"/>
                    <w:ind w:left="0" w:right="0"/>
                    <w:rPr>
                      <w:rFonts w:hint="default"/>
                    </w:rPr>
                  </w:pPr>
                  <w:r>
                    <w:rPr>
                      <w:rFonts w:hint="default"/>
                    </w:rPr>
                    <w:t>过滤机,6台（按点声源组预测）</w:t>
                  </w:r>
                </w:p>
              </w:tc>
              <w:tc>
                <w:tcPr>
                  <w:tcW w:w="295" w:type="pct"/>
                  <w:tcBorders>
                    <w:tl2br w:val="nil"/>
                    <w:tr2bl w:val="nil"/>
                  </w:tcBorders>
                  <w:shd w:val="clear" w:color="auto" w:fill="auto"/>
                  <w:tcMar>
                    <w:top w:w="0" w:type="dxa"/>
                    <w:left w:w="0" w:type="dxa"/>
                    <w:bottom w:w="0" w:type="dxa"/>
                    <w:right w:w="0" w:type="dxa"/>
                  </w:tcMar>
                  <w:vAlign w:val="center"/>
                </w:tcPr>
                <w:p w14:paraId="49E25612">
                  <w:pPr>
                    <w:pStyle w:val="8"/>
                    <w:keepNext w:val="0"/>
                    <w:keepLines w:val="0"/>
                    <w:suppressLineNumbers w:val="0"/>
                    <w:bidi w:val="0"/>
                    <w:spacing w:before="0" w:beforeAutospacing="0" w:after="0" w:afterAutospacing="0"/>
                    <w:ind w:left="0" w:right="0"/>
                    <w:rPr>
                      <w:rFonts w:hint="default"/>
                    </w:rPr>
                  </w:pPr>
                  <w:r>
                    <w:rPr>
                      <w:rFonts w:hint="default"/>
                    </w:rPr>
                    <w:t>80（等效后：87.8)</w:t>
                  </w:r>
                </w:p>
              </w:tc>
              <w:tc>
                <w:tcPr>
                  <w:tcW w:w="210" w:type="pct"/>
                  <w:tcBorders>
                    <w:tl2br w:val="nil"/>
                    <w:tr2bl w:val="nil"/>
                  </w:tcBorders>
                  <w:shd w:val="clear" w:color="auto" w:fill="auto"/>
                  <w:tcMar>
                    <w:top w:w="0" w:type="dxa"/>
                    <w:left w:w="0" w:type="dxa"/>
                    <w:bottom w:w="0" w:type="dxa"/>
                    <w:right w:w="0" w:type="dxa"/>
                  </w:tcMar>
                  <w:vAlign w:val="center"/>
                </w:tcPr>
                <w:p w14:paraId="6DA7D5F4">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7E2E33D0">
                  <w:pPr>
                    <w:pStyle w:val="8"/>
                    <w:keepNext w:val="0"/>
                    <w:keepLines w:val="0"/>
                    <w:suppressLineNumbers w:val="0"/>
                    <w:bidi w:val="0"/>
                    <w:spacing w:before="0" w:beforeAutospacing="0" w:after="0" w:afterAutospacing="0"/>
                    <w:ind w:left="0" w:right="0"/>
                    <w:rPr>
                      <w:rFonts w:hint="default"/>
                    </w:rPr>
                  </w:pPr>
                  <w:r>
                    <w:rPr>
                      <w:rFonts w:hint="default"/>
                    </w:rPr>
                    <w:t>24.6</w:t>
                  </w:r>
                </w:p>
              </w:tc>
              <w:tc>
                <w:tcPr>
                  <w:tcW w:w="218" w:type="pct"/>
                  <w:tcBorders>
                    <w:tl2br w:val="nil"/>
                    <w:tr2bl w:val="nil"/>
                  </w:tcBorders>
                  <w:shd w:val="clear" w:color="auto" w:fill="auto"/>
                  <w:tcMar>
                    <w:top w:w="0" w:type="dxa"/>
                    <w:left w:w="0" w:type="dxa"/>
                    <w:bottom w:w="0" w:type="dxa"/>
                    <w:right w:w="0" w:type="dxa"/>
                  </w:tcMar>
                  <w:vAlign w:val="center"/>
                </w:tcPr>
                <w:p w14:paraId="355EF5C9">
                  <w:pPr>
                    <w:pStyle w:val="8"/>
                    <w:keepNext w:val="0"/>
                    <w:keepLines w:val="0"/>
                    <w:suppressLineNumbers w:val="0"/>
                    <w:bidi w:val="0"/>
                    <w:spacing w:before="0" w:beforeAutospacing="0" w:after="0" w:afterAutospacing="0"/>
                    <w:ind w:left="0" w:right="0"/>
                    <w:rPr>
                      <w:rFonts w:hint="default"/>
                    </w:rPr>
                  </w:pPr>
                  <w:r>
                    <w:rPr>
                      <w:rFonts w:hint="default"/>
                    </w:rPr>
                    <w:t>-11.4</w:t>
                  </w:r>
                </w:p>
              </w:tc>
              <w:tc>
                <w:tcPr>
                  <w:tcW w:w="133" w:type="pct"/>
                  <w:tcBorders>
                    <w:tl2br w:val="nil"/>
                    <w:tr2bl w:val="nil"/>
                  </w:tcBorders>
                  <w:shd w:val="clear" w:color="auto" w:fill="auto"/>
                  <w:tcMar>
                    <w:top w:w="0" w:type="dxa"/>
                    <w:left w:w="0" w:type="dxa"/>
                    <w:bottom w:w="0" w:type="dxa"/>
                    <w:right w:w="0" w:type="dxa"/>
                  </w:tcMar>
                  <w:vAlign w:val="center"/>
                </w:tcPr>
                <w:p w14:paraId="6FD5E6B3">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2E400C8F">
                  <w:pPr>
                    <w:pStyle w:val="8"/>
                    <w:keepNext w:val="0"/>
                    <w:keepLines w:val="0"/>
                    <w:suppressLineNumbers w:val="0"/>
                    <w:bidi w:val="0"/>
                    <w:spacing w:before="0" w:beforeAutospacing="0" w:after="0" w:afterAutospacing="0"/>
                    <w:ind w:left="0" w:right="0"/>
                    <w:rPr>
                      <w:rFonts w:hint="default"/>
                    </w:rPr>
                  </w:pPr>
                  <w:r>
                    <w:rPr>
                      <w:rFonts w:hint="default"/>
                    </w:rPr>
                    <w:t>46.0</w:t>
                  </w:r>
                </w:p>
              </w:tc>
              <w:tc>
                <w:tcPr>
                  <w:tcW w:w="184" w:type="pct"/>
                  <w:tcBorders>
                    <w:tl2br w:val="nil"/>
                    <w:tr2bl w:val="nil"/>
                  </w:tcBorders>
                  <w:shd w:val="clear" w:color="auto" w:fill="auto"/>
                  <w:tcMar>
                    <w:top w:w="0" w:type="dxa"/>
                    <w:left w:w="0" w:type="dxa"/>
                    <w:bottom w:w="0" w:type="dxa"/>
                    <w:right w:w="0" w:type="dxa"/>
                  </w:tcMar>
                  <w:vAlign w:val="center"/>
                </w:tcPr>
                <w:p w14:paraId="3D08F341">
                  <w:pPr>
                    <w:pStyle w:val="8"/>
                    <w:keepNext w:val="0"/>
                    <w:keepLines w:val="0"/>
                    <w:suppressLineNumbers w:val="0"/>
                    <w:bidi w:val="0"/>
                    <w:spacing w:before="0" w:beforeAutospacing="0" w:after="0" w:afterAutospacing="0"/>
                    <w:ind w:left="0" w:right="0"/>
                    <w:rPr>
                      <w:rFonts w:hint="default"/>
                    </w:rPr>
                  </w:pPr>
                  <w:r>
                    <w:rPr>
                      <w:rFonts w:hint="default"/>
                    </w:rPr>
                    <w:t>37.0</w:t>
                  </w:r>
                </w:p>
              </w:tc>
              <w:tc>
                <w:tcPr>
                  <w:tcW w:w="184" w:type="pct"/>
                  <w:tcBorders>
                    <w:tl2br w:val="nil"/>
                    <w:tr2bl w:val="nil"/>
                  </w:tcBorders>
                  <w:shd w:val="clear" w:color="auto" w:fill="auto"/>
                  <w:tcMar>
                    <w:top w:w="0" w:type="dxa"/>
                    <w:left w:w="0" w:type="dxa"/>
                    <w:bottom w:w="0" w:type="dxa"/>
                    <w:right w:w="0" w:type="dxa"/>
                  </w:tcMar>
                  <w:vAlign w:val="center"/>
                </w:tcPr>
                <w:p w14:paraId="346741B7">
                  <w:pPr>
                    <w:pStyle w:val="8"/>
                    <w:keepNext w:val="0"/>
                    <w:keepLines w:val="0"/>
                    <w:suppressLineNumbers w:val="0"/>
                    <w:bidi w:val="0"/>
                    <w:spacing w:before="0" w:beforeAutospacing="0" w:after="0" w:afterAutospacing="0"/>
                    <w:ind w:left="0" w:right="0"/>
                    <w:rPr>
                      <w:rFonts w:hint="default"/>
                    </w:rPr>
                  </w:pPr>
                  <w:r>
                    <w:rPr>
                      <w:rFonts w:hint="default"/>
                    </w:rPr>
                    <w:t>37.0</w:t>
                  </w:r>
                </w:p>
              </w:tc>
              <w:tc>
                <w:tcPr>
                  <w:tcW w:w="184" w:type="pct"/>
                  <w:tcBorders>
                    <w:tl2br w:val="nil"/>
                    <w:tr2bl w:val="nil"/>
                  </w:tcBorders>
                  <w:shd w:val="clear" w:color="auto" w:fill="auto"/>
                  <w:tcMar>
                    <w:top w:w="0" w:type="dxa"/>
                    <w:left w:w="0" w:type="dxa"/>
                    <w:bottom w:w="0" w:type="dxa"/>
                    <w:right w:w="0" w:type="dxa"/>
                  </w:tcMar>
                  <w:vAlign w:val="center"/>
                </w:tcPr>
                <w:p w14:paraId="65CF2F0F">
                  <w:pPr>
                    <w:pStyle w:val="8"/>
                    <w:keepNext w:val="0"/>
                    <w:keepLines w:val="0"/>
                    <w:suppressLineNumbers w:val="0"/>
                    <w:bidi w:val="0"/>
                    <w:spacing w:before="0" w:beforeAutospacing="0" w:after="0" w:afterAutospacing="0"/>
                    <w:ind w:left="0" w:right="0"/>
                    <w:rPr>
                      <w:rFonts w:hint="default"/>
                    </w:rPr>
                  </w:pPr>
                  <w:r>
                    <w:rPr>
                      <w:rFonts w:hint="default"/>
                    </w:rPr>
                    <w:t>11.3</w:t>
                  </w:r>
                </w:p>
              </w:tc>
              <w:tc>
                <w:tcPr>
                  <w:tcW w:w="184" w:type="pct"/>
                  <w:tcBorders>
                    <w:tl2br w:val="nil"/>
                    <w:tr2bl w:val="nil"/>
                  </w:tcBorders>
                  <w:shd w:val="clear" w:color="auto" w:fill="auto"/>
                  <w:tcMar>
                    <w:top w:w="0" w:type="dxa"/>
                    <w:left w:w="0" w:type="dxa"/>
                    <w:bottom w:w="0" w:type="dxa"/>
                    <w:right w:w="0" w:type="dxa"/>
                  </w:tcMar>
                  <w:vAlign w:val="center"/>
                </w:tcPr>
                <w:p w14:paraId="6B50D1AE">
                  <w:pPr>
                    <w:pStyle w:val="8"/>
                    <w:keepNext w:val="0"/>
                    <w:keepLines w:val="0"/>
                    <w:suppressLineNumbers w:val="0"/>
                    <w:bidi w:val="0"/>
                    <w:spacing w:before="0" w:beforeAutospacing="0" w:after="0" w:afterAutospacing="0"/>
                    <w:ind w:left="0" w:right="0"/>
                    <w:rPr>
                      <w:rFonts w:hint="default"/>
                    </w:rPr>
                  </w:pPr>
                  <w:r>
                    <w:rPr>
                      <w:rFonts w:hint="default"/>
                    </w:rPr>
                    <w:t>69.4</w:t>
                  </w:r>
                </w:p>
              </w:tc>
              <w:tc>
                <w:tcPr>
                  <w:tcW w:w="184" w:type="pct"/>
                  <w:tcBorders>
                    <w:tl2br w:val="nil"/>
                    <w:tr2bl w:val="nil"/>
                  </w:tcBorders>
                  <w:shd w:val="clear" w:color="auto" w:fill="auto"/>
                  <w:tcMar>
                    <w:top w:w="0" w:type="dxa"/>
                    <w:left w:w="0" w:type="dxa"/>
                    <w:bottom w:w="0" w:type="dxa"/>
                    <w:right w:w="0" w:type="dxa"/>
                  </w:tcMar>
                  <w:vAlign w:val="center"/>
                </w:tcPr>
                <w:p w14:paraId="2CCCB92D">
                  <w:pPr>
                    <w:pStyle w:val="8"/>
                    <w:keepNext w:val="0"/>
                    <w:keepLines w:val="0"/>
                    <w:suppressLineNumbers w:val="0"/>
                    <w:bidi w:val="0"/>
                    <w:spacing w:before="0" w:beforeAutospacing="0" w:after="0" w:afterAutospacing="0"/>
                    <w:ind w:left="0" w:right="0"/>
                    <w:rPr>
                      <w:rFonts w:hint="default"/>
                    </w:rPr>
                  </w:pPr>
                  <w:r>
                    <w:rPr>
                      <w:rFonts w:hint="default"/>
                    </w:rPr>
                    <w:t>69.4</w:t>
                  </w:r>
                </w:p>
              </w:tc>
              <w:tc>
                <w:tcPr>
                  <w:tcW w:w="184" w:type="pct"/>
                  <w:tcBorders>
                    <w:tl2br w:val="nil"/>
                    <w:tr2bl w:val="nil"/>
                  </w:tcBorders>
                  <w:shd w:val="clear" w:color="auto" w:fill="auto"/>
                  <w:tcMar>
                    <w:top w:w="0" w:type="dxa"/>
                    <w:left w:w="0" w:type="dxa"/>
                    <w:bottom w:w="0" w:type="dxa"/>
                    <w:right w:w="0" w:type="dxa"/>
                  </w:tcMar>
                  <w:vAlign w:val="center"/>
                </w:tcPr>
                <w:p w14:paraId="6FF8368E">
                  <w:pPr>
                    <w:pStyle w:val="8"/>
                    <w:keepNext w:val="0"/>
                    <w:keepLines w:val="0"/>
                    <w:suppressLineNumbers w:val="0"/>
                    <w:bidi w:val="0"/>
                    <w:spacing w:before="0" w:beforeAutospacing="0" w:after="0" w:afterAutospacing="0"/>
                    <w:ind w:left="0" w:right="0"/>
                    <w:rPr>
                      <w:rFonts w:hint="default"/>
                    </w:rPr>
                  </w:pPr>
                  <w:r>
                    <w:rPr>
                      <w:rFonts w:hint="default"/>
                    </w:rPr>
                    <w:t>69.4</w:t>
                  </w:r>
                </w:p>
              </w:tc>
              <w:tc>
                <w:tcPr>
                  <w:tcW w:w="184" w:type="pct"/>
                  <w:tcBorders>
                    <w:tl2br w:val="nil"/>
                    <w:tr2bl w:val="nil"/>
                  </w:tcBorders>
                  <w:shd w:val="clear" w:color="auto" w:fill="auto"/>
                  <w:tcMar>
                    <w:top w:w="0" w:type="dxa"/>
                    <w:left w:w="0" w:type="dxa"/>
                    <w:bottom w:w="0" w:type="dxa"/>
                    <w:right w:w="0" w:type="dxa"/>
                  </w:tcMar>
                  <w:vAlign w:val="center"/>
                </w:tcPr>
                <w:p w14:paraId="6A8BF1B5">
                  <w:pPr>
                    <w:pStyle w:val="8"/>
                    <w:keepNext w:val="0"/>
                    <w:keepLines w:val="0"/>
                    <w:suppressLineNumbers w:val="0"/>
                    <w:bidi w:val="0"/>
                    <w:spacing w:before="0" w:beforeAutospacing="0" w:after="0" w:afterAutospacing="0"/>
                    <w:ind w:left="0" w:right="0"/>
                    <w:rPr>
                      <w:rFonts w:hint="default"/>
                    </w:rPr>
                  </w:pPr>
                  <w:r>
                    <w:rPr>
                      <w:rFonts w:hint="default"/>
                    </w:rPr>
                    <w:t>69.6</w:t>
                  </w:r>
                </w:p>
              </w:tc>
              <w:tc>
                <w:tcPr>
                  <w:tcW w:w="208" w:type="pct"/>
                  <w:tcBorders>
                    <w:tl2br w:val="nil"/>
                    <w:tr2bl w:val="nil"/>
                  </w:tcBorders>
                  <w:shd w:val="clear" w:color="auto" w:fill="auto"/>
                  <w:tcMar>
                    <w:top w:w="0" w:type="dxa"/>
                    <w:left w:w="0" w:type="dxa"/>
                    <w:bottom w:w="0" w:type="dxa"/>
                    <w:right w:w="0" w:type="dxa"/>
                  </w:tcMar>
                  <w:vAlign w:val="center"/>
                </w:tcPr>
                <w:p w14:paraId="523E5A3C">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4952103F">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E3CF375">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3D11616">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08845313">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BA3B7FD">
                  <w:pPr>
                    <w:pStyle w:val="8"/>
                    <w:keepNext w:val="0"/>
                    <w:keepLines w:val="0"/>
                    <w:suppressLineNumbers w:val="0"/>
                    <w:bidi w:val="0"/>
                    <w:spacing w:before="0" w:beforeAutospacing="0" w:after="0" w:afterAutospacing="0"/>
                    <w:ind w:left="0" w:right="0"/>
                    <w:rPr>
                      <w:rFonts w:hint="default"/>
                    </w:rPr>
                  </w:pPr>
                  <w:r>
                    <w:rPr>
                      <w:rFonts w:hint="default"/>
                    </w:rPr>
                    <w:t>43.4</w:t>
                  </w:r>
                </w:p>
              </w:tc>
              <w:tc>
                <w:tcPr>
                  <w:tcW w:w="184" w:type="pct"/>
                  <w:tcBorders>
                    <w:tl2br w:val="nil"/>
                    <w:tr2bl w:val="nil"/>
                  </w:tcBorders>
                  <w:shd w:val="clear" w:color="auto" w:fill="auto"/>
                  <w:tcMar>
                    <w:top w:w="0" w:type="dxa"/>
                    <w:left w:w="0" w:type="dxa"/>
                    <w:bottom w:w="0" w:type="dxa"/>
                    <w:right w:w="0" w:type="dxa"/>
                  </w:tcMar>
                  <w:vAlign w:val="center"/>
                </w:tcPr>
                <w:p w14:paraId="6182CDEE">
                  <w:pPr>
                    <w:pStyle w:val="8"/>
                    <w:keepNext w:val="0"/>
                    <w:keepLines w:val="0"/>
                    <w:suppressLineNumbers w:val="0"/>
                    <w:bidi w:val="0"/>
                    <w:spacing w:before="0" w:beforeAutospacing="0" w:after="0" w:afterAutospacing="0"/>
                    <w:ind w:left="0" w:right="0"/>
                    <w:rPr>
                      <w:rFonts w:hint="default"/>
                    </w:rPr>
                  </w:pPr>
                  <w:r>
                    <w:rPr>
                      <w:rFonts w:hint="default"/>
                    </w:rPr>
                    <w:t>43.4</w:t>
                  </w:r>
                </w:p>
              </w:tc>
              <w:tc>
                <w:tcPr>
                  <w:tcW w:w="184" w:type="pct"/>
                  <w:tcBorders>
                    <w:tl2br w:val="nil"/>
                    <w:tr2bl w:val="nil"/>
                  </w:tcBorders>
                  <w:shd w:val="clear" w:color="auto" w:fill="auto"/>
                  <w:tcMar>
                    <w:top w:w="0" w:type="dxa"/>
                    <w:left w:w="0" w:type="dxa"/>
                    <w:bottom w:w="0" w:type="dxa"/>
                    <w:right w:w="0" w:type="dxa"/>
                  </w:tcMar>
                  <w:vAlign w:val="center"/>
                </w:tcPr>
                <w:p w14:paraId="0D382422">
                  <w:pPr>
                    <w:pStyle w:val="8"/>
                    <w:keepNext w:val="0"/>
                    <w:keepLines w:val="0"/>
                    <w:suppressLineNumbers w:val="0"/>
                    <w:bidi w:val="0"/>
                    <w:spacing w:before="0" w:beforeAutospacing="0" w:after="0" w:afterAutospacing="0"/>
                    <w:ind w:left="0" w:right="0"/>
                    <w:rPr>
                      <w:rFonts w:hint="default"/>
                    </w:rPr>
                  </w:pPr>
                  <w:r>
                    <w:rPr>
                      <w:rFonts w:hint="default"/>
                    </w:rPr>
                    <w:t>43.4</w:t>
                  </w:r>
                </w:p>
              </w:tc>
              <w:tc>
                <w:tcPr>
                  <w:tcW w:w="184" w:type="pct"/>
                  <w:tcBorders>
                    <w:tl2br w:val="nil"/>
                    <w:tr2bl w:val="nil"/>
                  </w:tcBorders>
                  <w:shd w:val="clear" w:color="auto" w:fill="auto"/>
                  <w:tcMar>
                    <w:top w:w="0" w:type="dxa"/>
                    <w:left w:w="0" w:type="dxa"/>
                    <w:bottom w:w="0" w:type="dxa"/>
                    <w:right w:w="0" w:type="dxa"/>
                  </w:tcMar>
                  <w:vAlign w:val="center"/>
                </w:tcPr>
                <w:p w14:paraId="28E6E2FB">
                  <w:pPr>
                    <w:pStyle w:val="8"/>
                    <w:keepNext w:val="0"/>
                    <w:keepLines w:val="0"/>
                    <w:suppressLineNumbers w:val="0"/>
                    <w:bidi w:val="0"/>
                    <w:spacing w:before="0" w:beforeAutospacing="0" w:after="0" w:afterAutospacing="0"/>
                    <w:ind w:left="0" w:right="0"/>
                    <w:rPr>
                      <w:rFonts w:hint="default"/>
                    </w:rPr>
                  </w:pPr>
                  <w:r>
                    <w:rPr>
                      <w:rFonts w:hint="default"/>
                    </w:rPr>
                    <w:t>43.6</w:t>
                  </w:r>
                </w:p>
              </w:tc>
              <w:tc>
                <w:tcPr>
                  <w:tcW w:w="107" w:type="pct"/>
                  <w:tcBorders>
                    <w:tl2br w:val="nil"/>
                    <w:tr2bl w:val="nil"/>
                  </w:tcBorders>
                  <w:shd w:val="clear" w:color="auto" w:fill="auto"/>
                  <w:tcMar>
                    <w:top w:w="0" w:type="dxa"/>
                    <w:left w:w="0" w:type="dxa"/>
                    <w:bottom w:w="0" w:type="dxa"/>
                    <w:right w:w="0" w:type="dxa"/>
                  </w:tcMar>
                  <w:vAlign w:val="center"/>
                </w:tcPr>
                <w:p w14:paraId="1C07CBD0">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7453F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0509155A">
                  <w:pPr>
                    <w:pStyle w:val="8"/>
                    <w:keepNext w:val="0"/>
                    <w:keepLines w:val="0"/>
                    <w:suppressLineNumbers w:val="0"/>
                    <w:bidi w:val="0"/>
                    <w:spacing w:before="0" w:beforeAutospacing="0" w:after="0" w:afterAutospacing="0"/>
                    <w:ind w:left="0" w:right="0"/>
                    <w:rPr>
                      <w:rFonts w:hint="default"/>
                    </w:rPr>
                  </w:pPr>
                  <w:r>
                    <w:rPr>
                      <w:rFonts w:hint="default"/>
                    </w:rPr>
                    <w:t>4</w:t>
                  </w:r>
                </w:p>
              </w:tc>
              <w:tc>
                <w:tcPr>
                  <w:tcW w:w="208" w:type="pct"/>
                  <w:tcBorders>
                    <w:tl2br w:val="nil"/>
                    <w:tr2bl w:val="nil"/>
                  </w:tcBorders>
                  <w:shd w:val="clear" w:color="auto" w:fill="auto"/>
                  <w:tcMar>
                    <w:top w:w="0" w:type="dxa"/>
                    <w:left w:w="0" w:type="dxa"/>
                    <w:bottom w:w="0" w:type="dxa"/>
                    <w:right w:w="0" w:type="dxa"/>
                  </w:tcMar>
                  <w:vAlign w:val="center"/>
                </w:tcPr>
                <w:p w14:paraId="28AFC843">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3C50EB78">
                  <w:pPr>
                    <w:pStyle w:val="8"/>
                    <w:keepNext w:val="0"/>
                    <w:keepLines w:val="0"/>
                    <w:suppressLineNumbers w:val="0"/>
                    <w:bidi w:val="0"/>
                    <w:spacing w:before="0" w:beforeAutospacing="0" w:after="0" w:afterAutospacing="0"/>
                    <w:ind w:left="0" w:right="0"/>
                    <w:rPr>
                      <w:rFonts w:hint="default"/>
                    </w:rPr>
                  </w:pPr>
                  <w:r>
                    <w:rPr>
                      <w:rFonts w:hint="default"/>
                    </w:rPr>
                    <w:t>蒸发器,6台（按点声源组预测）</w:t>
                  </w:r>
                </w:p>
              </w:tc>
              <w:tc>
                <w:tcPr>
                  <w:tcW w:w="295" w:type="pct"/>
                  <w:tcBorders>
                    <w:tl2br w:val="nil"/>
                    <w:tr2bl w:val="nil"/>
                  </w:tcBorders>
                  <w:shd w:val="clear" w:color="auto" w:fill="auto"/>
                  <w:tcMar>
                    <w:top w:w="0" w:type="dxa"/>
                    <w:left w:w="0" w:type="dxa"/>
                    <w:bottom w:w="0" w:type="dxa"/>
                    <w:right w:w="0" w:type="dxa"/>
                  </w:tcMar>
                  <w:vAlign w:val="center"/>
                </w:tcPr>
                <w:p w14:paraId="71040C52">
                  <w:pPr>
                    <w:pStyle w:val="8"/>
                    <w:keepNext w:val="0"/>
                    <w:keepLines w:val="0"/>
                    <w:suppressLineNumbers w:val="0"/>
                    <w:bidi w:val="0"/>
                    <w:spacing w:before="0" w:beforeAutospacing="0" w:after="0" w:afterAutospacing="0"/>
                    <w:ind w:left="0" w:right="0"/>
                    <w:rPr>
                      <w:rFonts w:hint="default"/>
                    </w:rPr>
                  </w:pPr>
                  <w:r>
                    <w:rPr>
                      <w:rFonts w:hint="default"/>
                    </w:rPr>
                    <w:t>75（等效后：82.8)</w:t>
                  </w:r>
                </w:p>
              </w:tc>
              <w:tc>
                <w:tcPr>
                  <w:tcW w:w="210" w:type="pct"/>
                  <w:tcBorders>
                    <w:tl2br w:val="nil"/>
                    <w:tr2bl w:val="nil"/>
                  </w:tcBorders>
                  <w:shd w:val="clear" w:color="auto" w:fill="auto"/>
                  <w:tcMar>
                    <w:top w:w="0" w:type="dxa"/>
                    <w:left w:w="0" w:type="dxa"/>
                    <w:bottom w:w="0" w:type="dxa"/>
                    <w:right w:w="0" w:type="dxa"/>
                  </w:tcMar>
                  <w:vAlign w:val="center"/>
                </w:tcPr>
                <w:p w14:paraId="17FBB267">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599AEC61">
                  <w:pPr>
                    <w:pStyle w:val="8"/>
                    <w:keepNext w:val="0"/>
                    <w:keepLines w:val="0"/>
                    <w:suppressLineNumbers w:val="0"/>
                    <w:bidi w:val="0"/>
                    <w:spacing w:before="0" w:beforeAutospacing="0" w:after="0" w:afterAutospacing="0"/>
                    <w:ind w:left="0" w:right="0"/>
                    <w:rPr>
                      <w:rFonts w:hint="default"/>
                    </w:rPr>
                  </w:pPr>
                  <w:r>
                    <w:rPr>
                      <w:rFonts w:hint="default"/>
                    </w:rPr>
                    <w:t>13.7</w:t>
                  </w:r>
                </w:p>
              </w:tc>
              <w:tc>
                <w:tcPr>
                  <w:tcW w:w="218" w:type="pct"/>
                  <w:tcBorders>
                    <w:tl2br w:val="nil"/>
                    <w:tr2bl w:val="nil"/>
                  </w:tcBorders>
                  <w:shd w:val="clear" w:color="auto" w:fill="auto"/>
                  <w:tcMar>
                    <w:top w:w="0" w:type="dxa"/>
                    <w:left w:w="0" w:type="dxa"/>
                    <w:bottom w:w="0" w:type="dxa"/>
                    <w:right w:w="0" w:type="dxa"/>
                  </w:tcMar>
                  <w:vAlign w:val="center"/>
                </w:tcPr>
                <w:p w14:paraId="66B22AE6">
                  <w:pPr>
                    <w:pStyle w:val="8"/>
                    <w:keepNext w:val="0"/>
                    <w:keepLines w:val="0"/>
                    <w:suppressLineNumbers w:val="0"/>
                    <w:bidi w:val="0"/>
                    <w:spacing w:before="0" w:beforeAutospacing="0" w:after="0" w:afterAutospacing="0"/>
                    <w:ind w:left="0" w:right="0"/>
                    <w:rPr>
                      <w:rFonts w:hint="default"/>
                    </w:rPr>
                  </w:pPr>
                  <w:r>
                    <w:rPr>
                      <w:rFonts w:hint="default"/>
                    </w:rPr>
                    <w:t>-15.9</w:t>
                  </w:r>
                </w:p>
              </w:tc>
              <w:tc>
                <w:tcPr>
                  <w:tcW w:w="133" w:type="pct"/>
                  <w:tcBorders>
                    <w:tl2br w:val="nil"/>
                    <w:tr2bl w:val="nil"/>
                  </w:tcBorders>
                  <w:shd w:val="clear" w:color="auto" w:fill="auto"/>
                  <w:tcMar>
                    <w:top w:w="0" w:type="dxa"/>
                    <w:left w:w="0" w:type="dxa"/>
                    <w:bottom w:w="0" w:type="dxa"/>
                    <w:right w:w="0" w:type="dxa"/>
                  </w:tcMar>
                  <w:vAlign w:val="center"/>
                </w:tcPr>
                <w:p w14:paraId="59D45CB4">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4978C121">
                  <w:pPr>
                    <w:pStyle w:val="8"/>
                    <w:keepNext w:val="0"/>
                    <w:keepLines w:val="0"/>
                    <w:suppressLineNumbers w:val="0"/>
                    <w:bidi w:val="0"/>
                    <w:spacing w:before="0" w:beforeAutospacing="0" w:after="0" w:afterAutospacing="0"/>
                    <w:ind w:left="0" w:right="0"/>
                    <w:rPr>
                      <w:rFonts w:hint="default"/>
                    </w:rPr>
                  </w:pPr>
                  <w:r>
                    <w:rPr>
                      <w:rFonts w:hint="default"/>
                    </w:rPr>
                    <w:t>51.5</w:t>
                  </w:r>
                </w:p>
              </w:tc>
              <w:tc>
                <w:tcPr>
                  <w:tcW w:w="184" w:type="pct"/>
                  <w:tcBorders>
                    <w:tl2br w:val="nil"/>
                    <w:tr2bl w:val="nil"/>
                  </w:tcBorders>
                  <w:shd w:val="clear" w:color="auto" w:fill="auto"/>
                  <w:tcMar>
                    <w:top w:w="0" w:type="dxa"/>
                    <w:left w:w="0" w:type="dxa"/>
                    <w:bottom w:w="0" w:type="dxa"/>
                    <w:right w:w="0" w:type="dxa"/>
                  </w:tcMar>
                  <w:vAlign w:val="center"/>
                </w:tcPr>
                <w:p w14:paraId="6991C60F">
                  <w:pPr>
                    <w:pStyle w:val="8"/>
                    <w:keepNext w:val="0"/>
                    <w:keepLines w:val="0"/>
                    <w:suppressLineNumbers w:val="0"/>
                    <w:bidi w:val="0"/>
                    <w:spacing w:before="0" w:beforeAutospacing="0" w:after="0" w:afterAutospacing="0"/>
                    <w:ind w:left="0" w:right="0"/>
                    <w:rPr>
                      <w:rFonts w:hint="default"/>
                    </w:rPr>
                  </w:pPr>
                  <w:r>
                    <w:rPr>
                      <w:rFonts w:hint="default"/>
                    </w:rPr>
                    <w:t>26.8</w:t>
                  </w:r>
                </w:p>
              </w:tc>
              <w:tc>
                <w:tcPr>
                  <w:tcW w:w="184" w:type="pct"/>
                  <w:tcBorders>
                    <w:tl2br w:val="nil"/>
                    <w:tr2bl w:val="nil"/>
                  </w:tcBorders>
                  <w:shd w:val="clear" w:color="auto" w:fill="auto"/>
                  <w:tcMar>
                    <w:top w:w="0" w:type="dxa"/>
                    <w:left w:w="0" w:type="dxa"/>
                    <w:bottom w:w="0" w:type="dxa"/>
                    <w:right w:w="0" w:type="dxa"/>
                  </w:tcMar>
                  <w:vAlign w:val="center"/>
                </w:tcPr>
                <w:p w14:paraId="0B88565E">
                  <w:pPr>
                    <w:pStyle w:val="8"/>
                    <w:keepNext w:val="0"/>
                    <w:keepLines w:val="0"/>
                    <w:suppressLineNumbers w:val="0"/>
                    <w:bidi w:val="0"/>
                    <w:spacing w:before="0" w:beforeAutospacing="0" w:after="0" w:afterAutospacing="0"/>
                    <w:ind w:left="0" w:right="0"/>
                    <w:rPr>
                      <w:rFonts w:hint="default"/>
                    </w:rPr>
                  </w:pPr>
                  <w:r>
                    <w:rPr>
                      <w:rFonts w:hint="default"/>
                    </w:rPr>
                    <w:t>26.8</w:t>
                  </w:r>
                </w:p>
              </w:tc>
              <w:tc>
                <w:tcPr>
                  <w:tcW w:w="184" w:type="pct"/>
                  <w:tcBorders>
                    <w:tl2br w:val="nil"/>
                    <w:tr2bl w:val="nil"/>
                  </w:tcBorders>
                  <w:shd w:val="clear" w:color="auto" w:fill="auto"/>
                  <w:tcMar>
                    <w:top w:w="0" w:type="dxa"/>
                    <w:left w:w="0" w:type="dxa"/>
                    <w:bottom w:w="0" w:type="dxa"/>
                    <w:right w:w="0" w:type="dxa"/>
                  </w:tcMar>
                  <w:vAlign w:val="center"/>
                </w:tcPr>
                <w:p w14:paraId="4AC001A1">
                  <w:pPr>
                    <w:pStyle w:val="8"/>
                    <w:keepNext w:val="0"/>
                    <w:keepLines w:val="0"/>
                    <w:suppressLineNumbers w:val="0"/>
                    <w:bidi w:val="0"/>
                    <w:spacing w:before="0" w:beforeAutospacing="0" w:after="0" w:afterAutospacing="0"/>
                    <w:ind w:left="0" w:right="0"/>
                    <w:rPr>
                      <w:rFonts w:hint="default"/>
                    </w:rPr>
                  </w:pPr>
                  <w:r>
                    <w:rPr>
                      <w:rFonts w:hint="default"/>
                    </w:rPr>
                    <w:t>21.5</w:t>
                  </w:r>
                </w:p>
              </w:tc>
              <w:tc>
                <w:tcPr>
                  <w:tcW w:w="184" w:type="pct"/>
                  <w:tcBorders>
                    <w:tl2br w:val="nil"/>
                    <w:tr2bl w:val="nil"/>
                  </w:tcBorders>
                  <w:shd w:val="clear" w:color="auto" w:fill="auto"/>
                  <w:tcMar>
                    <w:top w:w="0" w:type="dxa"/>
                    <w:left w:w="0" w:type="dxa"/>
                    <w:bottom w:w="0" w:type="dxa"/>
                    <w:right w:w="0" w:type="dxa"/>
                  </w:tcMar>
                  <w:vAlign w:val="center"/>
                </w:tcPr>
                <w:p w14:paraId="43F4AA9D">
                  <w:pPr>
                    <w:pStyle w:val="8"/>
                    <w:keepNext w:val="0"/>
                    <w:keepLines w:val="0"/>
                    <w:suppressLineNumbers w:val="0"/>
                    <w:bidi w:val="0"/>
                    <w:spacing w:before="0" w:beforeAutospacing="0" w:after="0" w:afterAutospacing="0"/>
                    <w:ind w:left="0" w:right="0"/>
                    <w:rPr>
                      <w:rFonts w:hint="default"/>
                    </w:rPr>
                  </w:pPr>
                  <w:r>
                    <w:rPr>
                      <w:rFonts w:hint="default"/>
                    </w:rPr>
                    <w:t>64.4</w:t>
                  </w:r>
                </w:p>
              </w:tc>
              <w:tc>
                <w:tcPr>
                  <w:tcW w:w="184" w:type="pct"/>
                  <w:tcBorders>
                    <w:tl2br w:val="nil"/>
                    <w:tr2bl w:val="nil"/>
                  </w:tcBorders>
                  <w:shd w:val="clear" w:color="auto" w:fill="auto"/>
                  <w:tcMar>
                    <w:top w:w="0" w:type="dxa"/>
                    <w:left w:w="0" w:type="dxa"/>
                    <w:bottom w:w="0" w:type="dxa"/>
                    <w:right w:w="0" w:type="dxa"/>
                  </w:tcMar>
                  <w:vAlign w:val="center"/>
                </w:tcPr>
                <w:p w14:paraId="1DD47A12">
                  <w:pPr>
                    <w:pStyle w:val="8"/>
                    <w:keepNext w:val="0"/>
                    <w:keepLines w:val="0"/>
                    <w:suppressLineNumbers w:val="0"/>
                    <w:bidi w:val="0"/>
                    <w:spacing w:before="0" w:beforeAutospacing="0" w:after="0" w:afterAutospacing="0"/>
                    <w:ind w:left="0" w:right="0"/>
                    <w:rPr>
                      <w:rFonts w:hint="default"/>
                    </w:rPr>
                  </w:pPr>
                  <w:r>
                    <w:rPr>
                      <w:rFonts w:hint="default"/>
                    </w:rPr>
                    <w:t>64.5</w:t>
                  </w:r>
                </w:p>
              </w:tc>
              <w:tc>
                <w:tcPr>
                  <w:tcW w:w="184" w:type="pct"/>
                  <w:tcBorders>
                    <w:tl2br w:val="nil"/>
                    <w:tr2bl w:val="nil"/>
                  </w:tcBorders>
                  <w:shd w:val="clear" w:color="auto" w:fill="auto"/>
                  <w:tcMar>
                    <w:top w:w="0" w:type="dxa"/>
                    <w:left w:w="0" w:type="dxa"/>
                    <w:bottom w:w="0" w:type="dxa"/>
                    <w:right w:w="0" w:type="dxa"/>
                  </w:tcMar>
                  <w:vAlign w:val="center"/>
                </w:tcPr>
                <w:p w14:paraId="6C38119E">
                  <w:pPr>
                    <w:pStyle w:val="8"/>
                    <w:keepNext w:val="0"/>
                    <w:keepLines w:val="0"/>
                    <w:suppressLineNumbers w:val="0"/>
                    <w:bidi w:val="0"/>
                    <w:spacing w:before="0" w:beforeAutospacing="0" w:after="0" w:afterAutospacing="0"/>
                    <w:ind w:left="0" w:right="0"/>
                    <w:rPr>
                      <w:rFonts w:hint="default"/>
                    </w:rPr>
                  </w:pPr>
                  <w:r>
                    <w:rPr>
                      <w:rFonts w:hint="default"/>
                    </w:rPr>
                    <w:t>64.5</w:t>
                  </w:r>
                </w:p>
              </w:tc>
              <w:tc>
                <w:tcPr>
                  <w:tcW w:w="184" w:type="pct"/>
                  <w:tcBorders>
                    <w:tl2br w:val="nil"/>
                    <w:tr2bl w:val="nil"/>
                  </w:tcBorders>
                  <w:shd w:val="clear" w:color="auto" w:fill="auto"/>
                  <w:tcMar>
                    <w:top w:w="0" w:type="dxa"/>
                    <w:left w:w="0" w:type="dxa"/>
                    <w:bottom w:w="0" w:type="dxa"/>
                    <w:right w:w="0" w:type="dxa"/>
                  </w:tcMar>
                  <w:vAlign w:val="center"/>
                </w:tcPr>
                <w:p w14:paraId="49BBEECE">
                  <w:pPr>
                    <w:pStyle w:val="8"/>
                    <w:keepNext w:val="0"/>
                    <w:keepLines w:val="0"/>
                    <w:suppressLineNumbers w:val="0"/>
                    <w:bidi w:val="0"/>
                    <w:spacing w:before="0" w:beforeAutospacing="0" w:after="0" w:afterAutospacing="0"/>
                    <w:ind w:left="0" w:right="0"/>
                    <w:rPr>
                      <w:rFonts w:hint="default"/>
                    </w:rPr>
                  </w:pPr>
                  <w:r>
                    <w:rPr>
                      <w:rFonts w:hint="default"/>
                    </w:rPr>
                    <w:t>64.5</w:t>
                  </w:r>
                </w:p>
              </w:tc>
              <w:tc>
                <w:tcPr>
                  <w:tcW w:w="208" w:type="pct"/>
                  <w:tcBorders>
                    <w:tl2br w:val="nil"/>
                    <w:tr2bl w:val="nil"/>
                  </w:tcBorders>
                  <w:shd w:val="clear" w:color="auto" w:fill="auto"/>
                  <w:tcMar>
                    <w:top w:w="0" w:type="dxa"/>
                    <w:left w:w="0" w:type="dxa"/>
                    <w:bottom w:w="0" w:type="dxa"/>
                    <w:right w:w="0" w:type="dxa"/>
                  </w:tcMar>
                  <w:vAlign w:val="center"/>
                </w:tcPr>
                <w:p w14:paraId="24B4BBE8">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6AAE0F97">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D32569F">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9BF82CD">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CA411DA">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C6C9E28">
                  <w:pPr>
                    <w:pStyle w:val="8"/>
                    <w:keepNext w:val="0"/>
                    <w:keepLines w:val="0"/>
                    <w:suppressLineNumbers w:val="0"/>
                    <w:bidi w:val="0"/>
                    <w:spacing w:before="0" w:beforeAutospacing="0" w:after="0" w:afterAutospacing="0"/>
                    <w:ind w:left="0" w:right="0"/>
                    <w:rPr>
                      <w:rFonts w:hint="default"/>
                    </w:rPr>
                  </w:pPr>
                  <w:r>
                    <w:rPr>
                      <w:rFonts w:hint="default"/>
                    </w:rPr>
                    <w:t>38.4</w:t>
                  </w:r>
                </w:p>
              </w:tc>
              <w:tc>
                <w:tcPr>
                  <w:tcW w:w="184" w:type="pct"/>
                  <w:tcBorders>
                    <w:tl2br w:val="nil"/>
                    <w:tr2bl w:val="nil"/>
                  </w:tcBorders>
                  <w:shd w:val="clear" w:color="auto" w:fill="auto"/>
                  <w:tcMar>
                    <w:top w:w="0" w:type="dxa"/>
                    <w:left w:w="0" w:type="dxa"/>
                    <w:bottom w:w="0" w:type="dxa"/>
                    <w:right w:w="0" w:type="dxa"/>
                  </w:tcMar>
                  <w:vAlign w:val="center"/>
                </w:tcPr>
                <w:p w14:paraId="07BC937B">
                  <w:pPr>
                    <w:pStyle w:val="8"/>
                    <w:keepNext w:val="0"/>
                    <w:keepLines w:val="0"/>
                    <w:suppressLineNumbers w:val="0"/>
                    <w:bidi w:val="0"/>
                    <w:spacing w:before="0" w:beforeAutospacing="0" w:after="0" w:afterAutospacing="0"/>
                    <w:ind w:left="0" w:right="0"/>
                    <w:rPr>
                      <w:rFonts w:hint="default"/>
                    </w:rPr>
                  </w:pPr>
                  <w:r>
                    <w:rPr>
                      <w:rFonts w:hint="default"/>
                    </w:rPr>
                    <w:t>38.5</w:t>
                  </w:r>
                </w:p>
              </w:tc>
              <w:tc>
                <w:tcPr>
                  <w:tcW w:w="184" w:type="pct"/>
                  <w:tcBorders>
                    <w:tl2br w:val="nil"/>
                    <w:tr2bl w:val="nil"/>
                  </w:tcBorders>
                  <w:shd w:val="clear" w:color="auto" w:fill="auto"/>
                  <w:tcMar>
                    <w:top w:w="0" w:type="dxa"/>
                    <w:left w:w="0" w:type="dxa"/>
                    <w:bottom w:w="0" w:type="dxa"/>
                    <w:right w:w="0" w:type="dxa"/>
                  </w:tcMar>
                  <w:vAlign w:val="center"/>
                </w:tcPr>
                <w:p w14:paraId="1244D59B">
                  <w:pPr>
                    <w:pStyle w:val="8"/>
                    <w:keepNext w:val="0"/>
                    <w:keepLines w:val="0"/>
                    <w:suppressLineNumbers w:val="0"/>
                    <w:bidi w:val="0"/>
                    <w:spacing w:before="0" w:beforeAutospacing="0" w:after="0" w:afterAutospacing="0"/>
                    <w:ind w:left="0" w:right="0"/>
                    <w:rPr>
                      <w:rFonts w:hint="default"/>
                    </w:rPr>
                  </w:pPr>
                  <w:r>
                    <w:rPr>
                      <w:rFonts w:hint="default"/>
                    </w:rPr>
                    <w:t>38.5</w:t>
                  </w:r>
                </w:p>
              </w:tc>
              <w:tc>
                <w:tcPr>
                  <w:tcW w:w="184" w:type="pct"/>
                  <w:tcBorders>
                    <w:tl2br w:val="nil"/>
                    <w:tr2bl w:val="nil"/>
                  </w:tcBorders>
                  <w:shd w:val="clear" w:color="auto" w:fill="auto"/>
                  <w:tcMar>
                    <w:top w:w="0" w:type="dxa"/>
                    <w:left w:w="0" w:type="dxa"/>
                    <w:bottom w:w="0" w:type="dxa"/>
                    <w:right w:w="0" w:type="dxa"/>
                  </w:tcMar>
                  <w:vAlign w:val="center"/>
                </w:tcPr>
                <w:p w14:paraId="6DE734FE">
                  <w:pPr>
                    <w:pStyle w:val="8"/>
                    <w:keepNext w:val="0"/>
                    <w:keepLines w:val="0"/>
                    <w:suppressLineNumbers w:val="0"/>
                    <w:bidi w:val="0"/>
                    <w:spacing w:before="0" w:beforeAutospacing="0" w:after="0" w:afterAutospacing="0"/>
                    <w:ind w:left="0" w:right="0"/>
                    <w:rPr>
                      <w:rFonts w:hint="default"/>
                    </w:rPr>
                  </w:pPr>
                  <w:r>
                    <w:rPr>
                      <w:rFonts w:hint="default"/>
                    </w:rPr>
                    <w:t>38.5</w:t>
                  </w:r>
                </w:p>
              </w:tc>
              <w:tc>
                <w:tcPr>
                  <w:tcW w:w="107" w:type="pct"/>
                  <w:tcBorders>
                    <w:tl2br w:val="nil"/>
                    <w:tr2bl w:val="nil"/>
                  </w:tcBorders>
                  <w:shd w:val="clear" w:color="auto" w:fill="auto"/>
                  <w:tcMar>
                    <w:top w:w="0" w:type="dxa"/>
                    <w:left w:w="0" w:type="dxa"/>
                    <w:bottom w:w="0" w:type="dxa"/>
                    <w:right w:w="0" w:type="dxa"/>
                  </w:tcMar>
                  <w:vAlign w:val="center"/>
                </w:tcPr>
                <w:p w14:paraId="04421BB3">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568CE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11A1D0AB">
                  <w:pPr>
                    <w:pStyle w:val="8"/>
                    <w:keepNext w:val="0"/>
                    <w:keepLines w:val="0"/>
                    <w:suppressLineNumbers w:val="0"/>
                    <w:bidi w:val="0"/>
                    <w:spacing w:before="0" w:beforeAutospacing="0" w:after="0" w:afterAutospacing="0"/>
                    <w:ind w:left="0" w:right="0"/>
                    <w:rPr>
                      <w:rFonts w:hint="default"/>
                    </w:rPr>
                  </w:pPr>
                  <w:r>
                    <w:rPr>
                      <w:rFonts w:hint="default"/>
                    </w:rPr>
                    <w:t>5</w:t>
                  </w:r>
                </w:p>
              </w:tc>
              <w:tc>
                <w:tcPr>
                  <w:tcW w:w="208" w:type="pct"/>
                  <w:tcBorders>
                    <w:tl2br w:val="nil"/>
                    <w:tr2bl w:val="nil"/>
                  </w:tcBorders>
                  <w:shd w:val="clear" w:color="auto" w:fill="auto"/>
                  <w:tcMar>
                    <w:top w:w="0" w:type="dxa"/>
                    <w:left w:w="0" w:type="dxa"/>
                    <w:bottom w:w="0" w:type="dxa"/>
                    <w:right w:w="0" w:type="dxa"/>
                  </w:tcMar>
                  <w:vAlign w:val="center"/>
                </w:tcPr>
                <w:p w14:paraId="54470B3C">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300D05D7">
                  <w:pPr>
                    <w:pStyle w:val="8"/>
                    <w:keepNext w:val="0"/>
                    <w:keepLines w:val="0"/>
                    <w:suppressLineNumbers w:val="0"/>
                    <w:bidi w:val="0"/>
                    <w:spacing w:before="0" w:beforeAutospacing="0" w:after="0" w:afterAutospacing="0"/>
                    <w:ind w:left="0" w:right="0"/>
                    <w:rPr>
                      <w:rFonts w:hint="default"/>
                    </w:rPr>
                  </w:pPr>
                  <w:r>
                    <w:rPr>
                      <w:rFonts w:hint="default"/>
                    </w:rPr>
                    <w:t>泵,40台（按点声源组预测）</w:t>
                  </w:r>
                </w:p>
              </w:tc>
              <w:tc>
                <w:tcPr>
                  <w:tcW w:w="295" w:type="pct"/>
                  <w:tcBorders>
                    <w:tl2br w:val="nil"/>
                    <w:tr2bl w:val="nil"/>
                  </w:tcBorders>
                  <w:shd w:val="clear" w:color="auto" w:fill="auto"/>
                  <w:tcMar>
                    <w:top w:w="0" w:type="dxa"/>
                    <w:left w:w="0" w:type="dxa"/>
                    <w:bottom w:w="0" w:type="dxa"/>
                    <w:right w:w="0" w:type="dxa"/>
                  </w:tcMar>
                  <w:vAlign w:val="center"/>
                </w:tcPr>
                <w:p w14:paraId="30A1C9BF">
                  <w:pPr>
                    <w:pStyle w:val="8"/>
                    <w:keepNext w:val="0"/>
                    <w:keepLines w:val="0"/>
                    <w:suppressLineNumbers w:val="0"/>
                    <w:bidi w:val="0"/>
                    <w:spacing w:before="0" w:beforeAutospacing="0" w:after="0" w:afterAutospacing="0"/>
                    <w:ind w:left="0" w:right="0"/>
                    <w:rPr>
                      <w:rFonts w:hint="default"/>
                    </w:rPr>
                  </w:pPr>
                  <w:r>
                    <w:rPr>
                      <w:rFonts w:hint="default"/>
                    </w:rPr>
                    <w:t>85（等效后：101.0)</w:t>
                  </w:r>
                </w:p>
              </w:tc>
              <w:tc>
                <w:tcPr>
                  <w:tcW w:w="210" w:type="pct"/>
                  <w:tcBorders>
                    <w:tl2br w:val="nil"/>
                    <w:tr2bl w:val="nil"/>
                  </w:tcBorders>
                  <w:shd w:val="clear" w:color="auto" w:fill="auto"/>
                  <w:tcMar>
                    <w:top w:w="0" w:type="dxa"/>
                    <w:left w:w="0" w:type="dxa"/>
                    <w:bottom w:w="0" w:type="dxa"/>
                    <w:right w:w="0" w:type="dxa"/>
                  </w:tcMar>
                  <w:vAlign w:val="center"/>
                </w:tcPr>
                <w:p w14:paraId="060DFBFF">
                  <w:pPr>
                    <w:pStyle w:val="8"/>
                    <w:keepNext w:val="0"/>
                    <w:keepLines w:val="0"/>
                    <w:suppressLineNumbers w:val="0"/>
                    <w:bidi w:val="0"/>
                    <w:spacing w:before="0" w:beforeAutospacing="0" w:after="0" w:afterAutospacing="0"/>
                    <w:ind w:left="0" w:right="0"/>
                    <w:rPr>
                      <w:rFonts w:hint="default"/>
                    </w:rPr>
                  </w:pPr>
                  <w:r>
                    <w:rPr>
                      <w:rFonts w:hint="default"/>
                    </w:rPr>
                    <w:t>基础减振、消音</w:t>
                  </w:r>
                </w:p>
              </w:tc>
              <w:tc>
                <w:tcPr>
                  <w:tcW w:w="218" w:type="pct"/>
                  <w:tcBorders>
                    <w:tl2br w:val="nil"/>
                    <w:tr2bl w:val="nil"/>
                  </w:tcBorders>
                  <w:shd w:val="clear" w:color="auto" w:fill="auto"/>
                  <w:tcMar>
                    <w:top w:w="0" w:type="dxa"/>
                    <w:left w:w="0" w:type="dxa"/>
                    <w:bottom w:w="0" w:type="dxa"/>
                    <w:right w:w="0" w:type="dxa"/>
                  </w:tcMar>
                  <w:vAlign w:val="center"/>
                </w:tcPr>
                <w:p w14:paraId="137BF5DF">
                  <w:pPr>
                    <w:pStyle w:val="8"/>
                    <w:keepNext w:val="0"/>
                    <w:keepLines w:val="0"/>
                    <w:suppressLineNumbers w:val="0"/>
                    <w:bidi w:val="0"/>
                    <w:spacing w:before="0" w:beforeAutospacing="0" w:after="0" w:afterAutospacing="0"/>
                    <w:ind w:left="0" w:right="0"/>
                    <w:rPr>
                      <w:rFonts w:hint="default"/>
                    </w:rPr>
                  </w:pPr>
                  <w:r>
                    <w:rPr>
                      <w:rFonts w:hint="default"/>
                    </w:rPr>
                    <w:t>15.1</w:t>
                  </w:r>
                </w:p>
              </w:tc>
              <w:tc>
                <w:tcPr>
                  <w:tcW w:w="218" w:type="pct"/>
                  <w:tcBorders>
                    <w:tl2br w:val="nil"/>
                    <w:tr2bl w:val="nil"/>
                  </w:tcBorders>
                  <w:shd w:val="clear" w:color="auto" w:fill="auto"/>
                  <w:tcMar>
                    <w:top w:w="0" w:type="dxa"/>
                    <w:left w:w="0" w:type="dxa"/>
                    <w:bottom w:w="0" w:type="dxa"/>
                    <w:right w:w="0" w:type="dxa"/>
                  </w:tcMar>
                  <w:vAlign w:val="center"/>
                </w:tcPr>
                <w:p w14:paraId="7F50D5AF">
                  <w:pPr>
                    <w:pStyle w:val="8"/>
                    <w:keepNext w:val="0"/>
                    <w:keepLines w:val="0"/>
                    <w:suppressLineNumbers w:val="0"/>
                    <w:bidi w:val="0"/>
                    <w:spacing w:before="0" w:beforeAutospacing="0" w:after="0" w:afterAutospacing="0"/>
                    <w:ind w:left="0" w:right="0"/>
                    <w:rPr>
                      <w:rFonts w:hint="default"/>
                    </w:rPr>
                  </w:pPr>
                  <w:r>
                    <w:rPr>
                      <w:rFonts w:hint="default"/>
                    </w:rPr>
                    <w:t>-19.4</w:t>
                  </w:r>
                </w:p>
              </w:tc>
              <w:tc>
                <w:tcPr>
                  <w:tcW w:w="133" w:type="pct"/>
                  <w:tcBorders>
                    <w:tl2br w:val="nil"/>
                    <w:tr2bl w:val="nil"/>
                  </w:tcBorders>
                  <w:shd w:val="clear" w:color="auto" w:fill="auto"/>
                  <w:tcMar>
                    <w:top w:w="0" w:type="dxa"/>
                    <w:left w:w="0" w:type="dxa"/>
                    <w:bottom w:w="0" w:type="dxa"/>
                    <w:right w:w="0" w:type="dxa"/>
                  </w:tcMar>
                  <w:vAlign w:val="center"/>
                </w:tcPr>
                <w:p w14:paraId="496EAA0C">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4B56A930">
                  <w:pPr>
                    <w:pStyle w:val="8"/>
                    <w:keepNext w:val="0"/>
                    <w:keepLines w:val="0"/>
                    <w:suppressLineNumbers w:val="0"/>
                    <w:bidi w:val="0"/>
                    <w:spacing w:before="0" w:beforeAutospacing="0" w:after="0" w:afterAutospacing="0"/>
                    <w:ind w:left="0" w:right="0"/>
                    <w:rPr>
                      <w:rFonts w:hint="default"/>
                    </w:rPr>
                  </w:pPr>
                  <w:r>
                    <w:rPr>
                      <w:rFonts w:hint="default"/>
                    </w:rPr>
                    <w:t>48.2</w:t>
                  </w:r>
                </w:p>
              </w:tc>
              <w:tc>
                <w:tcPr>
                  <w:tcW w:w="184" w:type="pct"/>
                  <w:tcBorders>
                    <w:tl2br w:val="nil"/>
                    <w:tr2bl w:val="nil"/>
                  </w:tcBorders>
                  <w:shd w:val="clear" w:color="auto" w:fill="auto"/>
                  <w:tcMar>
                    <w:top w:w="0" w:type="dxa"/>
                    <w:left w:w="0" w:type="dxa"/>
                    <w:bottom w:w="0" w:type="dxa"/>
                    <w:right w:w="0" w:type="dxa"/>
                  </w:tcMar>
                  <w:vAlign w:val="center"/>
                </w:tcPr>
                <w:p w14:paraId="177F72EB">
                  <w:pPr>
                    <w:pStyle w:val="8"/>
                    <w:keepNext w:val="0"/>
                    <w:keepLines w:val="0"/>
                    <w:suppressLineNumbers w:val="0"/>
                    <w:bidi w:val="0"/>
                    <w:spacing w:before="0" w:beforeAutospacing="0" w:after="0" w:afterAutospacing="0"/>
                    <w:ind w:left="0" w:right="0"/>
                    <w:rPr>
                      <w:rFonts w:hint="default"/>
                    </w:rPr>
                  </w:pPr>
                  <w:r>
                    <w:rPr>
                      <w:rFonts w:hint="default"/>
                    </w:rPr>
                    <w:t>24.9</w:t>
                  </w:r>
                </w:p>
              </w:tc>
              <w:tc>
                <w:tcPr>
                  <w:tcW w:w="184" w:type="pct"/>
                  <w:tcBorders>
                    <w:tl2br w:val="nil"/>
                    <w:tr2bl w:val="nil"/>
                  </w:tcBorders>
                  <w:shd w:val="clear" w:color="auto" w:fill="auto"/>
                  <w:tcMar>
                    <w:top w:w="0" w:type="dxa"/>
                    <w:left w:w="0" w:type="dxa"/>
                    <w:bottom w:w="0" w:type="dxa"/>
                    <w:right w:w="0" w:type="dxa"/>
                  </w:tcMar>
                  <w:vAlign w:val="center"/>
                </w:tcPr>
                <w:p w14:paraId="5F6A31B0">
                  <w:pPr>
                    <w:pStyle w:val="8"/>
                    <w:keepNext w:val="0"/>
                    <w:keepLines w:val="0"/>
                    <w:suppressLineNumbers w:val="0"/>
                    <w:bidi w:val="0"/>
                    <w:spacing w:before="0" w:beforeAutospacing="0" w:after="0" w:afterAutospacing="0"/>
                    <w:ind w:left="0" w:right="0"/>
                    <w:rPr>
                      <w:rFonts w:hint="default"/>
                    </w:rPr>
                  </w:pPr>
                  <w:r>
                    <w:rPr>
                      <w:rFonts w:hint="default"/>
                    </w:rPr>
                    <w:t>24.9</w:t>
                  </w:r>
                </w:p>
              </w:tc>
              <w:tc>
                <w:tcPr>
                  <w:tcW w:w="184" w:type="pct"/>
                  <w:tcBorders>
                    <w:tl2br w:val="nil"/>
                    <w:tr2bl w:val="nil"/>
                  </w:tcBorders>
                  <w:shd w:val="clear" w:color="auto" w:fill="auto"/>
                  <w:tcMar>
                    <w:top w:w="0" w:type="dxa"/>
                    <w:left w:w="0" w:type="dxa"/>
                    <w:bottom w:w="0" w:type="dxa"/>
                    <w:right w:w="0" w:type="dxa"/>
                  </w:tcMar>
                  <w:vAlign w:val="center"/>
                </w:tcPr>
                <w:p w14:paraId="629575BD">
                  <w:pPr>
                    <w:pStyle w:val="8"/>
                    <w:keepNext w:val="0"/>
                    <w:keepLines w:val="0"/>
                    <w:suppressLineNumbers w:val="0"/>
                    <w:bidi w:val="0"/>
                    <w:spacing w:before="0" w:beforeAutospacing="0" w:after="0" w:afterAutospacing="0"/>
                    <w:ind w:left="0" w:right="0"/>
                    <w:rPr>
                      <w:rFonts w:hint="default"/>
                    </w:rPr>
                  </w:pPr>
                  <w:r>
                    <w:rPr>
                      <w:rFonts w:hint="default"/>
                    </w:rPr>
                    <w:t>23.4</w:t>
                  </w:r>
                </w:p>
              </w:tc>
              <w:tc>
                <w:tcPr>
                  <w:tcW w:w="184" w:type="pct"/>
                  <w:tcBorders>
                    <w:tl2br w:val="nil"/>
                    <w:tr2bl w:val="nil"/>
                  </w:tcBorders>
                  <w:shd w:val="clear" w:color="auto" w:fill="auto"/>
                  <w:tcMar>
                    <w:top w:w="0" w:type="dxa"/>
                    <w:left w:w="0" w:type="dxa"/>
                    <w:bottom w:w="0" w:type="dxa"/>
                    <w:right w:w="0" w:type="dxa"/>
                  </w:tcMar>
                  <w:vAlign w:val="center"/>
                </w:tcPr>
                <w:p w14:paraId="1B4DB0B9">
                  <w:pPr>
                    <w:pStyle w:val="8"/>
                    <w:keepNext w:val="0"/>
                    <w:keepLines w:val="0"/>
                    <w:suppressLineNumbers w:val="0"/>
                    <w:bidi w:val="0"/>
                    <w:spacing w:before="0" w:beforeAutospacing="0" w:after="0" w:afterAutospacing="0"/>
                    <w:ind w:left="0" w:right="0"/>
                    <w:rPr>
                      <w:rFonts w:hint="default"/>
                    </w:rPr>
                  </w:pPr>
                  <w:r>
                    <w:rPr>
                      <w:rFonts w:hint="default"/>
                    </w:rPr>
                    <w:t>82.6</w:t>
                  </w:r>
                </w:p>
              </w:tc>
              <w:tc>
                <w:tcPr>
                  <w:tcW w:w="184" w:type="pct"/>
                  <w:tcBorders>
                    <w:tl2br w:val="nil"/>
                    <w:tr2bl w:val="nil"/>
                  </w:tcBorders>
                  <w:shd w:val="clear" w:color="auto" w:fill="auto"/>
                  <w:tcMar>
                    <w:top w:w="0" w:type="dxa"/>
                    <w:left w:w="0" w:type="dxa"/>
                    <w:bottom w:w="0" w:type="dxa"/>
                    <w:right w:w="0" w:type="dxa"/>
                  </w:tcMar>
                  <w:vAlign w:val="center"/>
                </w:tcPr>
                <w:p w14:paraId="160FC095">
                  <w:pPr>
                    <w:pStyle w:val="8"/>
                    <w:keepNext w:val="0"/>
                    <w:keepLines w:val="0"/>
                    <w:suppressLineNumbers w:val="0"/>
                    <w:bidi w:val="0"/>
                    <w:spacing w:before="0" w:beforeAutospacing="0" w:after="0" w:afterAutospacing="0"/>
                    <w:ind w:left="0" w:right="0"/>
                    <w:rPr>
                      <w:rFonts w:hint="default"/>
                    </w:rPr>
                  </w:pPr>
                  <w:r>
                    <w:rPr>
                      <w:rFonts w:hint="default"/>
                    </w:rPr>
                    <w:t>82.7</w:t>
                  </w:r>
                </w:p>
              </w:tc>
              <w:tc>
                <w:tcPr>
                  <w:tcW w:w="184" w:type="pct"/>
                  <w:tcBorders>
                    <w:tl2br w:val="nil"/>
                    <w:tr2bl w:val="nil"/>
                  </w:tcBorders>
                  <w:shd w:val="clear" w:color="auto" w:fill="auto"/>
                  <w:tcMar>
                    <w:top w:w="0" w:type="dxa"/>
                    <w:left w:w="0" w:type="dxa"/>
                    <w:bottom w:w="0" w:type="dxa"/>
                    <w:right w:w="0" w:type="dxa"/>
                  </w:tcMar>
                  <w:vAlign w:val="center"/>
                </w:tcPr>
                <w:p w14:paraId="2BFC687F">
                  <w:pPr>
                    <w:pStyle w:val="8"/>
                    <w:keepNext w:val="0"/>
                    <w:keepLines w:val="0"/>
                    <w:suppressLineNumbers w:val="0"/>
                    <w:bidi w:val="0"/>
                    <w:spacing w:before="0" w:beforeAutospacing="0" w:after="0" w:afterAutospacing="0"/>
                    <w:ind w:left="0" w:right="0"/>
                    <w:rPr>
                      <w:rFonts w:hint="default"/>
                    </w:rPr>
                  </w:pPr>
                  <w:r>
                    <w:rPr>
                      <w:rFonts w:hint="default"/>
                    </w:rPr>
                    <w:t>82.7</w:t>
                  </w:r>
                </w:p>
              </w:tc>
              <w:tc>
                <w:tcPr>
                  <w:tcW w:w="184" w:type="pct"/>
                  <w:tcBorders>
                    <w:tl2br w:val="nil"/>
                    <w:tr2bl w:val="nil"/>
                  </w:tcBorders>
                  <w:shd w:val="clear" w:color="auto" w:fill="auto"/>
                  <w:tcMar>
                    <w:top w:w="0" w:type="dxa"/>
                    <w:left w:w="0" w:type="dxa"/>
                    <w:bottom w:w="0" w:type="dxa"/>
                    <w:right w:w="0" w:type="dxa"/>
                  </w:tcMar>
                  <w:vAlign w:val="center"/>
                </w:tcPr>
                <w:p w14:paraId="79DB0456">
                  <w:pPr>
                    <w:pStyle w:val="8"/>
                    <w:keepNext w:val="0"/>
                    <w:keepLines w:val="0"/>
                    <w:suppressLineNumbers w:val="0"/>
                    <w:bidi w:val="0"/>
                    <w:spacing w:before="0" w:beforeAutospacing="0" w:after="0" w:afterAutospacing="0"/>
                    <w:ind w:left="0" w:right="0"/>
                    <w:rPr>
                      <w:rFonts w:hint="default"/>
                    </w:rPr>
                  </w:pPr>
                  <w:r>
                    <w:rPr>
                      <w:rFonts w:hint="default"/>
                    </w:rPr>
                    <w:t>82.7</w:t>
                  </w:r>
                </w:p>
              </w:tc>
              <w:tc>
                <w:tcPr>
                  <w:tcW w:w="208" w:type="pct"/>
                  <w:tcBorders>
                    <w:tl2br w:val="nil"/>
                    <w:tr2bl w:val="nil"/>
                  </w:tcBorders>
                  <w:shd w:val="clear" w:color="auto" w:fill="auto"/>
                  <w:tcMar>
                    <w:top w:w="0" w:type="dxa"/>
                    <w:left w:w="0" w:type="dxa"/>
                    <w:bottom w:w="0" w:type="dxa"/>
                    <w:right w:w="0" w:type="dxa"/>
                  </w:tcMar>
                  <w:vAlign w:val="center"/>
                </w:tcPr>
                <w:p w14:paraId="126AD48B">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1FA3CEBA">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456C0708">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34AB0DA">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C24C318">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42367DD">
                  <w:pPr>
                    <w:pStyle w:val="8"/>
                    <w:keepNext w:val="0"/>
                    <w:keepLines w:val="0"/>
                    <w:suppressLineNumbers w:val="0"/>
                    <w:bidi w:val="0"/>
                    <w:spacing w:before="0" w:beforeAutospacing="0" w:after="0" w:afterAutospacing="0"/>
                    <w:ind w:left="0" w:right="0"/>
                    <w:rPr>
                      <w:rFonts w:hint="default"/>
                    </w:rPr>
                  </w:pPr>
                  <w:r>
                    <w:rPr>
                      <w:rFonts w:hint="default"/>
                    </w:rPr>
                    <w:t>56.6</w:t>
                  </w:r>
                </w:p>
              </w:tc>
              <w:tc>
                <w:tcPr>
                  <w:tcW w:w="184" w:type="pct"/>
                  <w:tcBorders>
                    <w:tl2br w:val="nil"/>
                    <w:tr2bl w:val="nil"/>
                  </w:tcBorders>
                  <w:shd w:val="clear" w:color="auto" w:fill="auto"/>
                  <w:tcMar>
                    <w:top w:w="0" w:type="dxa"/>
                    <w:left w:w="0" w:type="dxa"/>
                    <w:bottom w:w="0" w:type="dxa"/>
                    <w:right w:w="0" w:type="dxa"/>
                  </w:tcMar>
                  <w:vAlign w:val="center"/>
                </w:tcPr>
                <w:p w14:paraId="10B8D98B">
                  <w:pPr>
                    <w:pStyle w:val="8"/>
                    <w:keepNext w:val="0"/>
                    <w:keepLines w:val="0"/>
                    <w:suppressLineNumbers w:val="0"/>
                    <w:bidi w:val="0"/>
                    <w:spacing w:before="0" w:beforeAutospacing="0" w:after="0" w:afterAutospacing="0"/>
                    <w:ind w:left="0" w:right="0"/>
                    <w:rPr>
                      <w:rFonts w:hint="default"/>
                    </w:rPr>
                  </w:pPr>
                  <w:r>
                    <w:rPr>
                      <w:rFonts w:hint="default"/>
                    </w:rPr>
                    <w:t>56.7</w:t>
                  </w:r>
                </w:p>
              </w:tc>
              <w:tc>
                <w:tcPr>
                  <w:tcW w:w="184" w:type="pct"/>
                  <w:tcBorders>
                    <w:tl2br w:val="nil"/>
                    <w:tr2bl w:val="nil"/>
                  </w:tcBorders>
                  <w:shd w:val="clear" w:color="auto" w:fill="auto"/>
                  <w:tcMar>
                    <w:top w:w="0" w:type="dxa"/>
                    <w:left w:w="0" w:type="dxa"/>
                    <w:bottom w:w="0" w:type="dxa"/>
                    <w:right w:w="0" w:type="dxa"/>
                  </w:tcMar>
                  <w:vAlign w:val="center"/>
                </w:tcPr>
                <w:p w14:paraId="034BA168">
                  <w:pPr>
                    <w:pStyle w:val="8"/>
                    <w:keepNext w:val="0"/>
                    <w:keepLines w:val="0"/>
                    <w:suppressLineNumbers w:val="0"/>
                    <w:bidi w:val="0"/>
                    <w:spacing w:before="0" w:beforeAutospacing="0" w:after="0" w:afterAutospacing="0"/>
                    <w:ind w:left="0" w:right="0"/>
                    <w:rPr>
                      <w:rFonts w:hint="default"/>
                    </w:rPr>
                  </w:pPr>
                  <w:r>
                    <w:rPr>
                      <w:rFonts w:hint="default"/>
                    </w:rPr>
                    <w:t>56.7</w:t>
                  </w:r>
                </w:p>
              </w:tc>
              <w:tc>
                <w:tcPr>
                  <w:tcW w:w="184" w:type="pct"/>
                  <w:tcBorders>
                    <w:tl2br w:val="nil"/>
                    <w:tr2bl w:val="nil"/>
                  </w:tcBorders>
                  <w:shd w:val="clear" w:color="auto" w:fill="auto"/>
                  <w:tcMar>
                    <w:top w:w="0" w:type="dxa"/>
                    <w:left w:w="0" w:type="dxa"/>
                    <w:bottom w:w="0" w:type="dxa"/>
                    <w:right w:w="0" w:type="dxa"/>
                  </w:tcMar>
                  <w:vAlign w:val="center"/>
                </w:tcPr>
                <w:p w14:paraId="7FE252C8">
                  <w:pPr>
                    <w:pStyle w:val="8"/>
                    <w:keepNext w:val="0"/>
                    <w:keepLines w:val="0"/>
                    <w:suppressLineNumbers w:val="0"/>
                    <w:bidi w:val="0"/>
                    <w:spacing w:before="0" w:beforeAutospacing="0" w:after="0" w:afterAutospacing="0"/>
                    <w:ind w:left="0" w:right="0"/>
                    <w:rPr>
                      <w:rFonts w:hint="default"/>
                    </w:rPr>
                  </w:pPr>
                  <w:r>
                    <w:rPr>
                      <w:rFonts w:hint="default"/>
                    </w:rPr>
                    <w:t>56.7</w:t>
                  </w:r>
                </w:p>
              </w:tc>
              <w:tc>
                <w:tcPr>
                  <w:tcW w:w="107" w:type="pct"/>
                  <w:tcBorders>
                    <w:tl2br w:val="nil"/>
                    <w:tr2bl w:val="nil"/>
                  </w:tcBorders>
                  <w:shd w:val="clear" w:color="auto" w:fill="auto"/>
                  <w:tcMar>
                    <w:top w:w="0" w:type="dxa"/>
                    <w:left w:w="0" w:type="dxa"/>
                    <w:bottom w:w="0" w:type="dxa"/>
                    <w:right w:w="0" w:type="dxa"/>
                  </w:tcMar>
                  <w:vAlign w:val="center"/>
                </w:tcPr>
                <w:p w14:paraId="293F0C9B">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0F363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2823FE7C">
                  <w:pPr>
                    <w:pStyle w:val="8"/>
                    <w:keepNext w:val="0"/>
                    <w:keepLines w:val="0"/>
                    <w:suppressLineNumbers w:val="0"/>
                    <w:bidi w:val="0"/>
                    <w:spacing w:before="0" w:beforeAutospacing="0" w:after="0" w:afterAutospacing="0"/>
                    <w:ind w:left="0" w:right="0"/>
                    <w:rPr>
                      <w:rFonts w:hint="default"/>
                    </w:rPr>
                  </w:pPr>
                  <w:r>
                    <w:rPr>
                      <w:rFonts w:hint="default"/>
                    </w:rPr>
                    <w:t>6</w:t>
                  </w:r>
                </w:p>
              </w:tc>
              <w:tc>
                <w:tcPr>
                  <w:tcW w:w="208" w:type="pct"/>
                  <w:tcBorders>
                    <w:tl2br w:val="nil"/>
                    <w:tr2bl w:val="nil"/>
                  </w:tcBorders>
                  <w:shd w:val="clear" w:color="auto" w:fill="auto"/>
                  <w:tcMar>
                    <w:top w:w="0" w:type="dxa"/>
                    <w:left w:w="0" w:type="dxa"/>
                    <w:bottom w:w="0" w:type="dxa"/>
                    <w:right w:w="0" w:type="dxa"/>
                  </w:tcMar>
                  <w:vAlign w:val="center"/>
                </w:tcPr>
                <w:p w14:paraId="5B59EEFA">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666592F9">
                  <w:pPr>
                    <w:pStyle w:val="8"/>
                    <w:keepNext w:val="0"/>
                    <w:keepLines w:val="0"/>
                    <w:suppressLineNumbers w:val="0"/>
                    <w:bidi w:val="0"/>
                    <w:spacing w:before="0" w:beforeAutospacing="0" w:after="0" w:afterAutospacing="0"/>
                    <w:ind w:left="0" w:right="0"/>
                    <w:rPr>
                      <w:rFonts w:hint="default"/>
                    </w:rPr>
                  </w:pPr>
                  <w:r>
                    <w:rPr>
                      <w:rFonts w:hint="default"/>
                    </w:rPr>
                    <w:t>风机</w:t>
                  </w:r>
                </w:p>
              </w:tc>
              <w:tc>
                <w:tcPr>
                  <w:tcW w:w="295" w:type="pct"/>
                  <w:tcBorders>
                    <w:tl2br w:val="nil"/>
                    <w:tr2bl w:val="nil"/>
                  </w:tcBorders>
                  <w:shd w:val="clear" w:color="auto" w:fill="auto"/>
                  <w:tcMar>
                    <w:top w:w="0" w:type="dxa"/>
                    <w:left w:w="0" w:type="dxa"/>
                    <w:bottom w:w="0" w:type="dxa"/>
                    <w:right w:w="0" w:type="dxa"/>
                  </w:tcMar>
                  <w:vAlign w:val="center"/>
                </w:tcPr>
                <w:p w14:paraId="7079467B">
                  <w:pPr>
                    <w:pStyle w:val="8"/>
                    <w:keepNext w:val="0"/>
                    <w:keepLines w:val="0"/>
                    <w:suppressLineNumbers w:val="0"/>
                    <w:bidi w:val="0"/>
                    <w:spacing w:before="0" w:beforeAutospacing="0" w:after="0" w:afterAutospacing="0"/>
                    <w:ind w:left="0" w:right="0"/>
                    <w:rPr>
                      <w:rFonts w:hint="default"/>
                    </w:rPr>
                  </w:pPr>
                  <w:r>
                    <w:rPr>
                      <w:rFonts w:hint="default"/>
                    </w:rPr>
                    <w:t>90</w:t>
                  </w:r>
                </w:p>
              </w:tc>
              <w:tc>
                <w:tcPr>
                  <w:tcW w:w="210" w:type="pct"/>
                  <w:tcBorders>
                    <w:tl2br w:val="nil"/>
                    <w:tr2bl w:val="nil"/>
                  </w:tcBorders>
                  <w:shd w:val="clear" w:color="auto" w:fill="auto"/>
                  <w:tcMar>
                    <w:top w:w="0" w:type="dxa"/>
                    <w:left w:w="0" w:type="dxa"/>
                    <w:bottom w:w="0" w:type="dxa"/>
                    <w:right w:w="0" w:type="dxa"/>
                  </w:tcMar>
                  <w:vAlign w:val="center"/>
                </w:tcPr>
                <w:p w14:paraId="43E0EDE7">
                  <w:pPr>
                    <w:pStyle w:val="8"/>
                    <w:keepNext w:val="0"/>
                    <w:keepLines w:val="0"/>
                    <w:suppressLineNumbers w:val="0"/>
                    <w:bidi w:val="0"/>
                    <w:spacing w:before="0" w:beforeAutospacing="0" w:after="0" w:afterAutospacing="0"/>
                    <w:ind w:left="0" w:right="0"/>
                    <w:rPr>
                      <w:rFonts w:hint="default"/>
                    </w:rPr>
                  </w:pPr>
                  <w:r>
                    <w:rPr>
                      <w:rFonts w:hint="default"/>
                    </w:rPr>
                    <w:t>基础减振、消音</w:t>
                  </w:r>
                </w:p>
              </w:tc>
              <w:tc>
                <w:tcPr>
                  <w:tcW w:w="218" w:type="pct"/>
                  <w:tcBorders>
                    <w:tl2br w:val="nil"/>
                    <w:tr2bl w:val="nil"/>
                  </w:tcBorders>
                  <w:shd w:val="clear" w:color="auto" w:fill="auto"/>
                  <w:tcMar>
                    <w:top w:w="0" w:type="dxa"/>
                    <w:left w:w="0" w:type="dxa"/>
                    <w:bottom w:w="0" w:type="dxa"/>
                    <w:right w:w="0" w:type="dxa"/>
                  </w:tcMar>
                  <w:vAlign w:val="center"/>
                </w:tcPr>
                <w:p w14:paraId="125C6D27">
                  <w:pPr>
                    <w:pStyle w:val="8"/>
                    <w:keepNext w:val="0"/>
                    <w:keepLines w:val="0"/>
                    <w:suppressLineNumbers w:val="0"/>
                    <w:bidi w:val="0"/>
                    <w:spacing w:before="0" w:beforeAutospacing="0" w:after="0" w:afterAutospacing="0"/>
                    <w:ind w:left="0" w:right="0"/>
                    <w:rPr>
                      <w:rFonts w:hint="default"/>
                    </w:rPr>
                  </w:pPr>
                  <w:r>
                    <w:rPr>
                      <w:rFonts w:hint="default"/>
                    </w:rPr>
                    <w:t>-24.4</w:t>
                  </w:r>
                </w:p>
              </w:tc>
              <w:tc>
                <w:tcPr>
                  <w:tcW w:w="218" w:type="pct"/>
                  <w:tcBorders>
                    <w:tl2br w:val="nil"/>
                    <w:tr2bl w:val="nil"/>
                  </w:tcBorders>
                  <w:shd w:val="clear" w:color="auto" w:fill="auto"/>
                  <w:tcMar>
                    <w:top w:w="0" w:type="dxa"/>
                    <w:left w:w="0" w:type="dxa"/>
                    <w:bottom w:w="0" w:type="dxa"/>
                    <w:right w:w="0" w:type="dxa"/>
                  </w:tcMar>
                  <w:vAlign w:val="center"/>
                </w:tcPr>
                <w:p w14:paraId="7C8A6158">
                  <w:pPr>
                    <w:pStyle w:val="8"/>
                    <w:keepNext w:val="0"/>
                    <w:keepLines w:val="0"/>
                    <w:suppressLineNumbers w:val="0"/>
                    <w:bidi w:val="0"/>
                    <w:spacing w:before="0" w:beforeAutospacing="0" w:after="0" w:afterAutospacing="0"/>
                    <w:ind w:left="0" w:right="0"/>
                    <w:rPr>
                      <w:rFonts w:hint="default"/>
                    </w:rPr>
                  </w:pPr>
                  <w:r>
                    <w:rPr>
                      <w:rFonts w:hint="default"/>
                    </w:rPr>
                    <w:t>-14.7</w:t>
                  </w:r>
                </w:p>
              </w:tc>
              <w:tc>
                <w:tcPr>
                  <w:tcW w:w="133" w:type="pct"/>
                  <w:tcBorders>
                    <w:tl2br w:val="nil"/>
                    <w:tr2bl w:val="nil"/>
                  </w:tcBorders>
                  <w:shd w:val="clear" w:color="auto" w:fill="auto"/>
                  <w:tcMar>
                    <w:top w:w="0" w:type="dxa"/>
                    <w:left w:w="0" w:type="dxa"/>
                    <w:bottom w:w="0" w:type="dxa"/>
                    <w:right w:w="0" w:type="dxa"/>
                  </w:tcMar>
                  <w:vAlign w:val="center"/>
                </w:tcPr>
                <w:p w14:paraId="0C9A84AF">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7CD3FB42">
                  <w:pPr>
                    <w:pStyle w:val="8"/>
                    <w:keepNext w:val="0"/>
                    <w:keepLines w:val="0"/>
                    <w:suppressLineNumbers w:val="0"/>
                    <w:bidi w:val="0"/>
                    <w:spacing w:before="0" w:beforeAutospacing="0" w:after="0" w:afterAutospacing="0"/>
                    <w:ind w:left="0" w:right="0"/>
                    <w:rPr>
                      <w:rFonts w:hint="default"/>
                    </w:rPr>
                  </w:pPr>
                  <w:r>
                    <w:rPr>
                      <w:rFonts w:hint="default"/>
                    </w:rPr>
                    <w:t>81.6</w:t>
                  </w:r>
                </w:p>
              </w:tc>
              <w:tc>
                <w:tcPr>
                  <w:tcW w:w="184" w:type="pct"/>
                  <w:tcBorders>
                    <w:tl2br w:val="nil"/>
                    <w:tr2bl w:val="nil"/>
                  </w:tcBorders>
                  <w:shd w:val="clear" w:color="auto" w:fill="auto"/>
                  <w:tcMar>
                    <w:top w:w="0" w:type="dxa"/>
                    <w:left w:w="0" w:type="dxa"/>
                    <w:bottom w:w="0" w:type="dxa"/>
                    <w:right w:w="0" w:type="dxa"/>
                  </w:tcMar>
                  <w:vAlign w:val="center"/>
                </w:tcPr>
                <w:p w14:paraId="4D5CEB3B">
                  <w:pPr>
                    <w:pStyle w:val="8"/>
                    <w:keepNext w:val="0"/>
                    <w:keepLines w:val="0"/>
                    <w:suppressLineNumbers w:val="0"/>
                    <w:bidi w:val="0"/>
                    <w:spacing w:before="0" w:beforeAutospacing="0" w:after="0" w:afterAutospacing="0"/>
                    <w:ind w:left="0" w:right="0"/>
                    <w:rPr>
                      <w:rFonts w:hint="default"/>
                    </w:rPr>
                  </w:pPr>
                  <w:r>
                    <w:rPr>
                      <w:rFonts w:hint="default"/>
                    </w:rPr>
                    <w:t>4.8</w:t>
                  </w:r>
                </w:p>
              </w:tc>
              <w:tc>
                <w:tcPr>
                  <w:tcW w:w="184" w:type="pct"/>
                  <w:tcBorders>
                    <w:tl2br w:val="nil"/>
                    <w:tr2bl w:val="nil"/>
                  </w:tcBorders>
                  <w:shd w:val="clear" w:color="auto" w:fill="auto"/>
                  <w:tcMar>
                    <w:top w:w="0" w:type="dxa"/>
                    <w:left w:w="0" w:type="dxa"/>
                    <w:bottom w:w="0" w:type="dxa"/>
                    <w:right w:w="0" w:type="dxa"/>
                  </w:tcMar>
                  <w:vAlign w:val="center"/>
                </w:tcPr>
                <w:p w14:paraId="0134421F">
                  <w:pPr>
                    <w:pStyle w:val="8"/>
                    <w:keepNext w:val="0"/>
                    <w:keepLines w:val="0"/>
                    <w:suppressLineNumbers w:val="0"/>
                    <w:bidi w:val="0"/>
                    <w:spacing w:before="0" w:beforeAutospacing="0" w:after="0" w:afterAutospacing="0"/>
                    <w:ind w:left="0" w:right="0"/>
                    <w:rPr>
                      <w:rFonts w:hint="default"/>
                    </w:rPr>
                  </w:pPr>
                  <w:r>
                    <w:rPr>
                      <w:rFonts w:hint="default"/>
                    </w:rPr>
                    <w:t>4.3</w:t>
                  </w:r>
                </w:p>
              </w:tc>
              <w:tc>
                <w:tcPr>
                  <w:tcW w:w="184" w:type="pct"/>
                  <w:tcBorders>
                    <w:tl2br w:val="nil"/>
                    <w:tr2bl w:val="nil"/>
                  </w:tcBorders>
                  <w:shd w:val="clear" w:color="auto" w:fill="auto"/>
                  <w:tcMar>
                    <w:top w:w="0" w:type="dxa"/>
                    <w:left w:w="0" w:type="dxa"/>
                    <w:bottom w:w="0" w:type="dxa"/>
                    <w:right w:w="0" w:type="dxa"/>
                  </w:tcMar>
                  <w:vAlign w:val="center"/>
                </w:tcPr>
                <w:p w14:paraId="298830AD">
                  <w:pPr>
                    <w:pStyle w:val="8"/>
                    <w:keepNext w:val="0"/>
                    <w:keepLines w:val="0"/>
                    <w:suppressLineNumbers w:val="0"/>
                    <w:bidi w:val="0"/>
                    <w:spacing w:before="0" w:beforeAutospacing="0" w:after="0" w:afterAutospacing="0"/>
                    <w:ind w:left="0" w:right="0"/>
                    <w:rPr>
                      <w:rFonts w:hint="default"/>
                    </w:rPr>
                  </w:pPr>
                  <w:r>
                    <w:rPr>
                      <w:rFonts w:hint="default"/>
                    </w:rPr>
                    <w:t>44.2</w:t>
                  </w:r>
                </w:p>
              </w:tc>
              <w:tc>
                <w:tcPr>
                  <w:tcW w:w="184" w:type="pct"/>
                  <w:tcBorders>
                    <w:tl2br w:val="nil"/>
                    <w:tr2bl w:val="nil"/>
                  </w:tcBorders>
                  <w:shd w:val="clear" w:color="auto" w:fill="auto"/>
                  <w:tcMar>
                    <w:top w:w="0" w:type="dxa"/>
                    <w:left w:w="0" w:type="dxa"/>
                    <w:bottom w:w="0" w:type="dxa"/>
                    <w:right w:w="0" w:type="dxa"/>
                  </w:tcMar>
                  <w:vAlign w:val="center"/>
                </w:tcPr>
                <w:p w14:paraId="41E524DA">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184" w:type="pct"/>
                  <w:tcBorders>
                    <w:tl2br w:val="nil"/>
                    <w:tr2bl w:val="nil"/>
                  </w:tcBorders>
                  <w:shd w:val="clear" w:color="auto" w:fill="auto"/>
                  <w:tcMar>
                    <w:top w:w="0" w:type="dxa"/>
                    <w:left w:w="0" w:type="dxa"/>
                    <w:bottom w:w="0" w:type="dxa"/>
                    <w:right w:w="0" w:type="dxa"/>
                  </w:tcMar>
                  <w:vAlign w:val="center"/>
                </w:tcPr>
                <w:p w14:paraId="2084E35A">
                  <w:pPr>
                    <w:pStyle w:val="8"/>
                    <w:keepNext w:val="0"/>
                    <w:keepLines w:val="0"/>
                    <w:suppressLineNumbers w:val="0"/>
                    <w:bidi w:val="0"/>
                    <w:spacing w:before="0" w:beforeAutospacing="0" w:after="0" w:afterAutospacing="0"/>
                    <w:ind w:left="0" w:right="0"/>
                    <w:rPr>
                      <w:rFonts w:hint="default"/>
                    </w:rPr>
                  </w:pPr>
                  <w:r>
                    <w:rPr>
                      <w:rFonts w:hint="default"/>
                    </w:rPr>
                    <w:t>72.6</w:t>
                  </w:r>
                </w:p>
              </w:tc>
              <w:tc>
                <w:tcPr>
                  <w:tcW w:w="184" w:type="pct"/>
                  <w:tcBorders>
                    <w:tl2br w:val="nil"/>
                    <w:tr2bl w:val="nil"/>
                  </w:tcBorders>
                  <w:shd w:val="clear" w:color="auto" w:fill="auto"/>
                  <w:tcMar>
                    <w:top w:w="0" w:type="dxa"/>
                    <w:left w:w="0" w:type="dxa"/>
                    <w:bottom w:w="0" w:type="dxa"/>
                    <w:right w:w="0" w:type="dxa"/>
                  </w:tcMar>
                  <w:vAlign w:val="center"/>
                </w:tcPr>
                <w:p w14:paraId="65B314B7">
                  <w:pPr>
                    <w:pStyle w:val="8"/>
                    <w:keepNext w:val="0"/>
                    <w:keepLines w:val="0"/>
                    <w:suppressLineNumbers w:val="0"/>
                    <w:bidi w:val="0"/>
                    <w:spacing w:before="0" w:beforeAutospacing="0" w:after="0" w:afterAutospacing="0"/>
                    <w:ind w:left="0" w:right="0"/>
                    <w:rPr>
                      <w:rFonts w:hint="default"/>
                    </w:rPr>
                  </w:pPr>
                  <w:r>
                    <w:rPr>
                      <w:rFonts w:hint="default"/>
                    </w:rPr>
                    <w:t>72.8</w:t>
                  </w:r>
                </w:p>
              </w:tc>
              <w:tc>
                <w:tcPr>
                  <w:tcW w:w="184" w:type="pct"/>
                  <w:tcBorders>
                    <w:tl2br w:val="nil"/>
                    <w:tr2bl w:val="nil"/>
                  </w:tcBorders>
                  <w:shd w:val="clear" w:color="auto" w:fill="auto"/>
                  <w:tcMar>
                    <w:top w:w="0" w:type="dxa"/>
                    <w:left w:w="0" w:type="dxa"/>
                    <w:bottom w:w="0" w:type="dxa"/>
                    <w:right w:w="0" w:type="dxa"/>
                  </w:tcMar>
                  <w:vAlign w:val="center"/>
                </w:tcPr>
                <w:p w14:paraId="59040954">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208" w:type="pct"/>
                  <w:tcBorders>
                    <w:tl2br w:val="nil"/>
                    <w:tr2bl w:val="nil"/>
                  </w:tcBorders>
                  <w:shd w:val="clear" w:color="auto" w:fill="auto"/>
                  <w:tcMar>
                    <w:top w:w="0" w:type="dxa"/>
                    <w:left w:w="0" w:type="dxa"/>
                    <w:bottom w:w="0" w:type="dxa"/>
                    <w:right w:w="0" w:type="dxa"/>
                  </w:tcMar>
                  <w:vAlign w:val="center"/>
                </w:tcPr>
                <w:p w14:paraId="0D510215">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60B5DDCF">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5B82E7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3BEB8ABC">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55F422E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543DDFDC">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84" w:type="pct"/>
                  <w:tcBorders>
                    <w:tl2br w:val="nil"/>
                    <w:tr2bl w:val="nil"/>
                  </w:tcBorders>
                  <w:shd w:val="clear" w:color="auto" w:fill="auto"/>
                  <w:tcMar>
                    <w:top w:w="0" w:type="dxa"/>
                    <w:left w:w="0" w:type="dxa"/>
                    <w:bottom w:w="0" w:type="dxa"/>
                    <w:right w:w="0" w:type="dxa"/>
                  </w:tcMar>
                  <w:vAlign w:val="center"/>
                </w:tcPr>
                <w:p w14:paraId="4680B14A">
                  <w:pPr>
                    <w:pStyle w:val="8"/>
                    <w:keepNext w:val="0"/>
                    <w:keepLines w:val="0"/>
                    <w:suppressLineNumbers w:val="0"/>
                    <w:bidi w:val="0"/>
                    <w:spacing w:before="0" w:beforeAutospacing="0" w:after="0" w:afterAutospacing="0"/>
                    <w:ind w:left="0" w:right="0"/>
                    <w:rPr>
                      <w:rFonts w:hint="default"/>
                    </w:rPr>
                  </w:pPr>
                  <w:r>
                    <w:rPr>
                      <w:rFonts w:hint="default"/>
                    </w:rPr>
                    <w:t>46.6</w:t>
                  </w:r>
                </w:p>
              </w:tc>
              <w:tc>
                <w:tcPr>
                  <w:tcW w:w="184" w:type="pct"/>
                  <w:tcBorders>
                    <w:tl2br w:val="nil"/>
                    <w:tr2bl w:val="nil"/>
                  </w:tcBorders>
                  <w:shd w:val="clear" w:color="auto" w:fill="auto"/>
                  <w:tcMar>
                    <w:top w:w="0" w:type="dxa"/>
                    <w:left w:w="0" w:type="dxa"/>
                    <w:bottom w:w="0" w:type="dxa"/>
                    <w:right w:w="0" w:type="dxa"/>
                  </w:tcMar>
                  <w:vAlign w:val="center"/>
                </w:tcPr>
                <w:p w14:paraId="5663C3CC">
                  <w:pPr>
                    <w:pStyle w:val="8"/>
                    <w:keepNext w:val="0"/>
                    <w:keepLines w:val="0"/>
                    <w:suppressLineNumbers w:val="0"/>
                    <w:bidi w:val="0"/>
                    <w:spacing w:before="0" w:beforeAutospacing="0" w:after="0" w:afterAutospacing="0"/>
                    <w:ind w:left="0" w:right="0"/>
                    <w:rPr>
                      <w:rFonts w:hint="default"/>
                    </w:rPr>
                  </w:pPr>
                  <w:r>
                    <w:rPr>
                      <w:rFonts w:hint="default"/>
                    </w:rPr>
                    <w:t>46.8</w:t>
                  </w:r>
                </w:p>
              </w:tc>
              <w:tc>
                <w:tcPr>
                  <w:tcW w:w="184" w:type="pct"/>
                  <w:tcBorders>
                    <w:tl2br w:val="nil"/>
                    <w:tr2bl w:val="nil"/>
                  </w:tcBorders>
                  <w:shd w:val="clear" w:color="auto" w:fill="auto"/>
                  <w:tcMar>
                    <w:top w:w="0" w:type="dxa"/>
                    <w:left w:w="0" w:type="dxa"/>
                    <w:bottom w:w="0" w:type="dxa"/>
                    <w:right w:w="0" w:type="dxa"/>
                  </w:tcMar>
                  <w:vAlign w:val="center"/>
                </w:tcPr>
                <w:p w14:paraId="127A3DAB">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07" w:type="pct"/>
                  <w:tcBorders>
                    <w:tl2br w:val="nil"/>
                    <w:tr2bl w:val="nil"/>
                  </w:tcBorders>
                  <w:shd w:val="clear" w:color="auto" w:fill="auto"/>
                  <w:tcMar>
                    <w:top w:w="0" w:type="dxa"/>
                    <w:left w:w="0" w:type="dxa"/>
                    <w:bottom w:w="0" w:type="dxa"/>
                    <w:right w:w="0" w:type="dxa"/>
                  </w:tcMar>
                  <w:vAlign w:val="center"/>
                </w:tcPr>
                <w:p w14:paraId="3CDADF7D">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6BC15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0C86018E">
                  <w:pPr>
                    <w:pStyle w:val="8"/>
                    <w:keepNext w:val="0"/>
                    <w:keepLines w:val="0"/>
                    <w:suppressLineNumbers w:val="0"/>
                    <w:bidi w:val="0"/>
                    <w:spacing w:before="0" w:beforeAutospacing="0" w:after="0" w:afterAutospacing="0"/>
                    <w:ind w:left="0" w:right="0"/>
                    <w:rPr>
                      <w:rFonts w:hint="default"/>
                    </w:rPr>
                  </w:pPr>
                  <w:r>
                    <w:rPr>
                      <w:rFonts w:hint="default"/>
                    </w:rPr>
                    <w:t>7</w:t>
                  </w:r>
                </w:p>
              </w:tc>
              <w:tc>
                <w:tcPr>
                  <w:tcW w:w="208" w:type="pct"/>
                  <w:tcBorders>
                    <w:tl2br w:val="nil"/>
                    <w:tr2bl w:val="nil"/>
                  </w:tcBorders>
                  <w:shd w:val="clear" w:color="auto" w:fill="auto"/>
                  <w:tcMar>
                    <w:top w:w="0" w:type="dxa"/>
                    <w:left w:w="0" w:type="dxa"/>
                    <w:bottom w:w="0" w:type="dxa"/>
                    <w:right w:w="0" w:type="dxa"/>
                  </w:tcMar>
                  <w:vAlign w:val="center"/>
                </w:tcPr>
                <w:p w14:paraId="1B9FC3A1">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183890FF">
                  <w:pPr>
                    <w:pStyle w:val="8"/>
                    <w:keepNext w:val="0"/>
                    <w:keepLines w:val="0"/>
                    <w:suppressLineNumbers w:val="0"/>
                    <w:bidi w:val="0"/>
                    <w:spacing w:before="0" w:beforeAutospacing="0" w:after="0" w:afterAutospacing="0"/>
                    <w:ind w:left="0" w:right="0"/>
                    <w:rPr>
                      <w:rFonts w:hint="default"/>
                    </w:rPr>
                  </w:pPr>
                  <w:r>
                    <w:rPr>
                      <w:rFonts w:hint="default"/>
                    </w:rPr>
                    <w:t>风机</w:t>
                  </w:r>
                </w:p>
              </w:tc>
              <w:tc>
                <w:tcPr>
                  <w:tcW w:w="295" w:type="pct"/>
                  <w:tcBorders>
                    <w:tl2br w:val="nil"/>
                    <w:tr2bl w:val="nil"/>
                  </w:tcBorders>
                  <w:shd w:val="clear" w:color="auto" w:fill="auto"/>
                  <w:tcMar>
                    <w:top w:w="0" w:type="dxa"/>
                    <w:left w:w="0" w:type="dxa"/>
                    <w:bottom w:w="0" w:type="dxa"/>
                    <w:right w:w="0" w:type="dxa"/>
                  </w:tcMar>
                  <w:vAlign w:val="center"/>
                </w:tcPr>
                <w:p w14:paraId="40157FD7">
                  <w:pPr>
                    <w:pStyle w:val="8"/>
                    <w:keepNext w:val="0"/>
                    <w:keepLines w:val="0"/>
                    <w:suppressLineNumbers w:val="0"/>
                    <w:bidi w:val="0"/>
                    <w:spacing w:before="0" w:beforeAutospacing="0" w:after="0" w:afterAutospacing="0"/>
                    <w:ind w:left="0" w:right="0"/>
                    <w:rPr>
                      <w:rFonts w:hint="default"/>
                    </w:rPr>
                  </w:pPr>
                  <w:r>
                    <w:rPr>
                      <w:rFonts w:hint="default"/>
                    </w:rPr>
                    <w:t>90</w:t>
                  </w:r>
                </w:p>
              </w:tc>
              <w:tc>
                <w:tcPr>
                  <w:tcW w:w="210" w:type="pct"/>
                  <w:tcBorders>
                    <w:tl2br w:val="nil"/>
                    <w:tr2bl w:val="nil"/>
                  </w:tcBorders>
                  <w:shd w:val="clear" w:color="auto" w:fill="auto"/>
                  <w:tcMar>
                    <w:top w:w="0" w:type="dxa"/>
                    <w:left w:w="0" w:type="dxa"/>
                    <w:bottom w:w="0" w:type="dxa"/>
                    <w:right w:w="0" w:type="dxa"/>
                  </w:tcMar>
                  <w:vAlign w:val="center"/>
                </w:tcPr>
                <w:p w14:paraId="7CAEE447">
                  <w:pPr>
                    <w:pStyle w:val="8"/>
                    <w:keepNext w:val="0"/>
                    <w:keepLines w:val="0"/>
                    <w:suppressLineNumbers w:val="0"/>
                    <w:bidi w:val="0"/>
                    <w:spacing w:before="0" w:beforeAutospacing="0" w:after="0" w:afterAutospacing="0"/>
                    <w:ind w:left="0" w:right="0"/>
                    <w:rPr>
                      <w:rFonts w:hint="default"/>
                    </w:rPr>
                  </w:pPr>
                  <w:r>
                    <w:rPr>
                      <w:rFonts w:hint="default"/>
                    </w:rPr>
                    <w:t>基础减振、消音</w:t>
                  </w:r>
                </w:p>
              </w:tc>
              <w:tc>
                <w:tcPr>
                  <w:tcW w:w="218" w:type="pct"/>
                  <w:tcBorders>
                    <w:tl2br w:val="nil"/>
                    <w:tr2bl w:val="nil"/>
                  </w:tcBorders>
                  <w:shd w:val="clear" w:color="auto" w:fill="auto"/>
                  <w:tcMar>
                    <w:top w:w="0" w:type="dxa"/>
                    <w:left w:w="0" w:type="dxa"/>
                    <w:bottom w:w="0" w:type="dxa"/>
                    <w:right w:w="0" w:type="dxa"/>
                  </w:tcMar>
                  <w:vAlign w:val="center"/>
                </w:tcPr>
                <w:p w14:paraId="1457E871">
                  <w:pPr>
                    <w:pStyle w:val="8"/>
                    <w:keepNext w:val="0"/>
                    <w:keepLines w:val="0"/>
                    <w:suppressLineNumbers w:val="0"/>
                    <w:bidi w:val="0"/>
                    <w:spacing w:before="0" w:beforeAutospacing="0" w:after="0" w:afterAutospacing="0"/>
                    <w:ind w:left="0" w:right="0"/>
                    <w:rPr>
                      <w:rFonts w:hint="default"/>
                    </w:rPr>
                  </w:pPr>
                  <w:r>
                    <w:rPr>
                      <w:rFonts w:hint="default"/>
                    </w:rPr>
                    <w:t>10.6</w:t>
                  </w:r>
                </w:p>
              </w:tc>
              <w:tc>
                <w:tcPr>
                  <w:tcW w:w="218" w:type="pct"/>
                  <w:tcBorders>
                    <w:tl2br w:val="nil"/>
                    <w:tr2bl w:val="nil"/>
                  </w:tcBorders>
                  <w:shd w:val="clear" w:color="auto" w:fill="auto"/>
                  <w:tcMar>
                    <w:top w:w="0" w:type="dxa"/>
                    <w:left w:w="0" w:type="dxa"/>
                    <w:bottom w:w="0" w:type="dxa"/>
                    <w:right w:w="0" w:type="dxa"/>
                  </w:tcMar>
                  <w:vAlign w:val="center"/>
                </w:tcPr>
                <w:p w14:paraId="0176981C">
                  <w:pPr>
                    <w:pStyle w:val="8"/>
                    <w:keepNext w:val="0"/>
                    <w:keepLines w:val="0"/>
                    <w:suppressLineNumbers w:val="0"/>
                    <w:bidi w:val="0"/>
                    <w:spacing w:before="0" w:beforeAutospacing="0" w:after="0" w:afterAutospacing="0"/>
                    <w:ind w:left="0" w:right="0"/>
                    <w:rPr>
                      <w:rFonts w:hint="default"/>
                    </w:rPr>
                  </w:pPr>
                  <w:r>
                    <w:rPr>
                      <w:rFonts w:hint="default"/>
                    </w:rPr>
                    <w:t>-42.9</w:t>
                  </w:r>
                </w:p>
              </w:tc>
              <w:tc>
                <w:tcPr>
                  <w:tcW w:w="133" w:type="pct"/>
                  <w:tcBorders>
                    <w:tl2br w:val="nil"/>
                    <w:tr2bl w:val="nil"/>
                  </w:tcBorders>
                  <w:shd w:val="clear" w:color="auto" w:fill="auto"/>
                  <w:tcMar>
                    <w:top w:w="0" w:type="dxa"/>
                    <w:left w:w="0" w:type="dxa"/>
                    <w:bottom w:w="0" w:type="dxa"/>
                    <w:right w:w="0" w:type="dxa"/>
                  </w:tcMar>
                  <w:vAlign w:val="center"/>
                </w:tcPr>
                <w:p w14:paraId="7467ED32">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74F6DDDE">
                  <w:pPr>
                    <w:pStyle w:val="8"/>
                    <w:keepNext w:val="0"/>
                    <w:keepLines w:val="0"/>
                    <w:suppressLineNumbers w:val="0"/>
                    <w:bidi w:val="0"/>
                    <w:spacing w:before="0" w:beforeAutospacing="0" w:after="0" w:afterAutospacing="0"/>
                    <w:ind w:left="0" w:right="0"/>
                    <w:rPr>
                      <w:rFonts w:hint="default"/>
                    </w:rPr>
                  </w:pPr>
                  <w:r>
                    <w:rPr>
                      <w:rFonts w:hint="default"/>
                    </w:rPr>
                    <w:t>36.6</w:t>
                  </w:r>
                </w:p>
              </w:tc>
              <w:tc>
                <w:tcPr>
                  <w:tcW w:w="184" w:type="pct"/>
                  <w:tcBorders>
                    <w:tl2br w:val="nil"/>
                    <w:tr2bl w:val="nil"/>
                  </w:tcBorders>
                  <w:shd w:val="clear" w:color="auto" w:fill="auto"/>
                  <w:tcMar>
                    <w:top w:w="0" w:type="dxa"/>
                    <w:left w:w="0" w:type="dxa"/>
                    <w:bottom w:w="0" w:type="dxa"/>
                    <w:right w:w="0" w:type="dxa"/>
                  </w:tcMar>
                  <w:vAlign w:val="center"/>
                </w:tcPr>
                <w:p w14:paraId="206DF39C">
                  <w:pPr>
                    <w:pStyle w:val="8"/>
                    <w:keepNext w:val="0"/>
                    <w:keepLines w:val="0"/>
                    <w:suppressLineNumbers w:val="0"/>
                    <w:bidi w:val="0"/>
                    <w:spacing w:before="0" w:beforeAutospacing="0" w:after="0" w:afterAutospacing="0"/>
                    <w:ind w:left="0" w:right="0"/>
                    <w:rPr>
                      <w:rFonts w:hint="default"/>
                    </w:rPr>
                  </w:pPr>
                  <w:r>
                    <w:rPr>
                      <w:rFonts w:hint="default"/>
                    </w:rPr>
                    <w:t>3.4</w:t>
                  </w:r>
                </w:p>
              </w:tc>
              <w:tc>
                <w:tcPr>
                  <w:tcW w:w="184" w:type="pct"/>
                  <w:tcBorders>
                    <w:tl2br w:val="nil"/>
                    <w:tr2bl w:val="nil"/>
                  </w:tcBorders>
                  <w:shd w:val="clear" w:color="auto" w:fill="auto"/>
                  <w:tcMar>
                    <w:top w:w="0" w:type="dxa"/>
                    <w:left w:w="0" w:type="dxa"/>
                    <w:bottom w:w="0" w:type="dxa"/>
                    <w:right w:w="0" w:type="dxa"/>
                  </w:tcMar>
                  <w:vAlign w:val="center"/>
                </w:tcPr>
                <w:p w14:paraId="097161BC">
                  <w:pPr>
                    <w:pStyle w:val="8"/>
                    <w:keepNext w:val="0"/>
                    <w:keepLines w:val="0"/>
                    <w:suppressLineNumbers w:val="0"/>
                    <w:bidi w:val="0"/>
                    <w:spacing w:before="0" w:beforeAutospacing="0" w:after="0" w:afterAutospacing="0"/>
                    <w:ind w:left="0" w:right="0"/>
                    <w:rPr>
                      <w:rFonts w:hint="default"/>
                    </w:rPr>
                  </w:pPr>
                  <w:r>
                    <w:rPr>
                      <w:rFonts w:hint="default"/>
                    </w:rPr>
                    <w:t>3.6</w:t>
                  </w:r>
                </w:p>
              </w:tc>
              <w:tc>
                <w:tcPr>
                  <w:tcW w:w="184" w:type="pct"/>
                  <w:tcBorders>
                    <w:tl2br w:val="nil"/>
                    <w:tr2bl w:val="nil"/>
                  </w:tcBorders>
                  <w:shd w:val="clear" w:color="auto" w:fill="auto"/>
                  <w:tcMar>
                    <w:top w:w="0" w:type="dxa"/>
                    <w:left w:w="0" w:type="dxa"/>
                    <w:bottom w:w="0" w:type="dxa"/>
                    <w:right w:w="0" w:type="dxa"/>
                  </w:tcMar>
                  <w:vAlign w:val="center"/>
                </w:tcPr>
                <w:p w14:paraId="021DA62B">
                  <w:pPr>
                    <w:pStyle w:val="8"/>
                    <w:keepNext w:val="0"/>
                    <w:keepLines w:val="0"/>
                    <w:suppressLineNumbers w:val="0"/>
                    <w:bidi w:val="0"/>
                    <w:spacing w:before="0" w:beforeAutospacing="0" w:after="0" w:afterAutospacing="0"/>
                    <w:ind w:left="0" w:right="0"/>
                    <w:rPr>
                      <w:rFonts w:hint="default"/>
                    </w:rPr>
                  </w:pPr>
                  <w:r>
                    <w:rPr>
                      <w:rFonts w:hint="default"/>
                    </w:rPr>
                    <w:t>44.6</w:t>
                  </w:r>
                </w:p>
              </w:tc>
              <w:tc>
                <w:tcPr>
                  <w:tcW w:w="184" w:type="pct"/>
                  <w:tcBorders>
                    <w:tl2br w:val="nil"/>
                    <w:tr2bl w:val="nil"/>
                  </w:tcBorders>
                  <w:shd w:val="clear" w:color="auto" w:fill="auto"/>
                  <w:tcMar>
                    <w:top w:w="0" w:type="dxa"/>
                    <w:left w:w="0" w:type="dxa"/>
                    <w:bottom w:w="0" w:type="dxa"/>
                    <w:right w:w="0" w:type="dxa"/>
                  </w:tcMar>
                  <w:vAlign w:val="center"/>
                </w:tcPr>
                <w:p w14:paraId="334EF661">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184" w:type="pct"/>
                  <w:tcBorders>
                    <w:tl2br w:val="nil"/>
                    <w:tr2bl w:val="nil"/>
                  </w:tcBorders>
                  <w:shd w:val="clear" w:color="auto" w:fill="auto"/>
                  <w:tcMar>
                    <w:top w:w="0" w:type="dxa"/>
                    <w:left w:w="0" w:type="dxa"/>
                    <w:bottom w:w="0" w:type="dxa"/>
                    <w:right w:w="0" w:type="dxa"/>
                  </w:tcMar>
                  <w:vAlign w:val="center"/>
                </w:tcPr>
                <w:p w14:paraId="022D61AE">
                  <w:pPr>
                    <w:pStyle w:val="8"/>
                    <w:keepNext w:val="0"/>
                    <w:keepLines w:val="0"/>
                    <w:suppressLineNumbers w:val="0"/>
                    <w:bidi w:val="0"/>
                    <w:spacing w:before="0" w:beforeAutospacing="0" w:after="0" w:afterAutospacing="0"/>
                    <w:ind w:left="0" w:right="0"/>
                    <w:rPr>
                      <w:rFonts w:hint="default"/>
                    </w:rPr>
                  </w:pPr>
                  <w:r>
                    <w:rPr>
                      <w:rFonts w:hint="default"/>
                    </w:rPr>
                    <w:t>73.3</w:t>
                  </w:r>
                </w:p>
              </w:tc>
              <w:tc>
                <w:tcPr>
                  <w:tcW w:w="184" w:type="pct"/>
                  <w:tcBorders>
                    <w:tl2br w:val="nil"/>
                    <w:tr2bl w:val="nil"/>
                  </w:tcBorders>
                  <w:shd w:val="clear" w:color="auto" w:fill="auto"/>
                  <w:tcMar>
                    <w:top w:w="0" w:type="dxa"/>
                    <w:left w:w="0" w:type="dxa"/>
                    <w:bottom w:w="0" w:type="dxa"/>
                    <w:right w:w="0" w:type="dxa"/>
                  </w:tcMar>
                  <w:vAlign w:val="center"/>
                </w:tcPr>
                <w:p w14:paraId="4C13FCD5">
                  <w:pPr>
                    <w:pStyle w:val="8"/>
                    <w:keepNext w:val="0"/>
                    <w:keepLines w:val="0"/>
                    <w:suppressLineNumbers w:val="0"/>
                    <w:bidi w:val="0"/>
                    <w:spacing w:before="0" w:beforeAutospacing="0" w:after="0" w:afterAutospacing="0"/>
                    <w:ind w:left="0" w:right="0"/>
                    <w:rPr>
                      <w:rFonts w:hint="default"/>
                    </w:rPr>
                  </w:pPr>
                  <w:r>
                    <w:rPr>
                      <w:rFonts w:hint="default"/>
                    </w:rPr>
                    <w:t>73.2</w:t>
                  </w:r>
                </w:p>
              </w:tc>
              <w:tc>
                <w:tcPr>
                  <w:tcW w:w="184" w:type="pct"/>
                  <w:tcBorders>
                    <w:tl2br w:val="nil"/>
                    <w:tr2bl w:val="nil"/>
                  </w:tcBorders>
                  <w:shd w:val="clear" w:color="auto" w:fill="auto"/>
                  <w:tcMar>
                    <w:top w:w="0" w:type="dxa"/>
                    <w:left w:w="0" w:type="dxa"/>
                    <w:bottom w:w="0" w:type="dxa"/>
                    <w:right w:w="0" w:type="dxa"/>
                  </w:tcMar>
                  <w:vAlign w:val="center"/>
                </w:tcPr>
                <w:p w14:paraId="7AA58551">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208" w:type="pct"/>
                  <w:tcBorders>
                    <w:tl2br w:val="nil"/>
                    <w:tr2bl w:val="nil"/>
                  </w:tcBorders>
                  <w:shd w:val="clear" w:color="auto" w:fill="auto"/>
                  <w:tcMar>
                    <w:top w:w="0" w:type="dxa"/>
                    <w:left w:w="0" w:type="dxa"/>
                    <w:bottom w:w="0" w:type="dxa"/>
                    <w:right w:w="0" w:type="dxa"/>
                  </w:tcMar>
                  <w:vAlign w:val="center"/>
                </w:tcPr>
                <w:p w14:paraId="75DAB754">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74002296">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460FD8F">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095EC56">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24CCF73">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32A70779">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84" w:type="pct"/>
                  <w:tcBorders>
                    <w:tl2br w:val="nil"/>
                    <w:tr2bl w:val="nil"/>
                  </w:tcBorders>
                  <w:shd w:val="clear" w:color="auto" w:fill="auto"/>
                  <w:tcMar>
                    <w:top w:w="0" w:type="dxa"/>
                    <w:left w:w="0" w:type="dxa"/>
                    <w:bottom w:w="0" w:type="dxa"/>
                    <w:right w:w="0" w:type="dxa"/>
                  </w:tcMar>
                  <w:vAlign w:val="center"/>
                </w:tcPr>
                <w:p w14:paraId="755B33E3">
                  <w:pPr>
                    <w:pStyle w:val="8"/>
                    <w:keepNext w:val="0"/>
                    <w:keepLines w:val="0"/>
                    <w:suppressLineNumbers w:val="0"/>
                    <w:bidi w:val="0"/>
                    <w:spacing w:before="0" w:beforeAutospacing="0" w:after="0" w:afterAutospacing="0"/>
                    <w:ind w:left="0" w:right="0"/>
                    <w:rPr>
                      <w:rFonts w:hint="default"/>
                    </w:rPr>
                  </w:pPr>
                  <w:r>
                    <w:rPr>
                      <w:rFonts w:hint="default"/>
                    </w:rPr>
                    <w:t>47.3</w:t>
                  </w:r>
                </w:p>
              </w:tc>
              <w:tc>
                <w:tcPr>
                  <w:tcW w:w="184" w:type="pct"/>
                  <w:tcBorders>
                    <w:tl2br w:val="nil"/>
                    <w:tr2bl w:val="nil"/>
                  </w:tcBorders>
                  <w:shd w:val="clear" w:color="auto" w:fill="auto"/>
                  <w:tcMar>
                    <w:top w:w="0" w:type="dxa"/>
                    <w:left w:w="0" w:type="dxa"/>
                    <w:bottom w:w="0" w:type="dxa"/>
                    <w:right w:w="0" w:type="dxa"/>
                  </w:tcMar>
                  <w:vAlign w:val="center"/>
                </w:tcPr>
                <w:p w14:paraId="0F9BC740">
                  <w:pPr>
                    <w:pStyle w:val="8"/>
                    <w:keepNext w:val="0"/>
                    <w:keepLines w:val="0"/>
                    <w:suppressLineNumbers w:val="0"/>
                    <w:bidi w:val="0"/>
                    <w:spacing w:before="0" w:beforeAutospacing="0" w:after="0" w:afterAutospacing="0"/>
                    <w:ind w:left="0" w:right="0"/>
                    <w:rPr>
                      <w:rFonts w:hint="default"/>
                    </w:rPr>
                  </w:pPr>
                  <w:r>
                    <w:rPr>
                      <w:rFonts w:hint="default"/>
                    </w:rPr>
                    <w:t>47.2</w:t>
                  </w:r>
                </w:p>
              </w:tc>
              <w:tc>
                <w:tcPr>
                  <w:tcW w:w="184" w:type="pct"/>
                  <w:tcBorders>
                    <w:tl2br w:val="nil"/>
                    <w:tr2bl w:val="nil"/>
                  </w:tcBorders>
                  <w:shd w:val="clear" w:color="auto" w:fill="auto"/>
                  <w:tcMar>
                    <w:top w:w="0" w:type="dxa"/>
                    <w:left w:w="0" w:type="dxa"/>
                    <w:bottom w:w="0" w:type="dxa"/>
                    <w:right w:w="0" w:type="dxa"/>
                  </w:tcMar>
                  <w:vAlign w:val="center"/>
                </w:tcPr>
                <w:p w14:paraId="079845EF">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07" w:type="pct"/>
                  <w:tcBorders>
                    <w:tl2br w:val="nil"/>
                    <w:tr2bl w:val="nil"/>
                  </w:tcBorders>
                  <w:shd w:val="clear" w:color="auto" w:fill="auto"/>
                  <w:tcMar>
                    <w:top w:w="0" w:type="dxa"/>
                    <w:left w:w="0" w:type="dxa"/>
                    <w:bottom w:w="0" w:type="dxa"/>
                    <w:right w:w="0" w:type="dxa"/>
                  </w:tcMar>
                  <w:vAlign w:val="center"/>
                </w:tcPr>
                <w:p w14:paraId="16204DE4">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12D91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03B860C3">
                  <w:pPr>
                    <w:pStyle w:val="8"/>
                    <w:keepNext w:val="0"/>
                    <w:keepLines w:val="0"/>
                    <w:suppressLineNumbers w:val="0"/>
                    <w:bidi w:val="0"/>
                    <w:spacing w:before="0" w:beforeAutospacing="0" w:after="0" w:afterAutospacing="0"/>
                    <w:ind w:left="0" w:right="0"/>
                    <w:rPr>
                      <w:rFonts w:hint="default"/>
                    </w:rPr>
                  </w:pPr>
                  <w:r>
                    <w:rPr>
                      <w:rFonts w:hint="default"/>
                    </w:rPr>
                    <w:t>8</w:t>
                  </w:r>
                </w:p>
              </w:tc>
              <w:tc>
                <w:tcPr>
                  <w:tcW w:w="208" w:type="pct"/>
                  <w:tcBorders>
                    <w:tl2br w:val="nil"/>
                    <w:tr2bl w:val="nil"/>
                  </w:tcBorders>
                  <w:shd w:val="clear" w:color="auto" w:fill="auto"/>
                  <w:tcMar>
                    <w:top w:w="0" w:type="dxa"/>
                    <w:left w:w="0" w:type="dxa"/>
                    <w:bottom w:w="0" w:type="dxa"/>
                    <w:right w:w="0" w:type="dxa"/>
                  </w:tcMar>
                  <w:vAlign w:val="center"/>
                </w:tcPr>
                <w:p w14:paraId="21EC9160">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4D9DC772">
                  <w:pPr>
                    <w:pStyle w:val="8"/>
                    <w:keepNext w:val="0"/>
                    <w:keepLines w:val="0"/>
                    <w:suppressLineNumbers w:val="0"/>
                    <w:bidi w:val="0"/>
                    <w:spacing w:before="0" w:beforeAutospacing="0" w:after="0" w:afterAutospacing="0"/>
                    <w:ind w:left="0" w:right="0"/>
                    <w:rPr>
                      <w:rFonts w:hint="default"/>
                    </w:rPr>
                  </w:pPr>
                  <w:r>
                    <w:rPr>
                      <w:rFonts w:hint="default"/>
                    </w:rPr>
                    <w:t>风机</w:t>
                  </w:r>
                </w:p>
              </w:tc>
              <w:tc>
                <w:tcPr>
                  <w:tcW w:w="295" w:type="pct"/>
                  <w:tcBorders>
                    <w:tl2br w:val="nil"/>
                    <w:tr2bl w:val="nil"/>
                  </w:tcBorders>
                  <w:shd w:val="clear" w:color="auto" w:fill="auto"/>
                  <w:tcMar>
                    <w:top w:w="0" w:type="dxa"/>
                    <w:left w:w="0" w:type="dxa"/>
                    <w:bottom w:w="0" w:type="dxa"/>
                    <w:right w:w="0" w:type="dxa"/>
                  </w:tcMar>
                  <w:vAlign w:val="center"/>
                </w:tcPr>
                <w:p w14:paraId="7292952E">
                  <w:pPr>
                    <w:pStyle w:val="8"/>
                    <w:keepNext w:val="0"/>
                    <w:keepLines w:val="0"/>
                    <w:suppressLineNumbers w:val="0"/>
                    <w:bidi w:val="0"/>
                    <w:spacing w:before="0" w:beforeAutospacing="0" w:after="0" w:afterAutospacing="0"/>
                    <w:ind w:left="0" w:right="0"/>
                    <w:rPr>
                      <w:rFonts w:hint="default"/>
                    </w:rPr>
                  </w:pPr>
                  <w:r>
                    <w:rPr>
                      <w:rFonts w:hint="default"/>
                    </w:rPr>
                    <w:t>90</w:t>
                  </w:r>
                </w:p>
              </w:tc>
              <w:tc>
                <w:tcPr>
                  <w:tcW w:w="210" w:type="pct"/>
                  <w:tcBorders>
                    <w:tl2br w:val="nil"/>
                    <w:tr2bl w:val="nil"/>
                  </w:tcBorders>
                  <w:shd w:val="clear" w:color="auto" w:fill="auto"/>
                  <w:tcMar>
                    <w:top w:w="0" w:type="dxa"/>
                    <w:left w:w="0" w:type="dxa"/>
                    <w:bottom w:w="0" w:type="dxa"/>
                    <w:right w:w="0" w:type="dxa"/>
                  </w:tcMar>
                  <w:vAlign w:val="center"/>
                </w:tcPr>
                <w:p w14:paraId="772E4495">
                  <w:pPr>
                    <w:pStyle w:val="8"/>
                    <w:keepNext w:val="0"/>
                    <w:keepLines w:val="0"/>
                    <w:suppressLineNumbers w:val="0"/>
                    <w:bidi w:val="0"/>
                    <w:spacing w:before="0" w:beforeAutospacing="0" w:after="0" w:afterAutospacing="0"/>
                    <w:ind w:left="0" w:right="0"/>
                    <w:rPr>
                      <w:rFonts w:hint="default"/>
                    </w:rPr>
                  </w:pPr>
                  <w:r>
                    <w:rPr>
                      <w:rFonts w:hint="default"/>
                    </w:rPr>
                    <w:t>基础减振、消音</w:t>
                  </w:r>
                </w:p>
              </w:tc>
              <w:tc>
                <w:tcPr>
                  <w:tcW w:w="218" w:type="pct"/>
                  <w:tcBorders>
                    <w:tl2br w:val="nil"/>
                    <w:tr2bl w:val="nil"/>
                  </w:tcBorders>
                  <w:shd w:val="clear" w:color="auto" w:fill="auto"/>
                  <w:tcMar>
                    <w:top w:w="0" w:type="dxa"/>
                    <w:left w:w="0" w:type="dxa"/>
                    <w:bottom w:w="0" w:type="dxa"/>
                    <w:right w:w="0" w:type="dxa"/>
                  </w:tcMar>
                  <w:vAlign w:val="center"/>
                </w:tcPr>
                <w:p w14:paraId="402E900B">
                  <w:pPr>
                    <w:pStyle w:val="8"/>
                    <w:keepNext w:val="0"/>
                    <w:keepLines w:val="0"/>
                    <w:suppressLineNumbers w:val="0"/>
                    <w:bidi w:val="0"/>
                    <w:spacing w:before="0" w:beforeAutospacing="0" w:after="0" w:afterAutospacing="0"/>
                    <w:ind w:left="0" w:right="0"/>
                    <w:rPr>
                      <w:rFonts w:hint="default"/>
                    </w:rPr>
                  </w:pPr>
                  <w:r>
                    <w:rPr>
                      <w:rFonts w:hint="default"/>
                    </w:rPr>
                    <w:t>14.8</w:t>
                  </w:r>
                </w:p>
              </w:tc>
              <w:tc>
                <w:tcPr>
                  <w:tcW w:w="218" w:type="pct"/>
                  <w:tcBorders>
                    <w:tl2br w:val="nil"/>
                    <w:tr2bl w:val="nil"/>
                  </w:tcBorders>
                  <w:shd w:val="clear" w:color="auto" w:fill="auto"/>
                  <w:tcMar>
                    <w:top w:w="0" w:type="dxa"/>
                    <w:left w:w="0" w:type="dxa"/>
                    <w:bottom w:w="0" w:type="dxa"/>
                    <w:right w:w="0" w:type="dxa"/>
                  </w:tcMar>
                  <w:vAlign w:val="center"/>
                </w:tcPr>
                <w:p w14:paraId="5C0BD19D">
                  <w:pPr>
                    <w:pStyle w:val="8"/>
                    <w:keepNext w:val="0"/>
                    <w:keepLines w:val="0"/>
                    <w:suppressLineNumbers w:val="0"/>
                    <w:bidi w:val="0"/>
                    <w:spacing w:before="0" w:beforeAutospacing="0" w:after="0" w:afterAutospacing="0"/>
                    <w:ind w:left="0" w:right="0"/>
                    <w:rPr>
                      <w:rFonts w:hint="default"/>
                    </w:rPr>
                  </w:pPr>
                  <w:r>
                    <w:rPr>
                      <w:rFonts w:hint="default"/>
                    </w:rPr>
                    <w:t>-31.2</w:t>
                  </w:r>
                </w:p>
              </w:tc>
              <w:tc>
                <w:tcPr>
                  <w:tcW w:w="133" w:type="pct"/>
                  <w:tcBorders>
                    <w:tl2br w:val="nil"/>
                    <w:tr2bl w:val="nil"/>
                  </w:tcBorders>
                  <w:shd w:val="clear" w:color="auto" w:fill="auto"/>
                  <w:tcMar>
                    <w:top w:w="0" w:type="dxa"/>
                    <w:left w:w="0" w:type="dxa"/>
                    <w:bottom w:w="0" w:type="dxa"/>
                    <w:right w:w="0" w:type="dxa"/>
                  </w:tcMar>
                  <w:vAlign w:val="center"/>
                </w:tcPr>
                <w:p w14:paraId="6C3AB19A">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66ED38F2">
                  <w:pPr>
                    <w:pStyle w:val="8"/>
                    <w:keepNext w:val="0"/>
                    <w:keepLines w:val="0"/>
                    <w:suppressLineNumbers w:val="0"/>
                    <w:bidi w:val="0"/>
                    <w:spacing w:before="0" w:beforeAutospacing="0" w:after="0" w:afterAutospacing="0"/>
                    <w:ind w:left="0" w:right="0"/>
                    <w:rPr>
                      <w:rFonts w:hint="default"/>
                    </w:rPr>
                  </w:pPr>
                  <w:r>
                    <w:rPr>
                      <w:rFonts w:hint="default"/>
                    </w:rPr>
                    <w:t>40.9</w:t>
                  </w:r>
                </w:p>
              </w:tc>
              <w:tc>
                <w:tcPr>
                  <w:tcW w:w="184" w:type="pct"/>
                  <w:tcBorders>
                    <w:tl2br w:val="nil"/>
                    <w:tr2bl w:val="nil"/>
                  </w:tcBorders>
                  <w:shd w:val="clear" w:color="auto" w:fill="auto"/>
                  <w:tcMar>
                    <w:top w:w="0" w:type="dxa"/>
                    <w:left w:w="0" w:type="dxa"/>
                    <w:bottom w:w="0" w:type="dxa"/>
                    <w:right w:w="0" w:type="dxa"/>
                  </w:tcMar>
                  <w:vAlign w:val="center"/>
                </w:tcPr>
                <w:p w14:paraId="6A39F9C4">
                  <w:pPr>
                    <w:pStyle w:val="8"/>
                    <w:keepNext w:val="0"/>
                    <w:keepLines w:val="0"/>
                    <w:suppressLineNumbers w:val="0"/>
                    <w:bidi w:val="0"/>
                    <w:spacing w:before="0" w:beforeAutospacing="0" w:after="0" w:afterAutospacing="0"/>
                    <w:ind w:left="0" w:right="0"/>
                    <w:rPr>
                      <w:rFonts w:hint="default"/>
                    </w:rPr>
                  </w:pPr>
                  <w:r>
                    <w:rPr>
                      <w:rFonts w:hint="default"/>
                    </w:rPr>
                    <w:t>15.3</w:t>
                  </w:r>
                </w:p>
              </w:tc>
              <w:tc>
                <w:tcPr>
                  <w:tcW w:w="184" w:type="pct"/>
                  <w:tcBorders>
                    <w:tl2br w:val="nil"/>
                    <w:tr2bl w:val="nil"/>
                  </w:tcBorders>
                  <w:shd w:val="clear" w:color="auto" w:fill="auto"/>
                  <w:tcMar>
                    <w:top w:w="0" w:type="dxa"/>
                    <w:left w:w="0" w:type="dxa"/>
                    <w:bottom w:w="0" w:type="dxa"/>
                    <w:right w:w="0" w:type="dxa"/>
                  </w:tcMar>
                  <w:vAlign w:val="center"/>
                </w:tcPr>
                <w:p w14:paraId="2BBD9560">
                  <w:pPr>
                    <w:pStyle w:val="8"/>
                    <w:keepNext w:val="0"/>
                    <w:keepLines w:val="0"/>
                    <w:suppressLineNumbers w:val="0"/>
                    <w:bidi w:val="0"/>
                    <w:spacing w:before="0" w:beforeAutospacing="0" w:after="0" w:afterAutospacing="0"/>
                    <w:ind w:left="0" w:right="0"/>
                    <w:rPr>
                      <w:rFonts w:hint="default"/>
                    </w:rPr>
                  </w:pPr>
                  <w:r>
                    <w:rPr>
                      <w:rFonts w:hint="default"/>
                    </w:rPr>
                    <w:t>15.4</w:t>
                  </w:r>
                </w:p>
              </w:tc>
              <w:tc>
                <w:tcPr>
                  <w:tcW w:w="184" w:type="pct"/>
                  <w:tcBorders>
                    <w:tl2br w:val="nil"/>
                    <w:tr2bl w:val="nil"/>
                  </w:tcBorders>
                  <w:shd w:val="clear" w:color="auto" w:fill="auto"/>
                  <w:tcMar>
                    <w:top w:w="0" w:type="dxa"/>
                    <w:left w:w="0" w:type="dxa"/>
                    <w:bottom w:w="0" w:type="dxa"/>
                    <w:right w:w="0" w:type="dxa"/>
                  </w:tcMar>
                  <w:vAlign w:val="center"/>
                </w:tcPr>
                <w:p w14:paraId="2EC9B976">
                  <w:pPr>
                    <w:pStyle w:val="8"/>
                    <w:keepNext w:val="0"/>
                    <w:keepLines w:val="0"/>
                    <w:suppressLineNumbers w:val="0"/>
                    <w:bidi w:val="0"/>
                    <w:spacing w:before="0" w:beforeAutospacing="0" w:after="0" w:afterAutospacing="0"/>
                    <w:ind w:left="0" w:right="0"/>
                    <w:rPr>
                      <w:rFonts w:hint="default"/>
                    </w:rPr>
                  </w:pPr>
                  <w:r>
                    <w:rPr>
                      <w:rFonts w:hint="default"/>
                    </w:rPr>
                    <w:t>32.9</w:t>
                  </w:r>
                </w:p>
              </w:tc>
              <w:tc>
                <w:tcPr>
                  <w:tcW w:w="184" w:type="pct"/>
                  <w:tcBorders>
                    <w:tl2br w:val="nil"/>
                    <w:tr2bl w:val="nil"/>
                  </w:tcBorders>
                  <w:shd w:val="clear" w:color="auto" w:fill="auto"/>
                  <w:tcMar>
                    <w:top w:w="0" w:type="dxa"/>
                    <w:left w:w="0" w:type="dxa"/>
                    <w:bottom w:w="0" w:type="dxa"/>
                    <w:right w:w="0" w:type="dxa"/>
                  </w:tcMar>
                  <w:vAlign w:val="center"/>
                </w:tcPr>
                <w:p w14:paraId="597B2019">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184" w:type="pct"/>
                  <w:tcBorders>
                    <w:tl2br w:val="nil"/>
                    <w:tr2bl w:val="nil"/>
                  </w:tcBorders>
                  <w:shd w:val="clear" w:color="auto" w:fill="auto"/>
                  <w:tcMar>
                    <w:top w:w="0" w:type="dxa"/>
                    <w:left w:w="0" w:type="dxa"/>
                    <w:bottom w:w="0" w:type="dxa"/>
                    <w:right w:w="0" w:type="dxa"/>
                  </w:tcMar>
                  <w:vAlign w:val="center"/>
                </w:tcPr>
                <w:p w14:paraId="5A228F45">
                  <w:pPr>
                    <w:pStyle w:val="8"/>
                    <w:keepNext w:val="0"/>
                    <w:keepLines w:val="0"/>
                    <w:suppressLineNumbers w:val="0"/>
                    <w:bidi w:val="0"/>
                    <w:spacing w:before="0" w:beforeAutospacing="0" w:after="0" w:afterAutospacing="0"/>
                    <w:ind w:left="0" w:right="0"/>
                    <w:rPr>
                      <w:rFonts w:hint="default"/>
                    </w:rPr>
                  </w:pPr>
                  <w:r>
                    <w:rPr>
                      <w:rFonts w:hint="default"/>
                    </w:rPr>
                    <w:t>71.7</w:t>
                  </w:r>
                </w:p>
              </w:tc>
              <w:tc>
                <w:tcPr>
                  <w:tcW w:w="184" w:type="pct"/>
                  <w:tcBorders>
                    <w:tl2br w:val="nil"/>
                    <w:tr2bl w:val="nil"/>
                  </w:tcBorders>
                  <w:shd w:val="clear" w:color="auto" w:fill="auto"/>
                  <w:tcMar>
                    <w:top w:w="0" w:type="dxa"/>
                    <w:left w:w="0" w:type="dxa"/>
                    <w:bottom w:w="0" w:type="dxa"/>
                    <w:right w:w="0" w:type="dxa"/>
                  </w:tcMar>
                  <w:vAlign w:val="center"/>
                </w:tcPr>
                <w:p w14:paraId="057D28EC">
                  <w:pPr>
                    <w:pStyle w:val="8"/>
                    <w:keepNext w:val="0"/>
                    <w:keepLines w:val="0"/>
                    <w:suppressLineNumbers w:val="0"/>
                    <w:bidi w:val="0"/>
                    <w:spacing w:before="0" w:beforeAutospacing="0" w:after="0" w:afterAutospacing="0"/>
                    <w:ind w:left="0" w:right="0"/>
                    <w:rPr>
                      <w:rFonts w:hint="default"/>
                    </w:rPr>
                  </w:pPr>
                  <w:r>
                    <w:rPr>
                      <w:rFonts w:hint="default"/>
                    </w:rPr>
                    <w:t>71.7</w:t>
                  </w:r>
                </w:p>
              </w:tc>
              <w:tc>
                <w:tcPr>
                  <w:tcW w:w="184" w:type="pct"/>
                  <w:tcBorders>
                    <w:tl2br w:val="nil"/>
                    <w:tr2bl w:val="nil"/>
                  </w:tcBorders>
                  <w:shd w:val="clear" w:color="auto" w:fill="auto"/>
                  <w:tcMar>
                    <w:top w:w="0" w:type="dxa"/>
                    <w:left w:w="0" w:type="dxa"/>
                    <w:bottom w:w="0" w:type="dxa"/>
                    <w:right w:w="0" w:type="dxa"/>
                  </w:tcMar>
                  <w:vAlign w:val="center"/>
                </w:tcPr>
                <w:p w14:paraId="2C49CDA4">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208" w:type="pct"/>
                  <w:tcBorders>
                    <w:tl2br w:val="nil"/>
                    <w:tr2bl w:val="nil"/>
                  </w:tcBorders>
                  <w:shd w:val="clear" w:color="auto" w:fill="auto"/>
                  <w:tcMar>
                    <w:top w:w="0" w:type="dxa"/>
                    <w:left w:w="0" w:type="dxa"/>
                    <w:bottom w:w="0" w:type="dxa"/>
                    <w:right w:w="0" w:type="dxa"/>
                  </w:tcMar>
                  <w:vAlign w:val="center"/>
                </w:tcPr>
                <w:p w14:paraId="66910B30">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08A6B37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4B3E0CF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2920310">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E443CEB">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D88A881">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84" w:type="pct"/>
                  <w:tcBorders>
                    <w:tl2br w:val="nil"/>
                    <w:tr2bl w:val="nil"/>
                  </w:tcBorders>
                  <w:shd w:val="clear" w:color="auto" w:fill="auto"/>
                  <w:tcMar>
                    <w:top w:w="0" w:type="dxa"/>
                    <w:left w:w="0" w:type="dxa"/>
                    <w:bottom w:w="0" w:type="dxa"/>
                    <w:right w:w="0" w:type="dxa"/>
                  </w:tcMar>
                  <w:vAlign w:val="center"/>
                </w:tcPr>
                <w:p w14:paraId="651A071F">
                  <w:pPr>
                    <w:pStyle w:val="8"/>
                    <w:keepNext w:val="0"/>
                    <w:keepLines w:val="0"/>
                    <w:suppressLineNumbers w:val="0"/>
                    <w:bidi w:val="0"/>
                    <w:spacing w:before="0" w:beforeAutospacing="0" w:after="0" w:afterAutospacing="0"/>
                    <w:ind w:left="0" w:right="0"/>
                    <w:rPr>
                      <w:rFonts w:hint="default"/>
                    </w:rPr>
                  </w:pPr>
                  <w:r>
                    <w:rPr>
                      <w:rFonts w:hint="default"/>
                    </w:rPr>
                    <w:t>45.7</w:t>
                  </w:r>
                </w:p>
              </w:tc>
              <w:tc>
                <w:tcPr>
                  <w:tcW w:w="184" w:type="pct"/>
                  <w:tcBorders>
                    <w:tl2br w:val="nil"/>
                    <w:tr2bl w:val="nil"/>
                  </w:tcBorders>
                  <w:shd w:val="clear" w:color="auto" w:fill="auto"/>
                  <w:tcMar>
                    <w:top w:w="0" w:type="dxa"/>
                    <w:left w:w="0" w:type="dxa"/>
                    <w:bottom w:w="0" w:type="dxa"/>
                    <w:right w:w="0" w:type="dxa"/>
                  </w:tcMar>
                  <w:vAlign w:val="center"/>
                </w:tcPr>
                <w:p w14:paraId="0C0B67C1">
                  <w:pPr>
                    <w:pStyle w:val="8"/>
                    <w:keepNext w:val="0"/>
                    <w:keepLines w:val="0"/>
                    <w:suppressLineNumbers w:val="0"/>
                    <w:bidi w:val="0"/>
                    <w:spacing w:before="0" w:beforeAutospacing="0" w:after="0" w:afterAutospacing="0"/>
                    <w:ind w:left="0" w:right="0"/>
                    <w:rPr>
                      <w:rFonts w:hint="default"/>
                    </w:rPr>
                  </w:pPr>
                  <w:r>
                    <w:rPr>
                      <w:rFonts w:hint="default"/>
                    </w:rPr>
                    <w:t>45.7</w:t>
                  </w:r>
                </w:p>
              </w:tc>
              <w:tc>
                <w:tcPr>
                  <w:tcW w:w="184" w:type="pct"/>
                  <w:tcBorders>
                    <w:tl2br w:val="nil"/>
                    <w:tr2bl w:val="nil"/>
                  </w:tcBorders>
                  <w:shd w:val="clear" w:color="auto" w:fill="auto"/>
                  <w:tcMar>
                    <w:top w:w="0" w:type="dxa"/>
                    <w:left w:w="0" w:type="dxa"/>
                    <w:bottom w:w="0" w:type="dxa"/>
                    <w:right w:w="0" w:type="dxa"/>
                  </w:tcMar>
                  <w:vAlign w:val="center"/>
                </w:tcPr>
                <w:p w14:paraId="00229BAD">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07" w:type="pct"/>
                  <w:tcBorders>
                    <w:tl2br w:val="nil"/>
                    <w:tr2bl w:val="nil"/>
                  </w:tcBorders>
                  <w:shd w:val="clear" w:color="auto" w:fill="auto"/>
                  <w:tcMar>
                    <w:top w:w="0" w:type="dxa"/>
                    <w:left w:w="0" w:type="dxa"/>
                    <w:bottom w:w="0" w:type="dxa"/>
                    <w:right w:w="0" w:type="dxa"/>
                  </w:tcMar>
                  <w:vAlign w:val="center"/>
                </w:tcPr>
                <w:p w14:paraId="4C60ACB1">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70247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33CFC314">
                  <w:pPr>
                    <w:pStyle w:val="8"/>
                    <w:keepNext w:val="0"/>
                    <w:keepLines w:val="0"/>
                    <w:suppressLineNumbers w:val="0"/>
                    <w:bidi w:val="0"/>
                    <w:spacing w:before="0" w:beforeAutospacing="0" w:after="0" w:afterAutospacing="0"/>
                    <w:ind w:left="0" w:right="0"/>
                    <w:rPr>
                      <w:rFonts w:hint="default"/>
                    </w:rPr>
                  </w:pPr>
                  <w:r>
                    <w:rPr>
                      <w:rFonts w:hint="default"/>
                    </w:rPr>
                    <w:t>9</w:t>
                  </w:r>
                </w:p>
              </w:tc>
              <w:tc>
                <w:tcPr>
                  <w:tcW w:w="208" w:type="pct"/>
                  <w:tcBorders>
                    <w:tl2br w:val="nil"/>
                    <w:tr2bl w:val="nil"/>
                  </w:tcBorders>
                  <w:shd w:val="clear" w:color="auto" w:fill="auto"/>
                  <w:tcMar>
                    <w:top w:w="0" w:type="dxa"/>
                    <w:left w:w="0" w:type="dxa"/>
                    <w:bottom w:w="0" w:type="dxa"/>
                    <w:right w:w="0" w:type="dxa"/>
                  </w:tcMar>
                  <w:vAlign w:val="center"/>
                </w:tcPr>
                <w:p w14:paraId="55850B4F">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756D5C0E">
                  <w:pPr>
                    <w:pStyle w:val="8"/>
                    <w:keepNext w:val="0"/>
                    <w:keepLines w:val="0"/>
                    <w:suppressLineNumbers w:val="0"/>
                    <w:bidi w:val="0"/>
                    <w:spacing w:before="0" w:beforeAutospacing="0" w:after="0" w:afterAutospacing="0"/>
                    <w:ind w:left="0" w:right="0"/>
                    <w:rPr>
                      <w:rFonts w:hint="default"/>
                    </w:rPr>
                  </w:pPr>
                  <w:r>
                    <w:rPr>
                      <w:rFonts w:hint="default"/>
                    </w:rPr>
                    <w:t>空压机</w:t>
                  </w:r>
                </w:p>
              </w:tc>
              <w:tc>
                <w:tcPr>
                  <w:tcW w:w="295" w:type="pct"/>
                  <w:tcBorders>
                    <w:tl2br w:val="nil"/>
                    <w:tr2bl w:val="nil"/>
                  </w:tcBorders>
                  <w:shd w:val="clear" w:color="auto" w:fill="auto"/>
                  <w:tcMar>
                    <w:top w:w="0" w:type="dxa"/>
                    <w:left w:w="0" w:type="dxa"/>
                    <w:bottom w:w="0" w:type="dxa"/>
                    <w:right w:w="0" w:type="dxa"/>
                  </w:tcMar>
                  <w:vAlign w:val="center"/>
                </w:tcPr>
                <w:p w14:paraId="07785442">
                  <w:pPr>
                    <w:pStyle w:val="8"/>
                    <w:keepNext w:val="0"/>
                    <w:keepLines w:val="0"/>
                    <w:suppressLineNumbers w:val="0"/>
                    <w:bidi w:val="0"/>
                    <w:spacing w:before="0" w:beforeAutospacing="0" w:after="0" w:afterAutospacing="0"/>
                    <w:ind w:left="0" w:right="0"/>
                    <w:rPr>
                      <w:rFonts w:hint="default"/>
                    </w:rPr>
                  </w:pPr>
                  <w:r>
                    <w:rPr>
                      <w:rFonts w:hint="default"/>
                    </w:rPr>
                    <w:t>90</w:t>
                  </w:r>
                </w:p>
              </w:tc>
              <w:tc>
                <w:tcPr>
                  <w:tcW w:w="210" w:type="pct"/>
                  <w:tcBorders>
                    <w:tl2br w:val="nil"/>
                    <w:tr2bl w:val="nil"/>
                  </w:tcBorders>
                  <w:shd w:val="clear" w:color="auto" w:fill="auto"/>
                  <w:tcMar>
                    <w:top w:w="0" w:type="dxa"/>
                    <w:left w:w="0" w:type="dxa"/>
                    <w:bottom w:w="0" w:type="dxa"/>
                    <w:right w:w="0" w:type="dxa"/>
                  </w:tcMar>
                  <w:vAlign w:val="center"/>
                </w:tcPr>
                <w:p w14:paraId="346A45B3">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4A21D090">
                  <w:pPr>
                    <w:pStyle w:val="8"/>
                    <w:keepNext w:val="0"/>
                    <w:keepLines w:val="0"/>
                    <w:suppressLineNumbers w:val="0"/>
                    <w:bidi w:val="0"/>
                    <w:spacing w:before="0" w:beforeAutospacing="0" w:after="0" w:afterAutospacing="0"/>
                    <w:ind w:left="0" w:right="0"/>
                    <w:rPr>
                      <w:rFonts w:hint="default"/>
                    </w:rPr>
                  </w:pPr>
                  <w:r>
                    <w:rPr>
                      <w:rFonts w:hint="default"/>
                    </w:rPr>
                    <w:t>-30.4</w:t>
                  </w:r>
                </w:p>
              </w:tc>
              <w:tc>
                <w:tcPr>
                  <w:tcW w:w="218" w:type="pct"/>
                  <w:tcBorders>
                    <w:tl2br w:val="nil"/>
                    <w:tr2bl w:val="nil"/>
                  </w:tcBorders>
                  <w:shd w:val="clear" w:color="auto" w:fill="auto"/>
                  <w:tcMar>
                    <w:top w:w="0" w:type="dxa"/>
                    <w:left w:w="0" w:type="dxa"/>
                    <w:bottom w:w="0" w:type="dxa"/>
                    <w:right w:w="0" w:type="dxa"/>
                  </w:tcMar>
                  <w:vAlign w:val="center"/>
                </w:tcPr>
                <w:p w14:paraId="627057B4">
                  <w:pPr>
                    <w:pStyle w:val="8"/>
                    <w:keepNext w:val="0"/>
                    <w:keepLines w:val="0"/>
                    <w:suppressLineNumbers w:val="0"/>
                    <w:bidi w:val="0"/>
                    <w:spacing w:before="0" w:beforeAutospacing="0" w:after="0" w:afterAutospacing="0"/>
                    <w:ind w:left="0" w:right="0"/>
                    <w:rPr>
                      <w:rFonts w:hint="default"/>
                    </w:rPr>
                  </w:pPr>
                  <w:r>
                    <w:rPr>
                      <w:rFonts w:hint="default"/>
                    </w:rPr>
                    <w:t>-8.3</w:t>
                  </w:r>
                </w:p>
              </w:tc>
              <w:tc>
                <w:tcPr>
                  <w:tcW w:w="133" w:type="pct"/>
                  <w:tcBorders>
                    <w:tl2br w:val="nil"/>
                    <w:tr2bl w:val="nil"/>
                  </w:tcBorders>
                  <w:shd w:val="clear" w:color="auto" w:fill="auto"/>
                  <w:tcMar>
                    <w:top w:w="0" w:type="dxa"/>
                    <w:left w:w="0" w:type="dxa"/>
                    <w:bottom w:w="0" w:type="dxa"/>
                    <w:right w:w="0" w:type="dxa"/>
                  </w:tcMar>
                  <w:vAlign w:val="center"/>
                </w:tcPr>
                <w:p w14:paraId="27AF3585">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20545055">
                  <w:pPr>
                    <w:pStyle w:val="8"/>
                    <w:keepNext w:val="0"/>
                    <w:keepLines w:val="0"/>
                    <w:suppressLineNumbers w:val="0"/>
                    <w:bidi w:val="0"/>
                    <w:spacing w:before="0" w:beforeAutospacing="0" w:after="0" w:afterAutospacing="0"/>
                    <w:ind w:left="0" w:right="0"/>
                    <w:rPr>
                      <w:rFonts w:hint="default"/>
                    </w:rPr>
                  </w:pPr>
                  <w:r>
                    <w:rPr>
                      <w:rFonts w:hint="default"/>
                    </w:rPr>
                    <w:t>90.3</w:t>
                  </w:r>
                </w:p>
              </w:tc>
              <w:tc>
                <w:tcPr>
                  <w:tcW w:w="184" w:type="pct"/>
                  <w:tcBorders>
                    <w:tl2br w:val="nil"/>
                    <w:tr2bl w:val="nil"/>
                  </w:tcBorders>
                  <w:shd w:val="clear" w:color="auto" w:fill="auto"/>
                  <w:tcMar>
                    <w:top w:w="0" w:type="dxa"/>
                    <w:left w:w="0" w:type="dxa"/>
                    <w:bottom w:w="0" w:type="dxa"/>
                    <w:right w:w="0" w:type="dxa"/>
                  </w:tcMar>
                  <w:vAlign w:val="center"/>
                </w:tcPr>
                <w:p w14:paraId="753C2C84">
                  <w:pPr>
                    <w:pStyle w:val="8"/>
                    <w:keepNext w:val="0"/>
                    <w:keepLines w:val="0"/>
                    <w:suppressLineNumbers w:val="0"/>
                    <w:bidi w:val="0"/>
                    <w:spacing w:before="0" w:beforeAutospacing="0" w:after="0" w:afterAutospacing="0"/>
                    <w:ind w:left="0" w:right="0"/>
                    <w:rPr>
                      <w:rFonts w:hint="default"/>
                    </w:rPr>
                  </w:pPr>
                  <w:r>
                    <w:rPr>
                      <w:rFonts w:hint="default"/>
                    </w:rPr>
                    <w:t>6.3</w:t>
                  </w:r>
                </w:p>
              </w:tc>
              <w:tc>
                <w:tcPr>
                  <w:tcW w:w="184" w:type="pct"/>
                  <w:tcBorders>
                    <w:tl2br w:val="nil"/>
                    <w:tr2bl w:val="nil"/>
                  </w:tcBorders>
                  <w:shd w:val="clear" w:color="auto" w:fill="auto"/>
                  <w:tcMar>
                    <w:top w:w="0" w:type="dxa"/>
                    <w:left w:w="0" w:type="dxa"/>
                    <w:bottom w:w="0" w:type="dxa"/>
                    <w:right w:w="0" w:type="dxa"/>
                  </w:tcMar>
                  <w:vAlign w:val="center"/>
                </w:tcPr>
                <w:p w14:paraId="51DE0A89">
                  <w:pPr>
                    <w:pStyle w:val="8"/>
                    <w:keepNext w:val="0"/>
                    <w:keepLines w:val="0"/>
                    <w:suppressLineNumbers w:val="0"/>
                    <w:bidi w:val="0"/>
                    <w:spacing w:before="0" w:beforeAutospacing="0" w:after="0" w:afterAutospacing="0"/>
                    <w:ind w:left="0" w:right="0"/>
                    <w:rPr>
                      <w:rFonts w:hint="default"/>
                    </w:rPr>
                  </w:pPr>
                  <w:r>
                    <w:rPr>
                      <w:rFonts w:hint="default"/>
                    </w:rPr>
                    <w:t>5.6</w:t>
                  </w:r>
                </w:p>
              </w:tc>
              <w:tc>
                <w:tcPr>
                  <w:tcW w:w="184" w:type="pct"/>
                  <w:tcBorders>
                    <w:tl2br w:val="nil"/>
                    <w:tr2bl w:val="nil"/>
                  </w:tcBorders>
                  <w:shd w:val="clear" w:color="auto" w:fill="auto"/>
                  <w:tcMar>
                    <w:top w:w="0" w:type="dxa"/>
                    <w:left w:w="0" w:type="dxa"/>
                    <w:bottom w:w="0" w:type="dxa"/>
                    <w:right w:w="0" w:type="dxa"/>
                  </w:tcMar>
                  <w:vAlign w:val="center"/>
                </w:tcPr>
                <w:p w14:paraId="768FD0C2">
                  <w:pPr>
                    <w:pStyle w:val="8"/>
                    <w:keepNext w:val="0"/>
                    <w:keepLines w:val="0"/>
                    <w:suppressLineNumbers w:val="0"/>
                    <w:bidi w:val="0"/>
                    <w:spacing w:before="0" w:beforeAutospacing="0" w:after="0" w:afterAutospacing="0"/>
                    <w:ind w:left="0" w:right="0"/>
                    <w:rPr>
                      <w:rFonts w:hint="default"/>
                    </w:rPr>
                  </w:pPr>
                  <w:r>
                    <w:rPr>
                      <w:rFonts w:hint="default"/>
                    </w:rPr>
                    <w:t>42.9</w:t>
                  </w:r>
                </w:p>
              </w:tc>
              <w:tc>
                <w:tcPr>
                  <w:tcW w:w="184" w:type="pct"/>
                  <w:tcBorders>
                    <w:tl2br w:val="nil"/>
                    <w:tr2bl w:val="nil"/>
                  </w:tcBorders>
                  <w:shd w:val="clear" w:color="auto" w:fill="auto"/>
                  <w:tcMar>
                    <w:top w:w="0" w:type="dxa"/>
                    <w:left w:w="0" w:type="dxa"/>
                    <w:bottom w:w="0" w:type="dxa"/>
                    <w:right w:w="0" w:type="dxa"/>
                  </w:tcMar>
                  <w:vAlign w:val="center"/>
                </w:tcPr>
                <w:p w14:paraId="72662D06">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184" w:type="pct"/>
                  <w:tcBorders>
                    <w:tl2br w:val="nil"/>
                    <w:tr2bl w:val="nil"/>
                  </w:tcBorders>
                  <w:shd w:val="clear" w:color="auto" w:fill="auto"/>
                  <w:tcMar>
                    <w:top w:w="0" w:type="dxa"/>
                    <w:left w:w="0" w:type="dxa"/>
                    <w:bottom w:w="0" w:type="dxa"/>
                    <w:right w:w="0" w:type="dxa"/>
                  </w:tcMar>
                  <w:vAlign w:val="center"/>
                </w:tcPr>
                <w:p w14:paraId="34902F98">
                  <w:pPr>
                    <w:pStyle w:val="8"/>
                    <w:keepNext w:val="0"/>
                    <w:keepLines w:val="0"/>
                    <w:suppressLineNumbers w:val="0"/>
                    <w:bidi w:val="0"/>
                    <w:spacing w:before="0" w:beforeAutospacing="0" w:after="0" w:afterAutospacing="0"/>
                    <w:ind w:left="0" w:right="0"/>
                    <w:rPr>
                      <w:rFonts w:hint="default"/>
                    </w:rPr>
                  </w:pPr>
                  <w:r>
                    <w:rPr>
                      <w:rFonts w:hint="default"/>
                    </w:rPr>
                    <w:t>72.2</w:t>
                  </w:r>
                </w:p>
              </w:tc>
              <w:tc>
                <w:tcPr>
                  <w:tcW w:w="184" w:type="pct"/>
                  <w:tcBorders>
                    <w:tl2br w:val="nil"/>
                    <w:tr2bl w:val="nil"/>
                  </w:tcBorders>
                  <w:shd w:val="clear" w:color="auto" w:fill="auto"/>
                  <w:tcMar>
                    <w:top w:w="0" w:type="dxa"/>
                    <w:left w:w="0" w:type="dxa"/>
                    <w:bottom w:w="0" w:type="dxa"/>
                    <w:right w:w="0" w:type="dxa"/>
                  </w:tcMar>
                  <w:vAlign w:val="center"/>
                </w:tcPr>
                <w:p w14:paraId="05C2B89C">
                  <w:pPr>
                    <w:pStyle w:val="8"/>
                    <w:keepNext w:val="0"/>
                    <w:keepLines w:val="0"/>
                    <w:suppressLineNumbers w:val="0"/>
                    <w:bidi w:val="0"/>
                    <w:spacing w:before="0" w:beforeAutospacing="0" w:after="0" w:afterAutospacing="0"/>
                    <w:ind w:left="0" w:right="0"/>
                    <w:rPr>
                      <w:rFonts w:hint="default"/>
                    </w:rPr>
                  </w:pPr>
                  <w:r>
                    <w:rPr>
                      <w:rFonts w:hint="default"/>
                    </w:rPr>
                    <w:t>72.3</w:t>
                  </w:r>
                </w:p>
              </w:tc>
              <w:tc>
                <w:tcPr>
                  <w:tcW w:w="184" w:type="pct"/>
                  <w:tcBorders>
                    <w:tl2br w:val="nil"/>
                    <w:tr2bl w:val="nil"/>
                  </w:tcBorders>
                  <w:shd w:val="clear" w:color="auto" w:fill="auto"/>
                  <w:tcMar>
                    <w:top w:w="0" w:type="dxa"/>
                    <w:left w:w="0" w:type="dxa"/>
                    <w:bottom w:w="0" w:type="dxa"/>
                    <w:right w:w="0" w:type="dxa"/>
                  </w:tcMar>
                  <w:vAlign w:val="center"/>
                </w:tcPr>
                <w:p w14:paraId="6A4D3378">
                  <w:pPr>
                    <w:pStyle w:val="8"/>
                    <w:keepNext w:val="0"/>
                    <w:keepLines w:val="0"/>
                    <w:suppressLineNumbers w:val="0"/>
                    <w:bidi w:val="0"/>
                    <w:spacing w:before="0" w:beforeAutospacing="0" w:after="0" w:afterAutospacing="0"/>
                    <w:ind w:left="0" w:right="0"/>
                    <w:rPr>
                      <w:rFonts w:hint="default"/>
                    </w:rPr>
                  </w:pPr>
                  <w:r>
                    <w:rPr>
                      <w:rFonts w:hint="default"/>
                    </w:rPr>
                    <w:t>71.6</w:t>
                  </w:r>
                </w:p>
              </w:tc>
              <w:tc>
                <w:tcPr>
                  <w:tcW w:w="208" w:type="pct"/>
                  <w:tcBorders>
                    <w:tl2br w:val="nil"/>
                    <w:tr2bl w:val="nil"/>
                  </w:tcBorders>
                  <w:shd w:val="clear" w:color="auto" w:fill="auto"/>
                  <w:tcMar>
                    <w:top w:w="0" w:type="dxa"/>
                    <w:left w:w="0" w:type="dxa"/>
                    <w:bottom w:w="0" w:type="dxa"/>
                    <w:right w:w="0" w:type="dxa"/>
                  </w:tcMar>
                  <w:vAlign w:val="center"/>
                </w:tcPr>
                <w:p w14:paraId="6FB60D7D">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7FA83BBD">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734FF93F">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644200D8">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0FB2605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4E7A9E27">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84" w:type="pct"/>
                  <w:tcBorders>
                    <w:tl2br w:val="nil"/>
                    <w:tr2bl w:val="nil"/>
                  </w:tcBorders>
                  <w:shd w:val="clear" w:color="auto" w:fill="auto"/>
                  <w:tcMar>
                    <w:top w:w="0" w:type="dxa"/>
                    <w:left w:w="0" w:type="dxa"/>
                    <w:bottom w:w="0" w:type="dxa"/>
                    <w:right w:w="0" w:type="dxa"/>
                  </w:tcMar>
                  <w:vAlign w:val="center"/>
                </w:tcPr>
                <w:p w14:paraId="4DB26CC5">
                  <w:pPr>
                    <w:pStyle w:val="8"/>
                    <w:keepNext w:val="0"/>
                    <w:keepLines w:val="0"/>
                    <w:suppressLineNumbers w:val="0"/>
                    <w:bidi w:val="0"/>
                    <w:spacing w:before="0" w:beforeAutospacing="0" w:after="0" w:afterAutospacing="0"/>
                    <w:ind w:left="0" w:right="0"/>
                    <w:rPr>
                      <w:rFonts w:hint="default"/>
                    </w:rPr>
                  </w:pPr>
                  <w:r>
                    <w:rPr>
                      <w:rFonts w:hint="default"/>
                    </w:rPr>
                    <w:t>46.2</w:t>
                  </w:r>
                </w:p>
              </w:tc>
              <w:tc>
                <w:tcPr>
                  <w:tcW w:w="184" w:type="pct"/>
                  <w:tcBorders>
                    <w:tl2br w:val="nil"/>
                    <w:tr2bl w:val="nil"/>
                  </w:tcBorders>
                  <w:shd w:val="clear" w:color="auto" w:fill="auto"/>
                  <w:tcMar>
                    <w:top w:w="0" w:type="dxa"/>
                    <w:left w:w="0" w:type="dxa"/>
                    <w:bottom w:w="0" w:type="dxa"/>
                    <w:right w:w="0" w:type="dxa"/>
                  </w:tcMar>
                  <w:vAlign w:val="center"/>
                </w:tcPr>
                <w:p w14:paraId="7ED24DD5">
                  <w:pPr>
                    <w:pStyle w:val="8"/>
                    <w:keepNext w:val="0"/>
                    <w:keepLines w:val="0"/>
                    <w:suppressLineNumbers w:val="0"/>
                    <w:bidi w:val="0"/>
                    <w:spacing w:before="0" w:beforeAutospacing="0" w:after="0" w:afterAutospacing="0"/>
                    <w:ind w:left="0" w:right="0"/>
                    <w:rPr>
                      <w:rFonts w:hint="default"/>
                    </w:rPr>
                  </w:pPr>
                  <w:r>
                    <w:rPr>
                      <w:rFonts w:hint="default"/>
                    </w:rPr>
                    <w:t>46.3</w:t>
                  </w:r>
                </w:p>
              </w:tc>
              <w:tc>
                <w:tcPr>
                  <w:tcW w:w="184" w:type="pct"/>
                  <w:tcBorders>
                    <w:tl2br w:val="nil"/>
                    <w:tr2bl w:val="nil"/>
                  </w:tcBorders>
                  <w:shd w:val="clear" w:color="auto" w:fill="auto"/>
                  <w:tcMar>
                    <w:top w:w="0" w:type="dxa"/>
                    <w:left w:w="0" w:type="dxa"/>
                    <w:bottom w:w="0" w:type="dxa"/>
                    <w:right w:w="0" w:type="dxa"/>
                  </w:tcMar>
                  <w:vAlign w:val="center"/>
                </w:tcPr>
                <w:p w14:paraId="25241E06">
                  <w:pPr>
                    <w:pStyle w:val="8"/>
                    <w:keepNext w:val="0"/>
                    <w:keepLines w:val="0"/>
                    <w:suppressLineNumbers w:val="0"/>
                    <w:bidi w:val="0"/>
                    <w:spacing w:before="0" w:beforeAutospacing="0" w:after="0" w:afterAutospacing="0"/>
                    <w:ind w:left="0" w:right="0"/>
                    <w:rPr>
                      <w:rFonts w:hint="default"/>
                    </w:rPr>
                  </w:pPr>
                  <w:r>
                    <w:rPr>
                      <w:rFonts w:hint="default"/>
                    </w:rPr>
                    <w:t>45.6</w:t>
                  </w:r>
                </w:p>
              </w:tc>
              <w:tc>
                <w:tcPr>
                  <w:tcW w:w="107" w:type="pct"/>
                  <w:tcBorders>
                    <w:tl2br w:val="nil"/>
                    <w:tr2bl w:val="nil"/>
                  </w:tcBorders>
                  <w:shd w:val="clear" w:color="auto" w:fill="auto"/>
                  <w:tcMar>
                    <w:top w:w="0" w:type="dxa"/>
                    <w:left w:w="0" w:type="dxa"/>
                    <w:bottom w:w="0" w:type="dxa"/>
                    <w:right w:w="0" w:type="dxa"/>
                  </w:tcMar>
                  <w:vAlign w:val="center"/>
                </w:tcPr>
                <w:p w14:paraId="2BB923ED">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53D03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19177944">
                  <w:pPr>
                    <w:pStyle w:val="8"/>
                    <w:keepNext w:val="0"/>
                    <w:keepLines w:val="0"/>
                    <w:suppressLineNumbers w:val="0"/>
                    <w:bidi w:val="0"/>
                    <w:spacing w:before="0" w:beforeAutospacing="0" w:after="0" w:afterAutospacing="0"/>
                    <w:ind w:left="0" w:right="0"/>
                    <w:rPr>
                      <w:rFonts w:hint="default"/>
                    </w:rPr>
                  </w:pPr>
                  <w:r>
                    <w:rPr>
                      <w:rFonts w:hint="default"/>
                    </w:rPr>
                    <w:t>10</w:t>
                  </w:r>
                </w:p>
              </w:tc>
              <w:tc>
                <w:tcPr>
                  <w:tcW w:w="208" w:type="pct"/>
                  <w:tcBorders>
                    <w:tl2br w:val="nil"/>
                    <w:tr2bl w:val="nil"/>
                  </w:tcBorders>
                  <w:shd w:val="clear" w:color="auto" w:fill="auto"/>
                  <w:tcMar>
                    <w:top w:w="0" w:type="dxa"/>
                    <w:left w:w="0" w:type="dxa"/>
                    <w:bottom w:w="0" w:type="dxa"/>
                    <w:right w:w="0" w:type="dxa"/>
                  </w:tcMar>
                  <w:vAlign w:val="center"/>
                </w:tcPr>
                <w:p w14:paraId="02E790FA">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77FBC8A5">
                  <w:pPr>
                    <w:pStyle w:val="8"/>
                    <w:keepNext w:val="0"/>
                    <w:keepLines w:val="0"/>
                    <w:suppressLineNumbers w:val="0"/>
                    <w:bidi w:val="0"/>
                    <w:spacing w:before="0" w:beforeAutospacing="0" w:after="0" w:afterAutospacing="0"/>
                    <w:ind w:left="0" w:right="0"/>
                    <w:rPr>
                      <w:rFonts w:hint="default"/>
                    </w:rPr>
                  </w:pPr>
                  <w:r>
                    <w:rPr>
                      <w:rFonts w:hint="default"/>
                    </w:rPr>
                    <w:t>色素灌装机</w:t>
                  </w:r>
                </w:p>
              </w:tc>
              <w:tc>
                <w:tcPr>
                  <w:tcW w:w="295" w:type="pct"/>
                  <w:tcBorders>
                    <w:tl2br w:val="nil"/>
                    <w:tr2bl w:val="nil"/>
                  </w:tcBorders>
                  <w:shd w:val="clear" w:color="auto" w:fill="auto"/>
                  <w:tcMar>
                    <w:top w:w="0" w:type="dxa"/>
                    <w:left w:w="0" w:type="dxa"/>
                    <w:bottom w:w="0" w:type="dxa"/>
                    <w:right w:w="0" w:type="dxa"/>
                  </w:tcMar>
                  <w:vAlign w:val="center"/>
                </w:tcPr>
                <w:p w14:paraId="5731437A">
                  <w:pPr>
                    <w:pStyle w:val="8"/>
                    <w:keepNext w:val="0"/>
                    <w:keepLines w:val="0"/>
                    <w:suppressLineNumbers w:val="0"/>
                    <w:bidi w:val="0"/>
                    <w:spacing w:before="0" w:beforeAutospacing="0" w:after="0" w:afterAutospacing="0"/>
                    <w:ind w:left="0" w:right="0"/>
                    <w:rPr>
                      <w:rFonts w:hint="default"/>
                    </w:rPr>
                  </w:pPr>
                  <w:r>
                    <w:rPr>
                      <w:rFonts w:hint="default"/>
                    </w:rPr>
                    <w:t>70</w:t>
                  </w:r>
                </w:p>
              </w:tc>
              <w:tc>
                <w:tcPr>
                  <w:tcW w:w="210" w:type="pct"/>
                  <w:tcBorders>
                    <w:tl2br w:val="nil"/>
                    <w:tr2bl w:val="nil"/>
                  </w:tcBorders>
                  <w:shd w:val="clear" w:color="auto" w:fill="auto"/>
                  <w:tcMar>
                    <w:top w:w="0" w:type="dxa"/>
                    <w:left w:w="0" w:type="dxa"/>
                    <w:bottom w:w="0" w:type="dxa"/>
                    <w:right w:w="0" w:type="dxa"/>
                  </w:tcMar>
                  <w:vAlign w:val="center"/>
                </w:tcPr>
                <w:p w14:paraId="5F53B7F0">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46BD2E8B">
                  <w:pPr>
                    <w:pStyle w:val="8"/>
                    <w:keepNext w:val="0"/>
                    <w:keepLines w:val="0"/>
                    <w:suppressLineNumbers w:val="0"/>
                    <w:bidi w:val="0"/>
                    <w:spacing w:before="0" w:beforeAutospacing="0" w:after="0" w:afterAutospacing="0"/>
                    <w:ind w:left="0" w:right="0"/>
                    <w:rPr>
                      <w:rFonts w:hint="default"/>
                    </w:rPr>
                  </w:pPr>
                  <w:r>
                    <w:rPr>
                      <w:rFonts w:hint="default"/>
                    </w:rPr>
                    <w:t>41.5</w:t>
                  </w:r>
                </w:p>
              </w:tc>
              <w:tc>
                <w:tcPr>
                  <w:tcW w:w="218" w:type="pct"/>
                  <w:tcBorders>
                    <w:tl2br w:val="nil"/>
                    <w:tr2bl w:val="nil"/>
                  </w:tcBorders>
                  <w:shd w:val="clear" w:color="auto" w:fill="auto"/>
                  <w:tcMar>
                    <w:top w:w="0" w:type="dxa"/>
                    <w:left w:w="0" w:type="dxa"/>
                    <w:bottom w:w="0" w:type="dxa"/>
                    <w:right w:w="0" w:type="dxa"/>
                  </w:tcMar>
                  <w:vAlign w:val="center"/>
                </w:tcPr>
                <w:p w14:paraId="53266634">
                  <w:pPr>
                    <w:pStyle w:val="8"/>
                    <w:keepNext w:val="0"/>
                    <w:keepLines w:val="0"/>
                    <w:suppressLineNumbers w:val="0"/>
                    <w:bidi w:val="0"/>
                    <w:spacing w:before="0" w:beforeAutospacing="0" w:after="0" w:afterAutospacing="0"/>
                    <w:ind w:left="0" w:right="0"/>
                    <w:rPr>
                      <w:rFonts w:hint="default"/>
                    </w:rPr>
                  </w:pPr>
                  <w:r>
                    <w:rPr>
                      <w:rFonts w:hint="default"/>
                    </w:rPr>
                    <w:t>-12.3</w:t>
                  </w:r>
                </w:p>
              </w:tc>
              <w:tc>
                <w:tcPr>
                  <w:tcW w:w="133" w:type="pct"/>
                  <w:tcBorders>
                    <w:tl2br w:val="nil"/>
                    <w:tr2bl w:val="nil"/>
                  </w:tcBorders>
                  <w:shd w:val="clear" w:color="auto" w:fill="auto"/>
                  <w:tcMar>
                    <w:top w:w="0" w:type="dxa"/>
                    <w:left w:w="0" w:type="dxa"/>
                    <w:bottom w:w="0" w:type="dxa"/>
                    <w:right w:w="0" w:type="dxa"/>
                  </w:tcMar>
                  <w:vAlign w:val="center"/>
                </w:tcPr>
                <w:p w14:paraId="35135B54">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508D61FC">
                  <w:pPr>
                    <w:pStyle w:val="8"/>
                    <w:keepNext w:val="0"/>
                    <w:keepLines w:val="0"/>
                    <w:suppressLineNumbers w:val="0"/>
                    <w:bidi w:val="0"/>
                    <w:spacing w:before="0" w:beforeAutospacing="0" w:after="0" w:afterAutospacing="0"/>
                    <w:ind w:left="0" w:right="0"/>
                    <w:rPr>
                      <w:rFonts w:hint="default"/>
                    </w:rPr>
                  </w:pPr>
                  <w:r>
                    <w:rPr>
                      <w:rFonts w:hint="default"/>
                    </w:rPr>
                    <w:t>32.4</w:t>
                  </w:r>
                </w:p>
              </w:tc>
              <w:tc>
                <w:tcPr>
                  <w:tcW w:w="184" w:type="pct"/>
                  <w:tcBorders>
                    <w:tl2br w:val="nil"/>
                    <w:tr2bl w:val="nil"/>
                  </w:tcBorders>
                  <w:shd w:val="clear" w:color="auto" w:fill="auto"/>
                  <w:tcMar>
                    <w:top w:w="0" w:type="dxa"/>
                    <w:left w:w="0" w:type="dxa"/>
                    <w:bottom w:w="0" w:type="dxa"/>
                    <w:right w:w="0" w:type="dxa"/>
                  </w:tcMar>
                  <w:vAlign w:val="center"/>
                </w:tcPr>
                <w:p w14:paraId="0ACB3F0D">
                  <w:pPr>
                    <w:pStyle w:val="8"/>
                    <w:keepNext w:val="0"/>
                    <w:keepLines w:val="0"/>
                    <w:suppressLineNumbers w:val="0"/>
                    <w:bidi w:val="0"/>
                    <w:spacing w:before="0" w:beforeAutospacing="0" w:after="0" w:afterAutospacing="0"/>
                    <w:ind w:left="0" w:right="0"/>
                    <w:rPr>
                      <w:rFonts w:hint="default"/>
                    </w:rPr>
                  </w:pPr>
                  <w:r>
                    <w:rPr>
                      <w:rFonts w:hint="default"/>
                    </w:rPr>
                    <w:t>46.4</w:t>
                  </w:r>
                </w:p>
              </w:tc>
              <w:tc>
                <w:tcPr>
                  <w:tcW w:w="184" w:type="pct"/>
                  <w:tcBorders>
                    <w:tl2br w:val="nil"/>
                    <w:tr2bl w:val="nil"/>
                  </w:tcBorders>
                  <w:shd w:val="clear" w:color="auto" w:fill="auto"/>
                  <w:tcMar>
                    <w:top w:w="0" w:type="dxa"/>
                    <w:left w:w="0" w:type="dxa"/>
                    <w:bottom w:w="0" w:type="dxa"/>
                    <w:right w:w="0" w:type="dxa"/>
                  </w:tcMar>
                  <w:vAlign w:val="center"/>
                </w:tcPr>
                <w:p w14:paraId="3BB5F912">
                  <w:pPr>
                    <w:pStyle w:val="8"/>
                    <w:keepNext w:val="0"/>
                    <w:keepLines w:val="0"/>
                    <w:suppressLineNumbers w:val="0"/>
                    <w:bidi w:val="0"/>
                    <w:spacing w:before="0" w:beforeAutospacing="0" w:after="0" w:afterAutospacing="0"/>
                    <w:ind w:left="0" w:right="0"/>
                    <w:rPr>
                      <w:rFonts w:hint="default"/>
                    </w:rPr>
                  </w:pPr>
                  <w:r>
                    <w:rPr>
                      <w:rFonts w:hint="default"/>
                    </w:rPr>
                    <w:t>46.7</w:t>
                  </w:r>
                </w:p>
              </w:tc>
              <w:tc>
                <w:tcPr>
                  <w:tcW w:w="184" w:type="pct"/>
                  <w:tcBorders>
                    <w:tl2br w:val="nil"/>
                    <w:tr2bl w:val="nil"/>
                  </w:tcBorders>
                  <w:shd w:val="clear" w:color="auto" w:fill="auto"/>
                  <w:tcMar>
                    <w:top w:w="0" w:type="dxa"/>
                    <w:left w:w="0" w:type="dxa"/>
                    <w:bottom w:w="0" w:type="dxa"/>
                    <w:right w:w="0" w:type="dxa"/>
                  </w:tcMar>
                  <w:vAlign w:val="center"/>
                </w:tcPr>
                <w:p w14:paraId="51B17610">
                  <w:pPr>
                    <w:pStyle w:val="8"/>
                    <w:keepNext w:val="0"/>
                    <w:keepLines w:val="0"/>
                    <w:suppressLineNumbers w:val="0"/>
                    <w:bidi w:val="0"/>
                    <w:spacing w:before="0" w:beforeAutospacing="0" w:after="0" w:afterAutospacing="0"/>
                    <w:ind w:left="0" w:right="0"/>
                    <w:rPr>
                      <w:rFonts w:hint="default"/>
                    </w:rPr>
                  </w:pPr>
                  <w:r>
                    <w:rPr>
                      <w:rFonts w:hint="default"/>
                    </w:rPr>
                    <w:t>1.5</w:t>
                  </w:r>
                </w:p>
              </w:tc>
              <w:tc>
                <w:tcPr>
                  <w:tcW w:w="184" w:type="pct"/>
                  <w:tcBorders>
                    <w:tl2br w:val="nil"/>
                    <w:tr2bl w:val="nil"/>
                  </w:tcBorders>
                  <w:shd w:val="clear" w:color="auto" w:fill="auto"/>
                  <w:tcMar>
                    <w:top w:w="0" w:type="dxa"/>
                    <w:left w:w="0" w:type="dxa"/>
                    <w:bottom w:w="0" w:type="dxa"/>
                    <w:right w:w="0" w:type="dxa"/>
                  </w:tcMar>
                  <w:vAlign w:val="center"/>
                </w:tcPr>
                <w:p w14:paraId="1E89DEAE">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5E2FE4A2">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0AE9DEC4">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3805F8D8">
                  <w:pPr>
                    <w:pStyle w:val="8"/>
                    <w:keepNext w:val="0"/>
                    <w:keepLines w:val="0"/>
                    <w:suppressLineNumbers w:val="0"/>
                    <w:bidi w:val="0"/>
                    <w:spacing w:before="0" w:beforeAutospacing="0" w:after="0" w:afterAutospacing="0"/>
                    <w:ind w:left="0" w:right="0"/>
                    <w:rPr>
                      <w:rFonts w:hint="default"/>
                    </w:rPr>
                  </w:pPr>
                  <w:r>
                    <w:rPr>
                      <w:rFonts w:hint="default"/>
                    </w:rPr>
                    <w:t>57.0</w:t>
                  </w:r>
                </w:p>
              </w:tc>
              <w:tc>
                <w:tcPr>
                  <w:tcW w:w="208" w:type="pct"/>
                  <w:tcBorders>
                    <w:tl2br w:val="nil"/>
                    <w:tr2bl w:val="nil"/>
                  </w:tcBorders>
                  <w:shd w:val="clear" w:color="auto" w:fill="auto"/>
                  <w:tcMar>
                    <w:top w:w="0" w:type="dxa"/>
                    <w:left w:w="0" w:type="dxa"/>
                    <w:bottom w:w="0" w:type="dxa"/>
                    <w:right w:w="0" w:type="dxa"/>
                  </w:tcMar>
                  <w:vAlign w:val="center"/>
                </w:tcPr>
                <w:p w14:paraId="623CEF2B">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12C4E04D">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FBD9BF7">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427941E">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057A9641">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12690F8C">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45E3A88F">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35F660ED">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73950D82">
                  <w:pPr>
                    <w:pStyle w:val="8"/>
                    <w:keepNext w:val="0"/>
                    <w:keepLines w:val="0"/>
                    <w:suppressLineNumbers w:val="0"/>
                    <w:bidi w:val="0"/>
                    <w:spacing w:before="0" w:beforeAutospacing="0" w:after="0" w:afterAutospacing="0"/>
                    <w:ind w:left="0" w:right="0"/>
                    <w:rPr>
                      <w:rFonts w:hint="default"/>
                    </w:rPr>
                  </w:pPr>
                  <w:r>
                    <w:rPr>
                      <w:rFonts w:hint="default"/>
                    </w:rPr>
                    <w:t>31.0</w:t>
                  </w:r>
                </w:p>
              </w:tc>
              <w:tc>
                <w:tcPr>
                  <w:tcW w:w="107" w:type="pct"/>
                  <w:tcBorders>
                    <w:tl2br w:val="nil"/>
                    <w:tr2bl w:val="nil"/>
                  </w:tcBorders>
                  <w:shd w:val="clear" w:color="auto" w:fill="auto"/>
                  <w:tcMar>
                    <w:top w:w="0" w:type="dxa"/>
                    <w:left w:w="0" w:type="dxa"/>
                    <w:bottom w:w="0" w:type="dxa"/>
                    <w:right w:w="0" w:type="dxa"/>
                  </w:tcMar>
                  <w:vAlign w:val="center"/>
                </w:tcPr>
                <w:p w14:paraId="75B99667">
                  <w:pPr>
                    <w:pStyle w:val="8"/>
                    <w:keepNext w:val="0"/>
                    <w:keepLines w:val="0"/>
                    <w:suppressLineNumbers w:val="0"/>
                    <w:bidi w:val="0"/>
                    <w:spacing w:before="0" w:beforeAutospacing="0" w:after="0" w:afterAutospacing="0"/>
                    <w:ind w:left="0" w:right="0"/>
                    <w:rPr>
                      <w:rFonts w:hint="default"/>
                    </w:rPr>
                  </w:pPr>
                  <w:r>
                    <w:rPr>
                      <w:rFonts w:hint="default"/>
                    </w:rPr>
                    <w:t>1</w:t>
                  </w:r>
                </w:p>
              </w:tc>
            </w:tr>
            <w:tr w14:paraId="577A7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0" w:hRule="atLeast"/>
                <w:jc w:val="center"/>
              </w:trPr>
              <w:tc>
                <w:tcPr>
                  <w:tcW w:w="208" w:type="pct"/>
                  <w:tcBorders>
                    <w:tl2br w:val="nil"/>
                    <w:tr2bl w:val="nil"/>
                  </w:tcBorders>
                  <w:shd w:val="clear" w:color="auto" w:fill="auto"/>
                  <w:tcMar>
                    <w:top w:w="0" w:type="dxa"/>
                    <w:left w:w="0" w:type="dxa"/>
                    <w:bottom w:w="0" w:type="dxa"/>
                    <w:right w:w="0" w:type="dxa"/>
                  </w:tcMar>
                  <w:vAlign w:val="center"/>
                </w:tcPr>
                <w:p w14:paraId="105B1D9E">
                  <w:pPr>
                    <w:pStyle w:val="8"/>
                    <w:keepNext w:val="0"/>
                    <w:keepLines w:val="0"/>
                    <w:suppressLineNumbers w:val="0"/>
                    <w:bidi w:val="0"/>
                    <w:spacing w:before="0" w:beforeAutospacing="0" w:after="0" w:afterAutospacing="0"/>
                    <w:ind w:left="0" w:right="0"/>
                    <w:rPr>
                      <w:rFonts w:hint="default"/>
                    </w:rPr>
                  </w:pPr>
                  <w:r>
                    <w:rPr>
                      <w:rFonts w:hint="default"/>
                    </w:rPr>
                    <w:t>11</w:t>
                  </w:r>
                </w:p>
              </w:tc>
              <w:tc>
                <w:tcPr>
                  <w:tcW w:w="208" w:type="pct"/>
                  <w:tcBorders>
                    <w:tl2br w:val="nil"/>
                    <w:tr2bl w:val="nil"/>
                  </w:tcBorders>
                  <w:shd w:val="clear" w:color="auto" w:fill="auto"/>
                  <w:tcMar>
                    <w:top w:w="0" w:type="dxa"/>
                    <w:left w:w="0" w:type="dxa"/>
                    <w:bottom w:w="0" w:type="dxa"/>
                    <w:right w:w="0" w:type="dxa"/>
                  </w:tcMar>
                  <w:vAlign w:val="center"/>
                </w:tcPr>
                <w:p w14:paraId="6CBFFD6B">
                  <w:pPr>
                    <w:pStyle w:val="8"/>
                    <w:keepNext w:val="0"/>
                    <w:keepLines w:val="0"/>
                    <w:suppressLineNumbers w:val="0"/>
                    <w:bidi w:val="0"/>
                    <w:spacing w:before="0" w:beforeAutospacing="0" w:after="0" w:afterAutospacing="0"/>
                    <w:ind w:left="0" w:right="0"/>
                    <w:rPr>
                      <w:rFonts w:hint="default"/>
                    </w:rPr>
                  </w:pPr>
                  <w:r>
                    <w:rPr>
                      <w:rFonts w:hint="default"/>
                    </w:rPr>
                    <w:t>晨光-生产车间</w:t>
                  </w:r>
                </w:p>
              </w:tc>
              <w:tc>
                <w:tcPr>
                  <w:tcW w:w="236" w:type="pct"/>
                  <w:tcBorders>
                    <w:tl2br w:val="nil"/>
                    <w:tr2bl w:val="nil"/>
                  </w:tcBorders>
                  <w:shd w:val="clear" w:color="auto" w:fill="auto"/>
                  <w:tcMar>
                    <w:top w:w="0" w:type="dxa"/>
                    <w:left w:w="0" w:type="dxa"/>
                    <w:bottom w:w="0" w:type="dxa"/>
                    <w:right w:w="0" w:type="dxa"/>
                  </w:tcMar>
                  <w:vAlign w:val="center"/>
                </w:tcPr>
                <w:p w14:paraId="1D2FA506">
                  <w:pPr>
                    <w:pStyle w:val="8"/>
                    <w:keepNext w:val="0"/>
                    <w:keepLines w:val="0"/>
                    <w:suppressLineNumbers w:val="0"/>
                    <w:bidi w:val="0"/>
                    <w:spacing w:before="0" w:beforeAutospacing="0" w:after="0" w:afterAutospacing="0"/>
                    <w:ind w:left="0" w:right="0"/>
                    <w:rPr>
                      <w:rFonts w:hint="default"/>
                    </w:rPr>
                  </w:pPr>
                  <w:r>
                    <w:rPr>
                      <w:rFonts w:hint="default"/>
                    </w:rPr>
                    <w:t>色素灌装机</w:t>
                  </w:r>
                </w:p>
              </w:tc>
              <w:tc>
                <w:tcPr>
                  <w:tcW w:w="295" w:type="pct"/>
                  <w:tcBorders>
                    <w:tl2br w:val="nil"/>
                    <w:tr2bl w:val="nil"/>
                  </w:tcBorders>
                  <w:shd w:val="clear" w:color="auto" w:fill="auto"/>
                  <w:tcMar>
                    <w:top w:w="0" w:type="dxa"/>
                    <w:left w:w="0" w:type="dxa"/>
                    <w:bottom w:w="0" w:type="dxa"/>
                    <w:right w:w="0" w:type="dxa"/>
                  </w:tcMar>
                  <w:vAlign w:val="center"/>
                </w:tcPr>
                <w:p w14:paraId="78687AFA">
                  <w:pPr>
                    <w:pStyle w:val="8"/>
                    <w:keepNext w:val="0"/>
                    <w:keepLines w:val="0"/>
                    <w:suppressLineNumbers w:val="0"/>
                    <w:bidi w:val="0"/>
                    <w:spacing w:before="0" w:beforeAutospacing="0" w:after="0" w:afterAutospacing="0"/>
                    <w:ind w:left="0" w:right="0"/>
                    <w:rPr>
                      <w:rFonts w:hint="default"/>
                    </w:rPr>
                  </w:pPr>
                  <w:r>
                    <w:rPr>
                      <w:rFonts w:hint="default"/>
                    </w:rPr>
                    <w:t>70</w:t>
                  </w:r>
                </w:p>
              </w:tc>
              <w:tc>
                <w:tcPr>
                  <w:tcW w:w="210" w:type="pct"/>
                  <w:tcBorders>
                    <w:tl2br w:val="nil"/>
                    <w:tr2bl w:val="nil"/>
                  </w:tcBorders>
                  <w:shd w:val="clear" w:color="auto" w:fill="auto"/>
                  <w:tcMar>
                    <w:top w:w="0" w:type="dxa"/>
                    <w:left w:w="0" w:type="dxa"/>
                    <w:bottom w:w="0" w:type="dxa"/>
                    <w:right w:w="0" w:type="dxa"/>
                  </w:tcMar>
                  <w:vAlign w:val="center"/>
                </w:tcPr>
                <w:p w14:paraId="67B9B428">
                  <w:pPr>
                    <w:pStyle w:val="8"/>
                    <w:keepNext w:val="0"/>
                    <w:keepLines w:val="0"/>
                    <w:suppressLineNumbers w:val="0"/>
                    <w:bidi w:val="0"/>
                    <w:spacing w:before="0" w:beforeAutospacing="0" w:after="0" w:afterAutospacing="0"/>
                    <w:ind w:left="0" w:right="0"/>
                    <w:rPr>
                      <w:rFonts w:hint="default"/>
                    </w:rPr>
                  </w:pPr>
                  <w:r>
                    <w:rPr>
                      <w:rFonts w:hint="default"/>
                    </w:rPr>
                    <w:t>基础减振</w:t>
                  </w:r>
                </w:p>
              </w:tc>
              <w:tc>
                <w:tcPr>
                  <w:tcW w:w="218" w:type="pct"/>
                  <w:tcBorders>
                    <w:tl2br w:val="nil"/>
                    <w:tr2bl w:val="nil"/>
                  </w:tcBorders>
                  <w:shd w:val="clear" w:color="auto" w:fill="auto"/>
                  <w:tcMar>
                    <w:top w:w="0" w:type="dxa"/>
                    <w:left w:w="0" w:type="dxa"/>
                    <w:bottom w:w="0" w:type="dxa"/>
                    <w:right w:w="0" w:type="dxa"/>
                  </w:tcMar>
                  <w:vAlign w:val="center"/>
                </w:tcPr>
                <w:p w14:paraId="158F1F0F">
                  <w:pPr>
                    <w:pStyle w:val="8"/>
                    <w:keepNext w:val="0"/>
                    <w:keepLines w:val="0"/>
                    <w:suppressLineNumbers w:val="0"/>
                    <w:bidi w:val="0"/>
                    <w:spacing w:before="0" w:beforeAutospacing="0" w:after="0" w:afterAutospacing="0"/>
                    <w:ind w:left="0" w:right="0"/>
                    <w:rPr>
                      <w:rFonts w:hint="default"/>
                    </w:rPr>
                  </w:pPr>
                  <w:r>
                    <w:rPr>
                      <w:rFonts w:hint="default"/>
                    </w:rPr>
                    <w:t>39.5</w:t>
                  </w:r>
                </w:p>
              </w:tc>
              <w:tc>
                <w:tcPr>
                  <w:tcW w:w="218" w:type="pct"/>
                  <w:tcBorders>
                    <w:tl2br w:val="nil"/>
                    <w:tr2bl w:val="nil"/>
                  </w:tcBorders>
                  <w:shd w:val="clear" w:color="auto" w:fill="auto"/>
                  <w:tcMar>
                    <w:top w:w="0" w:type="dxa"/>
                    <w:left w:w="0" w:type="dxa"/>
                    <w:bottom w:w="0" w:type="dxa"/>
                    <w:right w:w="0" w:type="dxa"/>
                  </w:tcMar>
                  <w:vAlign w:val="center"/>
                </w:tcPr>
                <w:p w14:paraId="0CA9F08C">
                  <w:pPr>
                    <w:pStyle w:val="8"/>
                    <w:keepNext w:val="0"/>
                    <w:keepLines w:val="0"/>
                    <w:suppressLineNumbers w:val="0"/>
                    <w:bidi w:val="0"/>
                    <w:spacing w:before="0" w:beforeAutospacing="0" w:after="0" w:afterAutospacing="0"/>
                    <w:ind w:left="0" w:right="0"/>
                    <w:rPr>
                      <w:rFonts w:hint="default"/>
                    </w:rPr>
                  </w:pPr>
                  <w:r>
                    <w:rPr>
                      <w:rFonts w:hint="default"/>
                    </w:rPr>
                    <w:t>-10.3</w:t>
                  </w:r>
                </w:p>
              </w:tc>
              <w:tc>
                <w:tcPr>
                  <w:tcW w:w="133" w:type="pct"/>
                  <w:tcBorders>
                    <w:tl2br w:val="nil"/>
                    <w:tr2bl w:val="nil"/>
                  </w:tcBorders>
                  <w:shd w:val="clear" w:color="auto" w:fill="auto"/>
                  <w:tcMar>
                    <w:top w:w="0" w:type="dxa"/>
                    <w:left w:w="0" w:type="dxa"/>
                    <w:bottom w:w="0" w:type="dxa"/>
                    <w:right w:w="0" w:type="dxa"/>
                  </w:tcMar>
                  <w:vAlign w:val="center"/>
                </w:tcPr>
                <w:p w14:paraId="6B1D9F3C">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778CF55A">
                  <w:pPr>
                    <w:pStyle w:val="8"/>
                    <w:keepNext w:val="0"/>
                    <w:keepLines w:val="0"/>
                    <w:suppressLineNumbers w:val="0"/>
                    <w:bidi w:val="0"/>
                    <w:spacing w:before="0" w:beforeAutospacing="0" w:after="0" w:afterAutospacing="0"/>
                    <w:ind w:left="0" w:right="0"/>
                    <w:rPr>
                      <w:rFonts w:hint="default"/>
                    </w:rPr>
                  </w:pPr>
                  <w:r>
                    <w:rPr>
                      <w:rFonts w:hint="default"/>
                    </w:rPr>
                    <w:t>35.2</w:t>
                  </w:r>
                </w:p>
              </w:tc>
              <w:tc>
                <w:tcPr>
                  <w:tcW w:w="184" w:type="pct"/>
                  <w:tcBorders>
                    <w:tl2br w:val="nil"/>
                    <w:tr2bl w:val="nil"/>
                  </w:tcBorders>
                  <w:shd w:val="clear" w:color="auto" w:fill="auto"/>
                  <w:tcMar>
                    <w:top w:w="0" w:type="dxa"/>
                    <w:left w:w="0" w:type="dxa"/>
                    <w:bottom w:w="0" w:type="dxa"/>
                    <w:right w:w="0" w:type="dxa"/>
                  </w:tcMar>
                  <w:vAlign w:val="center"/>
                </w:tcPr>
                <w:p w14:paraId="2E0851DF">
                  <w:pPr>
                    <w:pStyle w:val="8"/>
                    <w:keepNext w:val="0"/>
                    <w:keepLines w:val="0"/>
                    <w:suppressLineNumbers w:val="0"/>
                    <w:bidi w:val="0"/>
                    <w:spacing w:before="0" w:beforeAutospacing="0" w:after="0" w:afterAutospacing="0"/>
                    <w:ind w:left="0" w:right="0"/>
                    <w:rPr>
                      <w:rFonts w:hint="default"/>
                    </w:rPr>
                  </w:pPr>
                  <w:r>
                    <w:rPr>
                      <w:rFonts w:hint="default"/>
                    </w:rPr>
                    <w:t>46.8</w:t>
                  </w:r>
                </w:p>
              </w:tc>
              <w:tc>
                <w:tcPr>
                  <w:tcW w:w="184" w:type="pct"/>
                  <w:tcBorders>
                    <w:tl2br w:val="nil"/>
                    <w:tr2bl w:val="nil"/>
                  </w:tcBorders>
                  <w:shd w:val="clear" w:color="auto" w:fill="auto"/>
                  <w:tcMar>
                    <w:top w:w="0" w:type="dxa"/>
                    <w:left w:w="0" w:type="dxa"/>
                    <w:bottom w:w="0" w:type="dxa"/>
                    <w:right w:w="0" w:type="dxa"/>
                  </w:tcMar>
                  <w:vAlign w:val="center"/>
                </w:tcPr>
                <w:p w14:paraId="163639CC">
                  <w:pPr>
                    <w:pStyle w:val="8"/>
                    <w:keepNext w:val="0"/>
                    <w:keepLines w:val="0"/>
                    <w:suppressLineNumbers w:val="0"/>
                    <w:bidi w:val="0"/>
                    <w:spacing w:before="0" w:beforeAutospacing="0" w:after="0" w:afterAutospacing="0"/>
                    <w:ind w:left="0" w:right="0"/>
                    <w:rPr>
                      <w:rFonts w:hint="default"/>
                    </w:rPr>
                  </w:pPr>
                  <w:r>
                    <w:rPr>
                      <w:rFonts w:hint="default"/>
                    </w:rPr>
                    <w:t>47.1</w:t>
                  </w:r>
                </w:p>
              </w:tc>
              <w:tc>
                <w:tcPr>
                  <w:tcW w:w="184" w:type="pct"/>
                  <w:tcBorders>
                    <w:tl2br w:val="nil"/>
                    <w:tr2bl w:val="nil"/>
                  </w:tcBorders>
                  <w:shd w:val="clear" w:color="auto" w:fill="auto"/>
                  <w:tcMar>
                    <w:top w:w="0" w:type="dxa"/>
                    <w:left w:w="0" w:type="dxa"/>
                    <w:bottom w:w="0" w:type="dxa"/>
                    <w:right w:w="0" w:type="dxa"/>
                  </w:tcMar>
                  <w:vAlign w:val="center"/>
                </w:tcPr>
                <w:p w14:paraId="7E060CCD">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184" w:type="pct"/>
                  <w:tcBorders>
                    <w:tl2br w:val="nil"/>
                    <w:tr2bl w:val="nil"/>
                  </w:tcBorders>
                  <w:shd w:val="clear" w:color="auto" w:fill="auto"/>
                  <w:tcMar>
                    <w:top w:w="0" w:type="dxa"/>
                    <w:left w:w="0" w:type="dxa"/>
                    <w:bottom w:w="0" w:type="dxa"/>
                    <w:right w:w="0" w:type="dxa"/>
                  </w:tcMar>
                  <w:vAlign w:val="center"/>
                </w:tcPr>
                <w:p w14:paraId="38D54BC7">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34038442">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16D246AE">
                  <w:pPr>
                    <w:pStyle w:val="8"/>
                    <w:keepNext w:val="0"/>
                    <w:keepLines w:val="0"/>
                    <w:suppressLineNumbers w:val="0"/>
                    <w:bidi w:val="0"/>
                    <w:spacing w:before="0" w:beforeAutospacing="0" w:after="0" w:afterAutospacing="0"/>
                    <w:ind w:left="0" w:right="0"/>
                    <w:rPr>
                      <w:rFonts w:hint="default"/>
                    </w:rPr>
                  </w:pPr>
                  <w:r>
                    <w:rPr>
                      <w:rFonts w:hint="default"/>
                    </w:rPr>
                    <w:t>51.6</w:t>
                  </w:r>
                </w:p>
              </w:tc>
              <w:tc>
                <w:tcPr>
                  <w:tcW w:w="184" w:type="pct"/>
                  <w:tcBorders>
                    <w:tl2br w:val="nil"/>
                    <w:tr2bl w:val="nil"/>
                  </w:tcBorders>
                  <w:shd w:val="clear" w:color="auto" w:fill="auto"/>
                  <w:tcMar>
                    <w:top w:w="0" w:type="dxa"/>
                    <w:left w:w="0" w:type="dxa"/>
                    <w:bottom w:w="0" w:type="dxa"/>
                    <w:right w:w="0" w:type="dxa"/>
                  </w:tcMar>
                  <w:vAlign w:val="center"/>
                </w:tcPr>
                <w:p w14:paraId="52C4B043">
                  <w:pPr>
                    <w:pStyle w:val="8"/>
                    <w:keepNext w:val="0"/>
                    <w:keepLines w:val="0"/>
                    <w:suppressLineNumbers w:val="0"/>
                    <w:bidi w:val="0"/>
                    <w:spacing w:before="0" w:beforeAutospacing="0" w:after="0" w:afterAutospacing="0"/>
                    <w:ind w:left="0" w:right="0"/>
                    <w:rPr>
                      <w:rFonts w:hint="default"/>
                    </w:rPr>
                  </w:pPr>
                  <w:r>
                    <w:rPr>
                      <w:rFonts w:hint="default"/>
                    </w:rPr>
                    <w:t>58.4</w:t>
                  </w:r>
                </w:p>
              </w:tc>
              <w:tc>
                <w:tcPr>
                  <w:tcW w:w="208" w:type="pct"/>
                  <w:tcBorders>
                    <w:tl2br w:val="nil"/>
                    <w:tr2bl w:val="nil"/>
                  </w:tcBorders>
                  <w:shd w:val="clear" w:color="auto" w:fill="auto"/>
                  <w:tcMar>
                    <w:top w:w="0" w:type="dxa"/>
                    <w:left w:w="0" w:type="dxa"/>
                    <w:bottom w:w="0" w:type="dxa"/>
                    <w:right w:w="0" w:type="dxa"/>
                  </w:tcMar>
                  <w:vAlign w:val="center"/>
                </w:tcPr>
                <w:p w14:paraId="1A42BD0B">
                  <w:pPr>
                    <w:pStyle w:val="8"/>
                    <w:keepNext w:val="0"/>
                    <w:keepLines w:val="0"/>
                    <w:suppressLineNumbers w:val="0"/>
                    <w:bidi w:val="0"/>
                    <w:spacing w:before="0" w:beforeAutospacing="0" w:after="0" w:afterAutospacing="0"/>
                    <w:ind w:left="0" w:right="0"/>
                    <w:rPr>
                      <w:rFonts w:hint="default"/>
                    </w:rPr>
                  </w:pPr>
                  <w:r>
                    <w:rPr>
                      <w:rFonts w:hint="default"/>
                    </w:rPr>
                    <w:t>24.0</w:t>
                  </w:r>
                </w:p>
              </w:tc>
              <w:tc>
                <w:tcPr>
                  <w:tcW w:w="184" w:type="pct"/>
                  <w:tcBorders>
                    <w:tl2br w:val="nil"/>
                    <w:tr2bl w:val="nil"/>
                  </w:tcBorders>
                  <w:shd w:val="clear" w:color="auto" w:fill="auto"/>
                  <w:tcMar>
                    <w:top w:w="0" w:type="dxa"/>
                    <w:left w:w="0" w:type="dxa"/>
                    <w:bottom w:w="0" w:type="dxa"/>
                    <w:right w:w="0" w:type="dxa"/>
                  </w:tcMar>
                  <w:vAlign w:val="center"/>
                </w:tcPr>
                <w:p w14:paraId="43316A6D">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38E49628">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3B6C96EA">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2106B5D6">
                  <w:pPr>
                    <w:pStyle w:val="8"/>
                    <w:keepNext w:val="0"/>
                    <w:keepLines w:val="0"/>
                    <w:suppressLineNumbers w:val="0"/>
                    <w:bidi w:val="0"/>
                    <w:spacing w:before="0" w:beforeAutospacing="0" w:after="0" w:afterAutospacing="0"/>
                    <w:ind w:left="0" w:right="0"/>
                    <w:rPr>
                      <w:rFonts w:hint="default"/>
                    </w:rPr>
                  </w:pPr>
                  <w:r>
                    <w:rPr>
                      <w:rFonts w:hint="default"/>
                    </w:rPr>
                    <w:t>26.0</w:t>
                  </w:r>
                </w:p>
              </w:tc>
              <w:tc>
                <w:tcPr>
                  <w:tcW w:w="184" w:type="pct"/>
                  <w:tcBorders>
                    <w:tl2br w:val="nil"/>
                    <w:tr2bl w:val="nil"/>
                  </w:tcBorders>
                  <w:shd w:val="clear" w:color="auto" w:fill="auto"/>
                  <w:tcMar>
                    <w:top w:w="0" w:type="dxa"/>
                    <w:left w:w="0" w:type="dxa"/>
                    <w:bottom w:w="0" w:type="dxa"/>
                    <w:right w:w="0" w:type="dxa"/>
                  </w:tcMar>
                  <w:vAlign w:val="center"/>
                </w:tcPr>
                <w:p w14:paraId="5A76F2BA">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11DC8CDB">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6E0F419A">
                  <w:pPr>
                    <w:pStyle w:val="8"/>
                    <w:keepNext w:val="0"/>
                    <w:keepLines w:val="0"/>
                    <w:suppressLineNumbers w:val="0"/>
                    <w:bidi w:val="0"/>
                    <w:spacing w:before="0" w:beforeAutospacing="0" w:after="0" w:afterAutospacing="0"/>
                    <w:ind w:left="0" w:right="0"/>
                    <w:rPr>
                      <w:rFonts w:hint="default"/>
                    </w:rPr>
                  </w:pPr>
                  <w:r>
                    <w:rPr>
                      <w:rFonts w:hint="default"/>
                    </w:rPr>
                    <w:t>25.6</w:t>
                  </w:r>
                </w:p>
              </w:tc>
              <w:tc>
                <w:tcPr>
                  <w:tcW w:w="184" w:type="pct"/>
                  <w:tcBorders>
                    <w:tl2br w:val="nil"/>
                    <w:tr2bl w:val="nil"/>
                  </w:tcBorders>
                  <w:shd w:val="clear" w:color="auto" w:fill="auto"/>
                  <w:tcMar>
                    <w:top w:w="0" w:type="dxa"/>
                    <w:left w:w="0" w:type="dxa"/>
                    <w:bottom w:w="0" w:type="dxa"/>
                    <w:right w:w="0" w:type="dxa"/>
                  </w:tcMar>
                  <w:vAlign w:val="center"/>
                </w:tcPr>
                <w:p w14:paraId="7CBA91FB">
                  <w:pPr>
                    <w:pStyle w:val="8"/>
                    <w:keepNext w:val="0"/>
                    <w:keepLines w:val="0"/>
                    <w:suppressLineNumbers w:val="0"/>
                    <w:bidi w:val="0"/>
                    <w:spacing w:before="0" w:beforeAutospacing="0" w:after="0" w:afterAutospacing="0"/>
                    <w:ind w:left="0" w:right="0"/>
                    <w:rPr>
                      <w:rFonts w:hint="default"/>
                    </w:rPr>
                  </w:pPr>
                  <w:r>
                    <w:rPr>
                      <w:rFonts w:hint="default"/>
                    </w:rPr>
                    <w:t>32.4</w:t>
                  </w:r>
                </w:p>
              </w:tc>
              <w:tc>
                <w:tcPr>
                  <w:tcW w:w="107" w:type="pct"/>
                  <w:tcBorders>
                    <w:tl2br w:val="nil"/>
                    <w:tr2bl w:val="nil"/>
                  </w:tcBorders>
                  <w:shd w:val="clear" w:color="auto" w:fill="auto"/>
                  <w:tcMar>
                    <w:top w:w="0" w:type="dxa"/>
                    <w:left w:w="0" w:type="dxa"/>
                    <w:bottom w:w="0" w:type="dxa"/>
                    <w:right w:w="0" w:type="dxa"/>
                  </w:tcMar>
                  <w:vAlign w:val="center"/>
                </w:tcPr>
                <w:p w14:paraId="112EBA98">
                  <w:pPr>
                    <w:pStyle w:val="8"/>
                    <w:keepNext w:val="0"/>
                    <w:keepLines w:val="0"/>
                    <w:suppressLineNumbers w:val="0"/>
                    <w:bidi w:val="0"/>
                    <w:spacing w:before="0" w:beforeAutospacing="0" w:after="0" w:afterAutospacing="0"/>
                    <w:ind w:left="0" w:right="0"/>
                    <w:rPr>
                      <w:rFonts w:hint="default"/>
                    </w:rPr>
                  </w:pPr>
                  <w:r>
                    <w:rPr>
                      <w:rFonts w:hint="default"/>
                    </w:rPr>
                    <w:t>1</w:t>
                  </w:r>
                </w:p>
              </w:tc>
            </w:tr>
            <w:bookmarkEnd w:id="15"/>
          </w:tbl>
          <w:p w14:paraId="6BC003E4">
            <w:pPr>
              <w:pStyle w:val="87"/>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rPr>
              <w:t>预测结果分析</w:t>
            </w:r>
          </w:p>
          <w:p w14:paraId="6A7B3B7D">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本项目采用基础减振、</w:t>
            </w:r>
            <w:r>
              <w:rPr>
                <w:rFonts w:hint="eastAsia"/>
                <w:color w:val="auto"/>
                <w:lang w:val="en-US" w:eastAsia="zh-CN"/>
              </w:rPr>
              <w:t>消音等措施</w:t>
            </w:r>
            <w:r>
              <w:rPr>
                <w:rFonts w:hint="eastAsia"/>
                <w:color w:val="auto"/>
                <w:lang w:eastAsia="zh-CN"/>
              </w:rPr>
              <w:t>，车间门窗隔音及距离衰减等措施治理后，厂界噪声值预测结果见下表4-</w:t>
            </w:r>
            <w:r>
              <w:rPr>
                <w:rFonts w:hint="eastAsia"/>
                <w:color w:val="auto"/>
                <w:lang w:val="en-US" w:eastAsia="zh-CN"/>
              </w:rPr>
              <w:t>9</w:t>
            </w:r>
            <w:r>
              <w:rPr>
                <w:rFonts w:hint="eastAsia"/>
                <w:color w:val="auto"/>
                <w:lang w:eastAsia="zh-CN"/>
              </w:rPr>
              <w:t>：</w:t>
            </w:r>
          </w:p>
          <w:p w14:paraId="1A5923E8">
            <w:pPr>
              <w:pStyle w:val="6"/>
              <w:keepNext w:val="0"/>
              <w:keepLines w:val="0"/>
              <w:suppressLineNumbers w:val="0"/>
              <w:bidi w:val="0"/>
              <w:spacing w:before="0" w:beforeAutospacing="0" w:after="0" w:afterAutospacing="0"/>
              <w:ind w:left="0" w:right="0"/>
              <w:rPr>
                <w:rFonts w:hint="eastAsia"/>
                <w:color w:val="0000FF"/>
              </w:rPr>
            </w:pPr>
            <w:r>
              <w:rPr>
                <w:rFonts w:hint="eastAsia"/>
                <w:color w:val="auto"/>
              </w:rPr>
              <w:t>表</w:t>
            </w:r>
            <w:r>
              <w:rPr>
                <w:rFonts w:hint="eastAsia"/>
                <w:color w:val="auto"/>
                <w:lang w:val="en-US" w:eastAsia="zh-CN"/>
              </w:rPr>
              <w:t>4-9</w:t>
            </w:r>
            <w:r>
              <w:rPr>
                <w:rFonts w:hint="eastAsia"/>
                <w:color w:val="auto"/>
              </w:rPr>
              <w:t xml:space="preserve">       </w:t>
            </w:r>
            <w:r>
              <w:rPr>
                <w:rFonts w:hint="eastAsia"/>
                <w:color w:val="auto"/>
                <w:lang w:val="en-US" w:eastAsia="zh-CN"/>
              </w:rPr>
              <w:t xml:space="preserve">       </w:t>
            </w:r>
            <w:r>
              <w:rPr>
                <w:rFonts w:hint="eastAsia"/>
                <w:color w:val="auto"/>
              </w:rPr>
              <w:t xml:space="preserve">    噪声预测结果          </w:t>
            </w:r>
            <w:r>
              <w:rPr>
                <w:rFonts w:hint="eastAsia"/>
                <w:color w:val="auto"/>
                <w:lang w:val="en-US" w:eastAsia="zh-CN"/>
              </w:rPr>
              <w:t xml:space="preserve">    </w:t>
            </w:r>
            <w:r>
              <w:rPr>
                <w:rFonts w:hint="eastAsia"/>
                <w:color w:val="auto"/>
              </w:rPr>
              <w:t xml:space="preserve">           单位：dB(A)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7"/>
              <w:gridCol w:w="898"/>
              <w:gridCol w:w="898"/>
              <w:gridCol w:w="628"/>
              <w:gridCol w:w="1340"/>
              <w:gridCol w:w="1373"/>
              <w:gridCol w:w="1452"/>
              <w:gridCol w:w="947"/>
            </w:tblGrid>
            <w:tr w14:paraId="42CA2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558" w:type="pct"/>
                  <w:vMerge w:val="restart"/>
                  <w:tcBorders>
                    <w:tl2br w:val="nil"/>
                    <w:tr2bl w:val="nil"/>
                  </w:tcBorders>
                  <w:shd w:val="clear" w:color="auto" w:fill="auto"/>
                  <w:vAlign w:val="center"/>
                </w:tcPr>
                <w:p w14:paraId="6EA5F89C">
                  <w:pPr>
                    <w:pStyle w:val="8"/>
                    <w:keepNext w:val="0"/>
                    <w:keepLines w:val="0"/>
                    <w:suppressLineNumbers w:val="0"/>
                    <w:bidi w:val="0"/>
                    <w:spacing w:before="0" w:beforeAutospacing="0" w:after="0" w:afterAutospacing="0"/>
                    <w:ind w:left="0" w:right="0"/>
                    <w:rPr>
                      <w:rFonts w:hint="default"/>
                    </w:rPr>
                  </w:pPr>
                  <w:r>
                    <w:rPr>
                      <w:rFonts w:hint="default"/>
                    </w:rPr>
                    <w:t>预测方位</w:t>
                  </w:r>
                </w:p>
              </w:tc>
              <w:tc>
                <w:tcPr>
                  <w:tcW w:w="1428" w:type="pct"/>
                  <w:gridSpan w:val="3"/>
                  <w:tcBorders>
                    <w:tl2br w:val="nil"/>
                    <w:tr2bl w:val="nil"/>
                  </w:tcBorders>
                  <w:shd w:val="clear" w:color="auto" w:fill="auto"/>
                  <w:vAlign w:val="center"/>
                </w:tcPr>
                <w:p w14:paraId="5D3BDE64">
                  <w:pPr>
                    <w:pStyle w:val="8"/>
                    <w:keepNext w:val="0"/>
                    <w:keepLines w:val="0"/>
                    <w:suppressLineNumbers w:val="0"/>
                    <w:bidi w:val="0"/>
                    <w:spacing w:before="0" w:beforeAutospacing="0" w:after="0" w:afterAutospacing="0"/>
                    <w:ind w:left="0" w:right="0"/>
                    <w:rPr>
                      <w:rFonts w:hint="default"/>
                    </w:rPr>
                  </w:pPr>
                  <w:r>
                    <w:rPr>
                      <w:rFonts w:hint="eastAsia"/>
                      <w:lang w:val="en-US" w:eastAsia="zh-CN"/>
                    </w:rPr>
                    <w:t>最大值点</w:t>
                  </w:r>
                  <w:r>
                    <w:rPr>
                      <w:rFonts w:hint="default"/>
                    </w:rPr>
                    <w:t>空间相对位置/m</w:t>
                  </w:r>
                </w:p>
              </w:tc>
              <w:tc>
                <w:tcPr>
                  <w:tcW w:w="789" w:type="pct"/>
                  <w:vMerge w:val="restart"/>
                  <w:tcBorders>
                    <w:tl2br w:val="nil"/>
                    <w:tr2bl w:val="nil"/>
                  </w:tcBorders>
                  <w:shd w:val="clear" w:color="auto" w:fill="auto"/>
                  <w:vAlign w:val="center"/>
                </w:tcPr>
                <w:p w14:paraId="7A14B541">
                  <w:pPr>
                    <w:pStyle w:val="8"/>
                    <w:keepNext w:val="0"/>
                    <w:keepLines w:val="0"/>
                    <w:suppressLineNumbers w:val="0"/>
                    <w:bidi w:val="0"/>
                    <w:spacing w:before="0" w:beforeAutospacing="0" w:after="0" w:afterAutospacing="0"/>
                    <w:ind w:left="0" w:right="0"/>
                    <w:rPr>
                      <w:rFonts w:hint="default"/>
                    </w:rPr>
                  </w:pPr>
                  <w:r>
                    <w:rPr>
                      <w:rFonts w:hint="default"/>
                    </w:rPr>
                    <w:t>时段</w:t>
                  </w:r>
                </w:p>
              </w:tc>
              <w:tc>
                <w:tcPr>
                  <w:tcW w:w="809" w:type="pct"/>
                  <w:vMerge w:val="restart"/>
                  <w:tcBorders>
                    <w:tl2br w:val="nil"/>
                    <w:tr2bl w:val="nil"/>
                  </w:tcBorders>
                  <w:shd w:val="clear" w:color="auto" w:fill="auto"/>
                  <w:vAlign w:val="center"/>
                </w:tcPr>
                <w:p w14:paraId="702FF11C">
                  <w:pPr>
                    <w:pStyle w:val="8"/>
                    <w:keepNext w:val="0"/>
                    <w:keepLines w:val="0"/>
                    <w:suppressLineNumbers w:val="0"/>
                    <w:bidi w:val="0"/>
                    <w:spacing w:before="0" w:beforeAutospacing="0" w:after="0" w:afterAutospacing="0"/>
                    <w:ind w:left="0" w:right="0"/>
                    <w:rPr>
                      <w:rFonts w:hint="default"/>
                    </w:rPr>
                  </w:pPr>
                  <w:r>
                    <w:rPr>
                      <w:rFonts w:hint="eastAsia"/>
                    </w:rPr>
                    <w:t>贡献值</w:t>
                  </w:r>
                  <w:r>
                    <w:rPr>
                      <w:rFonts w:hint="default"/>
                    </w:rPr>
                    <w:t>（dB(A)）</w:t>
                  </w:r>
                </w:p>
              </w:tc>
              <w:tc>
                <w:tcPr>
                  <w:tcW w:w="855" w:type="pct"/>
                  <w:vMerge w:val="restart"/>
                  <w:tcBorders>
                    <w:tl2br w:val="nil"/>
                    <w:tr2bl w:val="nil"/>
                  </w:tcBorders>
                  <w:shd w:val="clear" w:color="auto" w:fill="auto"/>
                  <w:vAlign w:val="center"/>
                </w:tcPr>
                <w:p w14:paraId="393EE1AA">
                  <w:pPr>
                    <w:pStyle w:val="8"/>
                    <w:keepNext w:val="0"/>
                    <w:keepLines w:val="0"/>
                    <w:suppressLineNumbers w:val="0"/>
                    <w:bidi w:val="0"/>
                    <w:spacing w:before="0" w:beforeAutospacing="0" w:after="0" w:afterAutospacing="0"/>
                    <w:ind w:left="0" w:right="0"/>
                    <w:rPr>
                      <w:rFonts w:hint="default"/>
                    </w:rPr>
                  </w:pPr>
                  <w:r>
                    <w:rPr>
                      <w:rFonts w:hint="default"/>
                    </w:rPr>
                    <w:t>标准限值（dB(A)）</w:t>
                  </w:r>
                </w:p>
              </w:tc>
              <w:tc>
                <w:tcPr>
                  <w:tcW w:w="558" w:type="pct"/>
                  <w:vMerge w:val="restart"/>
                  <w:tcBorders>
                    <w:tl2br w:val="nil"/>
                    <w:tr2bl w:val="nil"/>
                  </w:tcBorders>
                  <w:shd w:val="clear" w:color="auto" w:fill="auto"/>
                  <w:vAlign w:val="center"/>
                </w:tcPr>
                <w:p w14:paraId="17C06D94">
                  <w:pPr>
                    <w:pStyle w:val="8"/>
                    <w:keepNext w:val="0"/>
                    <w:keepLines w:val="0"/>
                    <w:suppressLineNumbers w:val="0"/>
                    <w:bidi w:val="0"/>
                    <w:spacing w:before="0" w:beforeAutospacing="0" w:after="0" w:afterAutospacing="0"/>
                    <w:ind w:left="0" w:right="0"/>
                    <w:rPr>
                      <w:rFonts w:hint="default"/>
                    </w:rPr>
                  </w:pPr>
                  <w:r>
                    <w:rPr>
                      <w:rFonts w:hint="default"/>
                    </w:rPr>
                    <w:t>达标情况</w:t>
                  </w:r>
                </w:p>
              </w:tc>
            </w:tr>
            <w:tr w14:paraId="717AE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atLeast"/>
                <w:jc w:val="center"/>
              </w:trPr>
              <w:tc>
                <w:tcPr>
                  <w:tcW w:w="558" w:type="pct"/>
                  <w:vMerge w:val="continue"/>
                  <w:tcBorders>
                    <w:tl2br w:val="nil"/>
                    <w:tr2bl w:val="nil"/>
                  </w:tcBorders>
                  <w:shd w:val="clear" w:color="auto" w:fill="auto"/>
                  <w:vAlign w:val="center"/>
                </w:tcPr>
                <w:p w14:paraId="4BB6AB3B">
                  <w:pPr>
                    <w:pStyle w:val="8"/>
                    <w:keepNext w:val="0"/>
                    <w:keepLines w:val="0"/>
                    <w:suppressLineNumbers w:val="0"/>
                    <w:bidi w:val="0"/>
                    <w:spacing w:before="0" w:beforeAutospacing="0" w:after="0" w:afterAutospacing="0"/>
                    <w:ind w:left="0" w:right="0"/>
                    <w:rPr>
                      <w:rFonts w:hint="default"/>
                    </w:rPr>
                  </w:pPr>
                </w:p>
              </w:tc>
              <w:tc>
                <w:tcPr>
                  <w:tcW w:w="529" w:type="pct"/>
                  <w:tcBorders>
                    <w:tl2br w:val="nil"/>
                    <w:tr2bl w:val="nil"/>
                  </w:tcBorders>
                  <w:shd w:val="clear" w:color="auto" w:fill="auto"/>
                  <w:vAlign w:val="center"/>
                </w:tcPr>
                <w:p w14:paraId="70408F4B">
                  <w:pPr>
                    <w:pStyle w:val="8"/>
                    <w:keepNext w:val="0"/>
                    <w:keepLines w:val="0"/>
                    <w:suppressLineNumbers w:val="0"/>
                    <w:bidi w:val="0"/>
                    <w:spacing w:before="0" w:beforeAutospacing="0" w:after="0" w:afterAutospacing="0"/>
                    <w:ind w:left="0" w:right="0"/>
                    <w:rPr>
                      <w:rFonts w:hint="default"/>
                    </w:rPr>
                  </w:pPr>
                  <w:r>
                    <w:rPr>
                      <w:rFonts w:hint="default"/>
                    </w:rPr>
                    <w:t>X</w:t>
                  </w:r>
                </w:p>
              </w:tc>
              <w:tc>
                <w:tcPr>
                  <w:tcW w:w="529" w:type="pct"/>
                  <w:tcBorders>
                    <w:tl2br w:val="nil"/>
                    <w:tr2bl w:val="nil"/>
                  </w:tcBorders>
                  <w:shd w:val="clear" w:color="auto" w:fill="auto"/>
                  <w:vAlign w:val="center"/>
                </w:tcPr>
                <w:p w14:paraId="15013CFE">
                  <w:pPr>
                    <w:pStyle w:val="8"/>
                    <w:keepNext w:val="0"/>
                    <w:keepLines w:val="0"/>
                    <w:suppressLineNumbers w:val="0"/>
                    <w:bidi w:val="0"/>
                    <w:spacing w:before="0" w:beforeAutospacing="0" w:after="0" w:afterAutospacing="0"/>
                    <w:ind w:left="0" w:right="0"/>
                    <w:rPr>
                      <w:rFonts w:hint="default"/>
                    </w:rPr>
                  </w:pPr>
                  <w:r>
                    <w:rPr>
                      <w:rFonts w:hint="default"/>
                    </w:rPr>
                    <w:t>Y</w:t>
                  </w:r>
                </w:p>
              </w:tc>
              <w:tc>
                <w:tcPr>
                  <w:tcW w:w="370" w:type="pct"/>
                  <w:tcBorders>
                    <w:tl2br w:val="nil"/>
                    <w:tr2bl w:val="nil"/>
                  </w:tcBorders>
                  <w:shd w:val="clear" w:color="auto" w:fill="auto"/>
                  <w:vAlign w:val="center"/>
                </w:tcPr>
                <w:p w14:paraId="26CB68CB">
                  <w:pPr>
                    <w:pStyle w:val="8"/>
                    <w:keepNext w:val="0"/>
                    <w:keepLines w:val="0"/>
                    <w:suppressLineNumbers w:val="0"/>
                    <w:bidi w:val="0"/>
                    <w:spacing w:before="0" w:beforeAutospacing="0" w:after="0" w:afterAutospacing="0"/>
                    <w:ind w:left="0" w:right="0"/>
                    <w:rPr>
                      <w:rFonts w:hint="default"/>
                    </w:rPr>
                  </w:pPr>
                  <w:r>
                    <w:rPr>
                      <w:rFonts w:hint="default"/>
                    </w:rPr>
                    <w:t>Z</w:t>
                  </w:r>
                </w:p>
              </w:tc>
              <w:tc>
                <w:tcPr>
                  <w:tcW w:w="789" w:type="pct"/>
                  <w:vMerge w:val="continue"/>
                  <w:tcBorders>
                    <w:tl2br w:val="nil"/>
                    <w:tr2bl w:val="nil"/>
                  </w:tcBorders>
                  <w:shd w:val="clear" w:color="auto" w:fill="auto"/>
                  <w:vAlign w:val="center"/>
                </w:tcPr>
                <w:p w14:paraId="4CBDD1FD">
                  <w:pPr>
                    <w:pStyle w:val="8"/>
                    <w:keepNext w:val="0"/>
                    <w:keepLines w:val="0"/>
                    <w:suppressLineNumbers w:val="0"/>
                    <w:bidi w:val="0"/>
                    <w:spacing w:before="0" w:beforeAutospacing="0" w:after="0" w:afterAutospacing="0"/>
                    <w:ind w:left="0" w:right="0"/>
                    <w:rPr>
                      <w:rFonts w:hint="default"/>
                    </w:rPr>
                  </w:pPr>
                </w:p>
              </w:tc>
              <w:tc>
                <w:tcPr>
                  <w:tcW w:w="809" w:type="pct"/>
                  <w:vMerge w:val="continue"/>
                  <w:tcBorders>
                    <w:tl2br w:val="nil"/>
                    <w:tr2bl w:val="nil"/>
                  </w:tcBorders>
                  <w:shd w:val="clear" w:color="auto" w:fill="auto"/>
                  <w:vAlign w:val="center"/>
                </w:tcPr>
                <w:p w14:paraId="27730540">
                  <w:pPr>
                    <w:pStyle w:val="8"/>
                    <w:keepNext w:val="0"/>
                    <w:keepLines w:val="0"/>
                    <w:suppressLineNumbers w:val="0"/>
                    <w:bidi w:val="0"/>
                    <w:spacing w:before="0" w:beforeAutospacing="0" w:after="0" w:afterAutospacing="0"/>
                    <w:ind w:left="0" w:right="0"/>
                    <w:rPr>
                      <w:rFonts w:hint="default"/>
                    </w:rPr>
                  </w:pPr>
                </w:p>
              </w:tc>
              <w:tc>
                <w:tcPr>
                  <w:tcW w:w="855" w:type="pct"/>
                  <w:vMerge w:val="continue"/>
                  <w:tcBorders>
                    <w:tl2br w:val="nil"/>
                    <w:tr2bl w:val="nil"/>
                  </w:tcBorders>
                  <w:shd w:val="clear" w:color="auto" w:fill="auto"/>
                  <w:vAlign w:val="center"/>
                </w:tcPr>
                <w:p w14:paraId="00DEE54F">
                  <w:pPr>
                    <w:pStyle w:val="8"/>
                    <w:keepNext w:val="0"/>
                    <w:keepLines w:val="0"/>
                    <w:suppressLineNumbers w:val="0"/>
                    <w:bidi w:val="0"/>
                    <w:spacing w:before="0" w:beforeAutospacing="0" w:after="0" w:afterAutospacing="0"/>
                    <w:ind w:left="0" w:right="0"/>
                    <w:rPr>
                      <w:rFonts w:hint="default"/>
                    </w:rPr>
                  </w:pPr>
                </w:p>
              </w:tc>
              <w:tc>
                <w:tcPr>
                  <w:tcW w:w="558" w:type="pct"/>
                  <w:vMerge w:val="continue"/>
                  <w:tcBorders>
                    <w:tl2br w:val="nil"/>
                    <w:tr2bl w:val="nil"/>
                  </w:tcBorders>
                  <w:shd w:val="clear" w:color="auto" w:fill="auto"/>
                  <w:vAlign w:val="center"/>
                </w:tcPr>
                <w:p w14:paraId="3045C77D">
                  <w:pPr>
                    <w:pStyle w:val="8"/>
                    <w:keepNext w:val="0"/>
                    <w:keepLines w:val="0"/>
                    <w:suppressLineNumbers w:val="0"/>
                    <w:bidi w:val="0"/>
                    <w:spacing w:before="0" w:beforeAutospacing="0" w:after="0" w:afterAutospacing="0"/>
                    <w:ind w:left="0" w:right="0"/>
                    <w:rPr>
                      <w:rFonts w:hint="default"/>
                    </w:rPr>
                  </w:pPr>
                </w:p>
              </w:tc>
            </w:tr>
            <w:tr w14:paraId="79322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8" w:hRule="exact"/>
                <w:jc w:val="center"/>
              </w:trPr>
              <w:tc>
                <w:tcPr>
                  <w:tcW w:w="558" w:type="pct"/>
                  <w:vMerge w:val="restart"/>
                  <w:tcBorders>
                    <w:tl2br w:val="nil"/>
                    <w:tr2bl w:val="nil"/>
                  </w:tcBorders>
                  <w:shd w:val="clear" w:color="auto" w:fill="auto"/>
                  <w:vAlign w:val="center"/>
                </w:tcPr>
                <w:p w14:paraId="36FFC7EE">
                  <w:pPr>
                    <w:pStyle w:val="8"/>
                    <w:keepNext w:val="0"/>
                    <w:keepLines w:val="0"/>
                    <w:suppressLineNumbers w:val="0"/>
                    <w:bidi w:val="0"/>
                    <w:spacing w:before="0" w:beforeAutospacing="0" w:after="0" w:afterAutospacing="0"/>
                    <w:ind w:left="0" w:right="0"/>
                    <w:rPr>
                      <w:rFonts w:hint="default"/>
                    </w:rPr>
                  </w:pPr>
                  <w:r>
                    <w:rPr>
                      <w:rFonts w:hint="default"/>
                    </w:rPr>
                    <w:t>东侧</w:t>
                  </w:r>
                </w:p>
              </w:tc>
              <w:tc>
                <w:tcPr>
                  <w:tcW w:w="529" w:type="pct"/>
                  <w:tcBorders>
                    <w:tl2br w:val="nil"/>
                    <w:tr2bl w:val="nil"/>
                  </w:tcBorders>
                  <w:shd w:val="clear" w:color="auto" w:fill="auto"/>
                  <w:vAlign w:val="center"/>
                </w:tcPr>
                <w:p w14:paraId="005B905A">
                  <w:pPr>
                    <w:pStyle w:val="8"/>
                    <w:keepNext w:val="0"/>
                    <w:keepLines w:val="0"/>
                    <w:suppressLineNumbers w:val="0"/>
                    <w:bidi w:val="0"/>
                    <w:spacing w:before="0" w:beforeAutospacing="0" w:after="0" w:afterAutospacing="0"/>
                    <w:ind w:left="0" w:right="0"/>
                    <w:rPr>
                      <w:rFonts w:hint="default"/>
                    </w:rPr>
                  </w:pPr>
                  <w:r>
                    <w:rPr>
                      <w:rFonts w:hint="default"/>
                    </w:rPr>
                    <w:t>142.3</w:t>
                  </w:r>
                </w:p>
              </w:tc>
              <w:tc>
                <w:tcPr>
                  <w:tcW w:w="529" w:type="pct"/>
                  <w:tcBorders>
                    <w:tl2br w:val="nil"/>
                    <w:tr2bl w:val="nil"/>
                  </w:tcBorders>
                  <w:shd w:val="clear" w:color="auto" w:fill="auto"/>
                  <w:vAlign w:val="center"/>
                </w:tcPr>
                <w:p w14:paraId="2D6CE705">
                  <w:pPr>
                    <w:pStyle w:val="8"/>
                    <w:keepNext w:val="0"/>
                    <w:keepLines w:val="0"/>
                    <w:suppressLineNumbers w:val="0"/>
                    <w:bidi w:val="0"/>
                    <w:spacing w:before="0" w:beforeAutospacing="0" w:after="0" w:afterAutospacing="0"/>
                    <w:ind w:left="0" w:right="0"/>
                    <w:rPr>
                      <w:rFonts w:hint="default"/>
                    </w:rPr>
                  </w:pPr>
                  <w:r>
                    <w:rPr>
                      <w:rFonts w:hint="default"/>
                    </w:rPr>
                    <w:t>-67.2</w:t>
                  </w:r>
                </w:p>
              </w:tc>
              <w:tc>
                <w:tcPr>
                  <w:tcW w:w="370" w:type="pct"/>
                  <w:tcBorders>
                    <w:tl2br w:val="nil"/>
                    <w:tr2bl w:val="nil"/>
                  </w:tcBorders>
                  <w:shd w:val="clear" w:color="auto" w:fill="auto"/>
                  <w:vAlign w:val="center"/>
                </w:tcPr>
                <w:p w14:paraId="04AE40A4">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38A60520">
                  <w:pPr>
                    <w:pStyle w:val="8"/>
                    <w:keepNext w:val="0"/>
                    <w:keepLines w:val="0"/>
                    <w:suppressLineNumbers w:val="0"/>
                    <w:bidi w:val="0"/>
                    <w:spacing w:before="0" w:beforeAutospacing="0" w:after="0" w:afterAutospacing="0"/>
                    <w:ind w:left="0" w:right="0"/>
                    <w:rPr>
                      <w:rFonts w:hint="default"/>
                    </w:rPr>
                  </w:pPr>
                  <w:r>
                    <w:rPr>
                      <w:rFonts w:hint="default"/>
                    </w:rPr>
                    <w:t>昼间</w:t>
                  </w:r>
                </w:p>
              </w:tc>
              <w:tc>
                <w:tcPr>
                  <w:tcW w:w="809" w:type="pct"/>
                  <w:tcBorders>
                    <w:tl2br w:val="nil"/>
                    <w:tr2bl w:val="nil"/>
                  </w:tcBorders>
                  <w:shd w:val="clear" w:color="auto" w:fill="auto"/>
                  <w:vAlign w:val="center"/>
                </w:tcPr>
                <w:p w14:paraId="07A286A6">
                  <w:pPr>
                    <w:pStyle w:val="8"/>
                    <w:keepNext w:val="0"/>
                    <w:keepLines w:val="0"/>
                    <w:suppressLineNumbers w:val="0"/>
                    <w:bidi w:val="0"/>
                    <w:spacing w:before="0" w:beforeAutospacing="0" w:after="0" w:afterAutospacing="0"/>
                    <w:ind w:left="0" w:right="0"/>
                    <w:rPr>
                      <w:rFonts w:hint="default"/>
                    </w:rPr>
                  </w:pPr>
                  <w:r>
                    <w:rPr>
                      <w:rFonts w:hint="default"/>
                    </w:rPr>
                    <w:t>25</w:t>
                  </w:r>
                </w:p>
              </w:tc>
              <w:tc>
                <w:tcPr>
                  <w:tcW w:w="855" w:type="pct"/>
                  <w:tcBorders>
                    <w:tl2br w:val="nil"/>
                    <w:tr2bl w:val="nil"/>
                  </w:tcBorders>
                  <w:shd w:val="clear" w:color="auto" w:fill="auto"/>
                  <w:vAlign w:val="center"/>
                </w:tcPr>
                <w:p w14:paraId="30D1F30E">
                  <w:pPr>
                    <w:pStyle w:val="8"/>
                    <w:keepNext w:val="0"/>
                    <w:keepLines w:val="0"/>
                    <w:suppressLineNumbers w:val="0"/>
                    <w:bidi w:val="0"/>
                    <w:spacing w:before="0" w:beforeAutospacing="0" w:after="0" w:afterAutospacing="0"/>
                    <w:ind w:left="0" w:right="0"/>
                    <w:rPr>
                      <w:rFonts w:hint="default"/>
                    </w:rPr>
                  </w:pPr>
                  <w:r>
                    <w:rPr>
                      <w:rFonts w:hint="default"/>
                    </w:rPr>
                    <w:t>65</w:t>
                  </w:r>
                </w:p>
              </w:tc>
              <w:tc>
                <w:tcPr>
                  <w:tcW w:w="558" w:type="pct"/>
                  <w:tcBorders>
                    <w:tl2br w:val="nil"/>
                    <w:tr2bl w:val="nil"/>
                  </w:tcBorders>
                  <w:shd w:val="clear" w:color="auto" w:fill="auto"/>
                  <w:vAlign w:val="center"/>
                </w:tcPr>
                <w:p w14:paraId="3716849B">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21D84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558" w:type="pct"/>
                  <w:vMerge w:val="continue"/>
                  <w:tcBorders>
                    <w:tl2br w:val="nil"/>
                    <w:tr2bl w:val="nil"/>
                  </w:tcBorders>
                  <w:shd w:val="clear" w:color="auto" w:fill="auto"/>
                  <w:vAlign w:val="center"/>
                </w:tcPr>
                <w:p w14:paraId="65545919">
                  <w:pPr>
                    <w:pStyle w:val="8"/>
                    <w:keepNext w:val="0"/>
                    <w:keepLines w:val="0"/>
                    <w:suppressLineNumbers w:val="0"/>
                    <w:bidi w:val="0"/>
                    <w:spacing w:before="0" w:beforeAutospacing="0" w:after="0" w:afterAutospacing="0"/>
                    <w:ind w:left="0" w:right="0"/>
                    <w:rPr>
                      <w:rFonts w:hint="default"/>
                    </w:rPr>
                  </w:pPr>
                </w:p>
              </w:tc>
              <w:tc>
                <w:tcPr>
                  <w:tcW w:w="529" w:type="pct"/>
                  <w:tcBorders>
                    <w:tl2br w:val="nil"/>
                    <w:tr2bl w:val="nil"/>
                  </w:tcBorders>
                  <w:shd w:val="clear" w:color="auto" w:fill="auto"/>
                  <w:vAlign w:val="center"/>
                </w:tcPr>
                <w:p w14:paraId="3394EA5F">
                  <w:pPr>
                    <w:pStyle w:val="8"/>
                    <w:keepNext w:val="0"/>
                    <w:keepLines w:val="0"/>
                    <w:suppressLineNumbers w:val="0"/>
                    <w:bidi w:val="0"/>
                    <w:spacing w:before="0" w:beforeAutospacing="0" w:after="0" w:afterAutospacing="0"/>
                    <w:ind w:left="0" w:right="0"/>
                    <w:rPr>
                      <w:rFonts w:hint="default"/>
                    </w:rPr>
                  </w:pPr>
                  <w:r>
                    <w:rPr>
                      <w:rFonts w:hint="default"/>
                    </w:rPr>
                    <w:t>142.3</w:t>
                  </w:r>
                </w:p>
              </w:tc>
              <w:tc>
                <w:tcPr>
                  <w:tcW w:w="529" w:type="pct"/>
                  <w:tcBorders>
                    <w:tl2br w:val="nil"/>
                    <w:tr2bl w:val="nil"/>
                  </w:tcBorders>
                  <w:shd w:val="clear" w:color="auto" w:fill="auto"/>
                  <w:vAlign w:val="center"/>
                </w:tcPr>
                <w:p w14:paraId="453AA005">
                  <w:pPr>
                    <w:pStyle w:val="8"/>
                    <w:keepNext w:val="0"/>
                    <w:keepLines w:val="0"/>
                    <w:suppressLineNumbers w:val="0"/>
                    <w:bidi w:val="0"/>
                    <w:spacing w:before="0" w:beforeAutospacing="0" w:after="0" w:afterAutospacing="0"/>
                    <w:ind w:left="0" w:right="0"/>
                    <w:rPr>
                      <w:rFonts w:hint="default"/>
                    </w:rPr>
                  </w:pPr>
                  <w:r>
                    <w:rPr>
                      <w:rFonts w:hint="default"/>
                    </w:rPr>
                    <w:t>-67.2</w:t>
                  </w:r>
                </w:p>
              </w:tc>
              <w:tc>
                <w:tcPr>
                  <w:tcW w:w="370" w:type="pct"/>
                  <w:tcBorders>
                    <w:tl2br w:val="nil"/>
                    <w:tr2bl w:val="nil"/>
                  </w:tcBorders>
                  <w:shd w:val="clear" w:color="auto" w:fill="auto"/>
                  <w:vAlign w:val="center"/>
                </w:tcPr>
                <w:p w14:paraId="5E11BD4A">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5AF6E92E">
                  <w:pPr>
                    <w:pStyle w:val="8"/>
                    <w:keepNext w:val="0"/>
                    <w:keepLines w:val="0"/>
                    <w:suppressLineNumbers w:val="0"/>
                    <w:bidi w:val="0"/>
                    <w:spacing w:before="0" w:beforeAutospacing="0" w:after="0" w:afterAutospacing="0"/>
                    <w:ind w:left="0" w:right="0"/>
                    <w:rPr>
                      <w:rFonts w:hint="default"/>
                    </w:rPr>
                  </w:pPr>
                  <w:r>
                    <w:rPr>
                      <w:rFonts w:hint="default"/>
                    </w:rPr>
                    <w:t>夜间</w:t>
                  </w:r>
                </w:p>
              </w:tc>
              <w:tc>
                <w:tcPr>
                  <w:tcW w:w="809" w:type="pct"/>
                  <w:tcBorders>
                    <w:tl2br w:val="nil"/>
                    <w:tr2bl w:val="nil"/>
                  </w:tcBorders>
                  <w:shd w:val="clear" w:color="auto" w:fill="auto"/>
                  <w:vAlign w:val="center"/>
                </w:tcPr>
                <w:p w14:paraId="7289AB40">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25</w:t>
                  </w:r>
                </w:p>
              </w:tc>
              <w:tc>
                <w:tcPr>
                  <w:tcW w:w="855" w:type="pct"/>
                  <w:tcBorders>
                    <w:tl2br w:val="nil"/>
                    <w:tr2bl w:val="nil"/>
                  </w:tcBorders>
                  <w:shd w:val="clear" w:color="auto" w:fill="auto"/>
                  <w:vAlign w:val="center"/>
                </w:tcPr>
                <w:p w14:paraId="24978B23">
                  <w:pPr>
                    <w:pStyle w:val="8"/>
                    <w:keepNext w:val="0"/>
                    <w:keepLines w:val="0"/>
                    <w:suppressLineNumbers w:val="0"/>
                    <w:bidi w:val="0"/>
                    <w:spacing w:before="0" w:beforeAutospacing="0" w:after="0" w:afterAutospacing="0"/>
                    <w:ind w:left="0" w:right="0"/>
                    <w:rPr>
                      <w:rFonts w:hint="default"/>
                    </w:rPr>
                  </w:pPr>
                  <w:r>
                    <w:rPr>
                      <w:rFonts w:hint="default"/>
                    </w:rPr>
                    <w:t>55</w:t>
                  </w:r>
                </w:p>
              </w:tc>
              <w:tc>
                <w:tcPr>
                  <w:tcW w:w="558" w:type="pct"/>
                  <w:tcBorders>
                    <w:tl2br w:val="nil"/>
                    <w:tr2bl w:val="nil"/>
                  </w:tcBorders>
                  <w:shd w:val="clear" w:color="auto" w:fill="auto"/>
                  <w:vAlign w:val="center"/>
                </w:tcPr>
                <w:p w14:paraId="50F5C8B7">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1A52E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558" w:type="pct"/>
                  <w:vMerge w:val="restart"/>
                  <w:tcBorders>
                    <w:tl2br w:val="nil"/>
                    <w:tr2bl w:val="nil"/>
                  </w:tcBorders>
                  <w:shd w:val="clear" w:color="auto" w:fill="auto"/>
                  <w:vAlign w:val="center"/>
                </w:tcPr>
                <w:p w14:paraId="6149ECF8">
                  <w:pPr>
                    <w:pStyle w:val="8"/>
                    <w:keepNext w:val="0"/>
                    <w:keepLines w:val="0"/>
                    <w:suppressLineNumbers w:val="0"/>
                    <w:bidi w:val="0"/>
                    <w:spacing w:before="0" w:beforeAutospacing="0" w:after="0" w:afterAutospacing="0"/>
                    <w:ind w:left="0" w:right="0"/>
                    <w:rPr>
                      <w:rFonts w:hint="default"/>
                    </w:rPr>
                  </w:pPr>
                  <w:r>
                    <w:rPr>
                      <w:rFonts w:hint="default"/>
                    </w:rPr>
                    <w:t>南侧</w:t>
                  </w:r>
                </w:p>
              </w:tc>
              <w:tc>
                <w:tcPr>
                  <w:tcW w:w="529" w:type="pct"/>
                  <w:tcBorders>
                    <w:tl2br w:val="nil"/>
                    <w:tr2bl w:val="nil"/>
                  </w:tcBorders>
                  <w:shd w:val="clear" w:color="auto" w:fill="auto"/>
                  <w:vAlign w:val="center"/>
                </w:tcPr>
                <w:p w14:paraId="6F07FCF0">
                  <w:pPr>
                    <w:pStyle w:val="8"/>
                    <w:keepNext w:val="0"/>
                    <w:keepLines w:val="0"/>
                    <w:suppressLineNumbers w:val="0"/>
                    <w:bidi w:val="0"/>
                    <w:spacing w:before="0" w:beforeAutospacing="0" w:after="0" w:afterAutospacing="0"/>
                    <w:ind w:left="0" w:right="0"/>
                    <w:rPr>
                      <w:rFonts w:hint="default"/>
                    </w:rPr>
                  </w:pPr>
                  <w:r>
                    <w:rPr>
                      <w:rFonts w:hint="default"/>
                    </w:rPr>
                    <w:t>-21.1</w:t>
                  </w:r>
                </w:p>
              </w:tc>
              <w:tc>
                <w:tcPr>
                  <w:tcW w:w="529" w:type="pct"/>
                  <w:tcBorders>
                    <w:tl2br w:val="nil"/>
                    <w:tr2bl w:val="nil"/>
                  </w:tcBorders>
                  <w:shd w:val="clear" w:color="auto" w:fill="auto"/>
                  <w:vAlign w:val="center"/>
                </w:tcPr>
                <w:p w14:paraId="634461A2">
                  <w:pPr>
                    <w:pStyle w:val="8"/>
                    <w:keepNext w:val="0"/>
                    <w:keepLines w:val="0"/>
                    <w:suppressLineNumbers w:val="0"/>
                    <w:bidi w:val="0"/>
                    <w:spacing w:before="0" w:beforeAutospacing="0" w:after="0" w:afterAutospacing="0"/>
                    <w:ind w:left="0" w:right="0"/>
                    <w:rPr>
                      <w:rFonts w:hint="default"/>
                    </w:rPr>
                  </w:pPr>
                  <w:r>
                    <w:rPr>
                      <w:rFonts w:hint="default"/>
                    </w:rPr>
                    <w:t>-47.5</w:t>
                  </w:r>
                </w:p>
              </w:tc>
              <w:tc>
                <w:tcPr>
                  <w:tcW w:w="370" w:type="pct"/>
                  <w:tcBorders>
                    <w:tl2br w:val="nil"/>
                    <w:tr2bl w:val="nil"/>
                  </w:tcBorders>
                  <w:shd w:val="clear" w:color="auto" w:fill="auto"/>
                  <w:vAlign w:val="center"/>
                </w:tcPr>
                <w:p w14:paraId="7BA35539">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38098CC1">
                  <w:pPr>
                    <w:pStyle w:val="8"/>
                    <w:keepNext w:val="0"/>
                    <w:keepLines w:val="0"/>
                    <w:suppressLineNumbers w:val="0"/>
                    <w:bidi w:val="0"/>
                    <w:spacing w:before="0" w:beforeAutospacing="0" w:after="0" w:afterAutospacing="0"/>
                    <w:ind w:left="0" w:right="0"/>
                    <w:rPr>
                      <w:rFonts w:hint="default"/>
                    </w:rPr>
                  </w:pPr>
                  <w:r>
                    <w:rPr>
                      <w:rFonts w:hint="default"/>
                    </w:rPr>
                    <w:t>昼间</w:t>
                  </w:r>
                </w:p>
              </w:tc>
              <w:tc>
                <w:tcPr>
                  <w:tcW w:w="809" w:type="pct"/>
                  <w:tcBorders>
                    <w:tl2br w:val="nil"/>
                    <w:tr2bl w:val="nil"/>
                  </w:tcBorders>
                  <w:shd w:val="clear" w:color="auto" w:fill="auto"/>
                  <w:vAlign w:val="center"/>
                </w:tcPr>
                <w:p w14:paraId="39458548">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42</w:t>
                  </w:r>
                </w:p>
              </w:tc>
              <w:tc>
                <w:tcPr>
                  <w:tcW w:w="855" w:type="pct"/>
                  <w:tcBorders>
                    <w:tl2br w:val="nil"/>
                    <w:tr2bl w:val="nil"/>
                  </w:tcBorders>
                  <w:shd w:val="clear" w:color="auto" w:fill="auto"/>
                  <w:vAlign w:val="center"/>
                </w:tcPr>
                <w:p w14:paraId="75B23E87">
                  <w:pPr>
                    <w:pStyle w:val="8"/>
                    <w:keepNext w:val="0"/>
                    <w:keepLines w:val="0"/>
                    <w:suppressLineNumbers w:val="0"/>
                    <w:bidi w:val="0"/>
                    <w:spacing w:before="0" w:beforeAutospacing="0" w:after="0" w:afterAutospacing="0"/>
                    <w:ind w:left="0" w:right="0"/>
                    <w:rPr>
                      <w:rFonts w:hint="default"/>
                    </w:rPr>
                  </w:pPr>
                  <w:r>
                    <w:rPr>
                      <w:rFonts w:hint="default"/>
                    </w:rPr>
                    <w:t>65</w:t>
                  </w:r>
                </w:p>
              </w:tc>
              <w:tc>
                <w:tcPr>
                  <w:tcW w:w="558" w:type="pct"/>
                  <w:tcBorders>
                    <w:tl2br w:val="nil"/>
                    <w:tr2bl w:val="nil"/>
                  </w:tcBorders>
                  <w:shd w:val="clear" w:color="auto" w:fill="auto"/>
                  <w:vAlign w:val="center"/>
                </w:tcPr>
                <w:p w14:paraId="160C6BCA">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65654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558" w:type="pct"/>
                  <w:vMerge w:val="continue"/>
                  <w:tcBorders>
                    <w:tl2br w:val="nil"/>
                    <w:tr2bl w:val="nil"/>
                  </w:tcBorders>
                  <w:shd w:val="clear" w:color="auto" w:fill="auto"/>
                  <w:vAlign w:val="center"/>
                </w:tcPr>
                <w:p w14:paraId="7508C18E">
                  <w:pPr>
                    <w:pStyle w:val="8"/>
                    <w:keepNext w:val="0"/>
                    <w:keepLines w:val="0"/>
                    <w:suppressLineNumbers w:val="0"/>
                    <w:bidi w:val="0"/>
                    <w:spacing w:before="0" w:beforeAutospacing="0" w:after="0" w:afterAutospacing="0"/>
                    <w:ind w:left="0" w:right="0"/>
                    <w:rPr>
                      <w:rFonts w:hint="default"/>
                    </w:rPr>
                  </w:pPr>
                </w:p>
              </w:tc>
              <w:tc>
                <w:tcPr>
                  <w:tcW w:w="529" w:type="pct"/>
                  <w:tcBorders>
                    <w:tl2br w:val="nil"/>
                    <w:tr2bl w:val="nil"/>
                  </w:tcBorders>
                  <w:shd w:val="clear" w:color="auto" w:fill="auto"/>
                  <w:vAlign w:val="center"/>
                </w:tcPr>
                <w:p w14:paraId="79821D6C">
                  <w:pPr>
                    <w:pStyle w:val="8"/>
                    <w:keepNext w:val="0"/>
                    <w:keepLines w:val="0"/>
                    <w:suppressLineNumbers w:val="0"/>
                    <w:bidi w:val="0"/>
                    <w:spacing w:before="0" w:beforeAutospacing="0" w:after="0" w:afterAutospacing="0"/>
                    <w:ind w:left="0" w:right="0"/>
                    <w:rPr>
                      <w:rFonts w:hint="default"/>
                    </w:rPr>
                  </w:pPr>
                  <w:r>
                    <w:rPr>
                      <w:rFonts w:hint="default"/>
                    </w:rPr>
                    <w:t>-21.1</w:t>
                  </w:r>
                </w:p>
              </w:tc>
              <w:tc>
                <w:tcPr>
                  <w:tcW w:w="529" w:type="pct"/>
                  <w:tcBorders>
                    <w:tl2br w:val="nil"/>
                    <w:tr2bl w:val="nil"/>
                  </w:tcBorders>
                  <w:shd w:val="clear" w:color="auto" w:fill="auto"/>
                  <w:vAlign w:val="center"/>
                </w:tcPr>
                <w:p w14:paraId="5D44AD94">
                  <w:pPr>
                    <w:pStyle w:val="8"/>
                    <w:keepNext w:val="0"/>
                    <w:keepLines w:val="0"/>
                    <w:suppressLineNumbers w:val="0"/>
                    <w:bidi w:val="0"/>
                    <w:spacing w:before="0" w:beforeAutospacing="0" w:after="0" w:afterAutospacing="0"/>
                    <w:ind w:left="0" w:right="0"/>
                    <w:rPr>
                      <w:rFonts w:hint="default"/>
                    </w:rPr>
                  </w:pPr>
                  <w:r>
                    <w:rPr>
                      <w:rFonts w:hint="default"/>
                    </w:rPr>
                    <w:t>-47.5</w:t>
                  </w:r>
                </w:p>
              </w:tc>
              <w:tc>
                <w:tcPr>
                  <w:tcW w:w="370" w:type="pct"/>
                  <w:tcBorders>
                    <w:tl2br w:val="nil"/>
                    <w:tr2bl w:val="nil"/>
                  </w:tcBorders>
                  <w:shd w:val="clear" w:color="auto" w:fill="auto"/>
                  <w:vAlign w:val="center"/>
                </w:tcPr>
                <w:p w14:paraId="734845CF">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75353AB8">
                  <w:pPr>
                    <w:pStyle w:val="8"/>
                    <w:keepNext w:val="0"/>
                    <w:keepLines w:val="0"/>
                    <w:suppressLineNumbers w:val="0"/>
                    <w:bidi w:val="0"/>
                    <w:spacing w:before="0" w:beforeAutospacing="0" w:after="0" w:afterAutospacing="0"/>
                    <w:ind w:left="0" w:right="0"/>
                    <w:rPr>
                      <w:rFonts w:hint="default"/>
                    </w:rPr>
                  </w:pPr>
                  <w:r>
                    <w:rPr>
                      <w:rFonts w:hint="default"/>
                    </w:rPr>
                    <w:t>夜间</w:t>
                  </w:r>
                </w:p>
              </w:tc>
              <w:tc>
                <w:tcPr>
                  <w:tcW w:w="809" w:type="pct"/>
                  <w:tcBorders>
                    <w:tl2br w:val="nil"/>
                    <w:tr2bl w:val="nil"/>
                  </w:tcBorders>
                  <w:shd w:val="clear" w:color="auto" w:fill="auto"/>
                  <w:vAlign w:val="center"/>
                </w:tcPr>
                <w:p w14:paraId="7B0DD234">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42</w:t>
                  </w:r>
                </w:p>
              </w:tc>
              <w:tc>
                <w:tcPr>
                  <w:tcW w:w="855" w:type="pct"/>
                  <w:tcBorders>
                    <w:tl2br w:val="nil"/>
                    <w:tr2bl w:val="nil"/>
                  </w:tcBorders>
                  <w:shd w:val="clear" w:color="auto" w:fill="auto"/>
                  <w:vAlign w:val="center"/>
                </w:tcPr>
                <w:p w14:paraId="5DB4E229">
                  <w:pPr>
                    <w:pStyle w:val="8"/>
                    <w:keepNext w:val="0"/>
                    <w:keepLines w:val="0"/>
                    <w:suppressLineNumbers w:val="0"/>
                    <w:bidi w:val="0"/>
                    <w:spacing w:before="0" w:beforeAutospacing="0" w:after="0" w:afterAutospacing="0"/>
                    <w:ind w:left="0" w:right="0"/>
                    <w:rPr>
                      <w:rFonts w:hint="default"/>
                    </w:rPr>
                  </w:pPr>
                  <w:r>
                    <w:rPr>
                      <w:rFonts w:hint="default"/>
                    </w:rPr>
                    <w:t>55</w:t>
                  </w:r>
                </w:p>
              </w:tc>
              <w:tc>
                <w:tcPr>
                  <w:tcW w:w="558" w:type="pct"/>
                  <w:tcBorders>
                    <w:tl2br w:val="nil"/>
                    <w:tr2bl w:val="nil"/>
                  </w:tcBorders>
                  <w:shd w:val="clear" w:color="auto" w:fill="auto"/>
                  <w:vAlign w:val="center"/>
                </w:tcPr>
                <w:p w14:paraId="5111D700">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55830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558" w:type="pct"/>
                  <w:vMerge w:val="restart"/>
                  <w:tcBorders>
                    <w:tl2br w:val="nil"/>
                    <w:tr2bl w:val="nil"/>
                  </w:tcBorders>
                  <w:shd w:val="clear" w:color="auto" w:fill="auto"/>
                  <w:vAlign w:val="center"/>
                </w:tcPr>
                <w:p w14:paraId="218FDD05">
                  <w:pPr>
                    <w:pStyle w:val="8"/>
                    <w:keepNext w:val="0"/>
                    <w:keepLines w:val="0"/>
                    <w:suppressLineNumbers w:val="0"/>
                    <w:bidi w:val="0"/>
                    <w:spacing w:before="0" w:beforeAutospacing="0" w:after="0" w:afterAutospacing="0"/>
                    <w:ind w:left="0" w:right="0"/>
                    <w:rPr>
                      <w:rFonts w:hint="default"/>
                    </w:rPr>
                  </w:pPr>
                  <w:r>
                    <w:rPr>
                      <w:rFonts w:hint="default"/>
                    </w:rPr>
                    <w:t>西侧</w:t>
                  </w:r>
                </w:p>
              </w:tc>
              <w:tc>
                <w:tcPr>
                  <w:tcW w:w="529" w:type="pct"/>
                  <w:tcBorders>
                    <w:tl2br w:val="nil"/>
                    <w:tr2bl w:val="nil"/>
                  </w:tcBorders>
                  <w:shd w:val="clear" w:color="auto" w:fill="auto"/>
                  <w:vAlign w:val="center"/>
                </w:tcPr>
                <w:p w14:paraId="634928F7">
                  <w:pPr>
                    <w:pStyle w:val="8"/>
                    <w:keepNext w:val="0"/>
                    <w:keepLines w:val="0"/>
                    <w:suppressLineNumbers w:val="0"/>
                    <w:bidi w:val="0"/>
                    <w:spacing w:before="0" w:beforeAutospacing="0" w:after="0" w:afterAutospacing="0"/>
                    <w:ind w:left="0" w:right="0"/>
                    <w:rPr>
                      <w:rFonts w:hint="default"/>
                    </w:rPr>
                  </w:pPr>
                  <w:r>
                    <w:rPr>
                      <w:rFonts w:hint="default"/>
                    </w:rPr>
                    <w:t>-89.9</w:t>
                  </w:r>
                </w:p>
              </w:tc>
              <w:tc>
                <w:tcPr>
                  <w:tcW w:w="529" w:type="pct"/>
                  <w:tcBorders>
                    <w:tl2br w:val="nil"/>
                    <w:tr2bl w:val="nil"/>
                  </w:tcBorders>
                  <w:shd w:val="clear" w:color="auto" w:fill="auto"/>
                  <w:vAlign w:val="center"/>
                </w:tcPr>
                <w:p w14:paraId="11CF7261">
                  <w:pPr>
                    <w:pStyle w:val="8"/>
                    <w:keepNext w:val="0"/>
                    <w:keepLines w:val="0"/>
                    <w:suppressLineNumbers w:val="0"/>
                    <w:bidi w:val="0"/>
                    <w:spacing w:before="0" w:beforeAutospacing="0" w:after="0" w:afterAutospacing="0"/>
                    <w:ind w:left="0" w:right="0"/>
                    <w:rPr>
                      <w:rFonts w:hint="default"/>
                    </w:rPr>
                  </w:pPr>
                  <w:r>
                    <w:rPr>
                      <w:rFonts w:hint="default"/>
                    </w:rPr>
                    <w:t>121.9</w:t>
                  </w:r>
                </w:p>
              </w:tc>
              <w:tc>
                <w:tcPr>
                  <w:tcW w:w="370" w:type="pct"/>
                  <w:tcBorders>
                    <w:tl2br w:val="nil"/>
                    <w:tr2bl w:val="nil"/>
                  </w:tcBorders>
                  <w:shd w:val="clear" w:color="auto" w:fill="auto"/>
                  <w:vAlign w:val="center"/>
                </w:tcPr>
                <w:p w14:paraId="5F99D409">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07D29FB9">
                  <w:pPr>
                    <w:pStyle w:val="8"/>
                    <w:keepNext w:val="0"/>
                    <w:keepLines w:val="0"/>
                    <w:suppressLineNumbers w:val="0"/>
                    <w:bidi w:val="0"/>
                    <w:spacing w:before="0" w:beforeAutospacing="0" w:after="0" w:afterAutospacing="0"/>
                    <w:ind w:left="0" w:right="0"/>
                    <w:rPr>
                      <w:rFonts w:hint="default"/>
                    </w:rPr>
                  </w:pPr>
                  <w:r>
                    <w:rPr>
                      <w:rFonts w:hint="default"/>
                    </w:rPr>
                    <w:t>昼间</w:t>
                  </w:r>
                </w:p>
              </w:tc>
              <w:tc>
                <w:tcPr>
                  <w:tcW w:w="809" w:type="pct"/>
                  <w:tcBorders>
                    <w:tl2br w:val="nil"/>
                    <w:tr2bl w:val="nil"/>
                  </w:tcBorders>
                  <w:shd w:val="clear" w:color="auto" w:fill="auto"/>
                  <w:vAlign w:val="center"/>
                </w:tcPr>
                <w:p w14:paraId="372D0FBB">
                  <w:pPr>
                    <w:pStyle w:val="8"/>
                    <w:keepNext w:val="0"/>
                    <w:keepLines w:val="0"/>
                    <w:suppressLineNumbers w:val="0"/>
                    <w:bidi w:val="0"/>
                    <w:spacing w:before="0" w:beforeAutospacing="0" w:after="0" w:afterAutospacing="0"/>
                    <w:ind w:left="0" w:right="0"/>
                    <w:rPr>
                      <w:rFonts w:hint="eastAsia" w:eastAsia="宋体"/>
                      <w:lang w:eastAsia="zh-CN"/>
                    </w:rPr>
                  </w:pPr>
                  <w:r>
                    <w:rPr>
                      <w:rFonts w:hint="default"/>
                    </w:rPr>
                    <w:t>2</w:t>
                  </w:r>
                  <w:r>
                    <w:rPr>
                      <w:rFonts w:hint="eastAsia"/>
                      <w:lang w:val="en-US" w:eastAsia="zh-CN"/>
                    </w:rPr>
                    <w:t>1</w:t>
                  </w:r>
                </w:p>
              </w:tc>
              <w:tc>
                <w:tcPr>
                  <w:tcW w:w="855" w:type="pct"/>
                  <w:tcBorders>
                    <w:tl2br w:val="nil"/>
                    <w:tr2bl w:val="nil"/>
                  </w:tcBorders>
                  <w:shd w:val="clear" w:color="auto" w:fill="auto"/>
                  <w:vAlign w:val="center"/>
                </w:tcPr>
                <w:p w14:paraId="6B07E8D9">
                  <w:pPr>
                    <w:pStyle w:val="8"/>
                    <w:keepNext w:val="0"/>
                    <w:keepLines w:val="0"/>
                    <w:suppressLineNumbers w:val="0"/>
                    <w:bidi w:val="0"/>
                    <w:spacing w:before="0" w:beforeAutospacing="0" w:after="0" w:afterAutospacing="0"/>
                    <w:ind w:left="0" w:right="0"/>
                    <w:rPr>
                      <w:rFonts w:hint="default"/>
                    </w:rPr>
                  </w:pPr>
                  <w:r>
                    <w:rPr>
                      <w:rFonts w:hint="default"/>
                    </w:rPr>
                    <w:t>65</w:t>
                  </w:r>
                </w:p>
              </w:tc>
              <w:tc>
                <w:tcPr>
                  <w:tcW w:w="558" w:type="pct"/>
                  <w:tcBorders>
                    <w:tl2br w:val="nil"/>
                    <w:tr2bl w:val="nil"/>
                  </w:tcBorders>
                  <w:shd w:val="clear" w:color="auto" w:fill="auto"/>
                  <w:vAlign w:val="center"/>
                </w:tcPr>
                <w:p w14:paraId="0150A139">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3219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558" w:type="pct"/>
                  <w:vMerge w:val="continue"/>
                  <w:tcBorders>
                    <w:tl2br w:val="nil"/>
                    <w:tr2bl w:val="nil"/>
                  </w:tcBorders>
                  <w:shd w:val="clear" w:color="auto" w:fill="auto"/>
                  <w:vAlign w:val="center"/>
                </w:tcPr>
                <w:p w14:paraId="4E911BD7">
                  <w:pPr>
                    <w:pStyle w:val="8"/>
                    <w:keepNext w:val="0"/>
                    <w:keepLines w:val="0"/>
                    <w:suppressLineNumbers w:val="0"/>
                    <w:bidi w:val="0"/>
                    <w:spacing w:before="0" w:beforeAutospacing="0" w:after="0" w:afterAutospacing="0"/>
                    <w:ind w:left="0" w:right="0"/>
                    <w:rPr>
                      <w:rFonts w:hint="default"/>
                    </w:rPr>
                  </w:pPr>
                </w:p>
              </w:tc>
              <w:tc>
                <w:tcPr>
                  <w:tcW w:w="529" w:type="pct"/>
                  <w:tcBorders>
                    <w:tl2br w:val="nil"/>
                    <w:tr2bl w:val="nil"/>
                  </w:tcBorders>
                  <w:shd w:val="clear" w:color="auto" w:fill="auto"/>
                  <w:vAlign w:val="center"/>
                </w:tcPr>
                <w:p w14:paraId="5B2A6BA6">
                  <w:pPr>
                    <w:pStyle w:val="8"/>
                    <w:keepNext w:val="0"/>
                    <w:keepLines w:val="0"/>
                    <w:suppressLineNumbers w:val="0"/>
                    <w:bidi w:val="0"/>
                    <w:spacing w:before="0" w:beforeAutospacing="0" w:after="0" w:afterAutospacing="0"/>
                    <w:ind w:left="0" w:right="0"/>
                    <w:rPr>
                      <w:rFonts w:hint="default"/>
                    </w:rPr>
                  </w:pPr>
                  <w:r>
                    <w:rPr>
                      <w:rFonts w:hint="default"/>
                    </w:rPr>
                    <w:t>-89.9</w:t>
                  </w:r>
                </w:p>
              </w:tc>
              <w:tc>
                <w:tcPr>
                  <w:tcW w:w="529" w:type="pct"/>
                  <w:tcBorders>
                    <w:tl2br w:val="nil"/>
                    <w:tr2bl w:val="nil"/>
                  </w:tcBorders>
                  <w:shd w:val="clear" w:color="auto" w:fill="auto"/>
                  <w:vAlign w:val="center"/>
                </w:tcPr>
                <w:p w14:paraId="30AA1949">
                  <w:pPr>
                    <w:pStyle w:val="8"/>
                    <w:keepNext w:val="0"/>
                    <w:keepLines w:val="0"/>
                    <w:suppressLineNumbers w:val="0"/>
                    <w:bidi w:val="0"/>
                    <w:spacing w:before="0" w:beforeAutospacing="0" w:after="0" w:afterAutospacing="0"/>
                    <w:ind w:left="0" w:right="0"/>
                    <w:rPr>
                      <w:rFonts w:hint="default"/>
                    </w:rPr>
                  </w:pPr>
                  <w:r>
                    <w:rPr>
                      <w:rFonts w:hint="default"/>
                    </w:rPr>
                    <w:t>121.9</w:t>
                  </w:r>
                </w:p>
              </w:tc>
              <w:tc>
                <w:tcPr>
                  <w:tcW w:w="370" w:type="pct"/>
                  <w:tcBorders>
                    <w:tl2br w:val="nil"/>
                    <w:tr2bl w:val="nil"/>
                  </w:tcBorders>
                  <w:shd w:val="clear" w:color="auto" w:fill="auto"/>
                  <w:vAlign w:val="center"/>
                </w:tcPr>
                <w:p w14:paraId="539CBA37">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27CA4DF7">
                  <w:pPr>
                    <w:pStyle w:val="8"/>
                    <w:keepNext w:val="0"/>
                    <w:keepLines w:val="0"/>
                    <w:suppressLineNumbers w:val="0"/>
                    <w:bidi w:val="0"/>
                    <w:spacing w:before="0" w:beforeAutospacing="0" w:after="0" w:afterAutospacing="0"/>
                    <w:ind w:left="0" w:right="0"/>
                    <w:rPr>
                      <w:rFonts w:hint="default"/>
                    </w:rPr>
                  </w:pPr>
                  <w:r>
                    <w:rPr>
                      <w:rFonts w:hint="default"/>
                    </w:rPr>
                    <w:t>夜间</w:t>
                  </w:r>
                </w:p>
              </w:tc>
              <w:tc>
                <w:tcPr>
                  <w:tcW w:w="809" w:type="pct"/>
                  <w:tcBorders>
                    <w:tl2br w:val="nil"/>
                    <w:tr2bl w:val="nil"/>
                  </w:tcBorders>
                  <w:shd w:val="clear" w:color="auto" w:fill="auto"/>
                  <w:vAlign w:val="center"/>
                </w:tcPr>
                <w:p w14:paraId="7D0BD82E">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21</w:t>
                  </w:r>
                </w:p>
              </w:tc>
              <w:tc>
                <w:tcPr>
                  <w:tcW w:w="855" w:type="pct"/>
                  <w:tcBorders>
                    <w:tl2br w:val="nil"/>
                    <w:tr2bl w:val="nil"/>
                  </w:tcBorders>
                  <w:shd w:val="clear" w:color="auto" w:fill="auto"/>
                  <w:vAlign w:val="center"/>
                </w:tcPr>
                <w:p w14:paraId="38715B05">
                  <w:pPr>
                    <w:pStyle w:val="8"/>
                    <w:keepNext w:val="0"/>
                    <w:keepLines w:val="0"/>
                    <w:suppressLineNumbers w:val="0"/>
                    <w:bidi w:val="0"/>
                    <w:spacing w:before="0" w:beforeAutospacing="0" w:after="0" w:afterAutospacing="0"/>
                    <w:ind w:left="0" w:right="0"/>
                    <w:rPr>
                      <w:rFonts w:hint="default"/>
                    </w:rPr>
                  </w:pPr>
                  <w:r>
                    <w:rPr>
                      <w:rFonts w:hint="default"/>
                    </w:rPr>
                    <w:t>55</w:t>
                  </w:r>
                </w:p>
              </w:tc>
              <w:tc>
                <w:tcPr>
                  <w:tcW w:w="558" w:type="pct"/>
                  <w:tcBorders>
                    <w:tl2br w:val="nil"/>
                    <w:tr2bl w:val="nil"/>
                  </w:tcBorders>
                  <w:shd w:val="clear" w:color="auto" w:fill="auto"/>
                  <w:vAlign w:val="center"/>
                </w:tcPr>
                <w:p w14:paraId="0863D35F">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2D353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558" w:type="pct"/>
                  <w:vMerge w:val="restart"/>
                  <w:tcBorders>
                    <w:tl2br w:val="nil"/>
                    <w:tr2bl w:val="nil"/>
                  </w:tcBorders>
                  <w:shd w:val="clear" w:color="auto" w:fill="auto"/>
                  <w:vAlign w:val="center"/>
                </w:tcPr>
                <w:p w14:paraId="2B183B76">
                  <w:pPr>
                    <w:pStyle w:val="8"/>
                    <w:keepNext w:val="0"/>
                    <w:keepLines w:val="0"/>
                    <w:suppressLineNumbers w:val="0"/>
                    <w:bidi w:val="0"/>
                    <w:spacing w:before="0" w:beforeAutospacing="0" w:after="0" w:afterAutospacing="0"/>
                    <w:ind w:left="0" w:right="0"/>
                    <w:rPr>
                      <w:rFonts w:hint="default"/>
                    </w:rPr>
                  </w:pPr>
                  <w:r>
                    <w:rPr>
                      <w:rFonts w:hint="default"/>
                    </w:rPr>
                    <w:t>北侧</w:t>
                  </w:r>
                </w:p>
              </w:tc>
              <w:tc>
                <w:tcPr>
                  <w:tcW w:w="529" w:type="pct"/>
                  <w:tcBorders>
                    <w:tl2br w:val="nil"/>
                    <w:tr2bl w:val="nil"/>
                  </w:tcBorders>
                  <w:shd w:val="clear" w:color="auto" w:fill="auto"/>
                  <w:vAlign w:val="center"/>
                </w:tcPr>
                <w:p w14:paraId="60FC3B6A">
                  <w:pPr>
                    <w:pStyle w:val="8"/>
                    <w:keepNext w:val="0"/>
                    <w:keepLines w:val="0"/>
                    <w:suppressLineNumbers w:val="0"/>
                    <w:bidi w:val="0"/>
                    <w:spacing w:before="0" w:beforeAutospacing="0" w:after="0" w:afterAutospacing="0"/>
                    <w:ind w:left="0" w:right="0"/>
                    <w:rPr>
                      <w:rFonts w:hint="default"/>
                    </w:rPr>
                  </w:pPr>
                  <w:r>
                    <w:rPr>
                      <w:rFonts w:hint="default"/>
                    </w:rPr>
                    <w:t>0.4</w:t>
                  </w:r>
                </w:p>
              </w:tc>
              <w:tc>
                <w:tcPr>
                  <w:tcW w:w="529" w:type="pct"/>
                  <w:tcBorders>
                    <w:tl2br w:val="nil"/>
                    <w:tr2bl w:val="nil"/>
                  </w:tcBorders>
                  <w:shd w:val="clear" w:color="auto" w:fill="auto"/>
                  <w:vAlign w:val="center"/>
                </w:tcPr>
                <w:p w14:paraId="1BEED251">
                  <w:pPr>
                    <w:pStyle w:val="8"/>
                    <w:keepNext w:val="0"/>
                    <w:keepLines w:val="0"/>
                    <w:suppressLineNumbers w:val="0"/>
                    <w:bidi w:val="0"/>
                    <w:spacing w:before="0" w:beforeAutospacing="0" w:after="0" w:afterAutospacing="0"/>
                    <w:ind w:left="0" w:right="0"/>
                    <w:rPr>
                      <w:rFonts w:hint="default"/>
                    </w:rPr>
                  </w:pPr>
                  <w:r>
                    <w:rPr>
                      <w:rFonts w:hint="default"/>
                    </w:rPr>
                    <w:t>65.6</w:t>
                  </w:r>
                </w:p>
              </w:tc>
              <w:tc>
                <w:tcPr>
                  <w:tcW w:w="370" w:type="pct"/>
                  <w:tcBorders>
                    <w:tl2br w:val="nil"/>
                    <w:tr2bl w:val="nil"/>
                  </w:tcBorders>
                  <w:shd w:val="clear" w:color="auto" w:fill="auto"/>
                  <w:vAlign w:val="center"/>
                </w:tcPr>
                <w:p w14:paraId="0A492802">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3AEACD60">
                  <w:pPr>
                    <w:pStyle w:val="8"/>
                    <w:keepNext w:val="0"/>
                    <w:keepLines w:val="0"/>
                    <w:suppressLineNumbers w:val="0"/>
                    <w:bidi w:val="0"/>
                    <w:spacing w:before="0" w:beforeAutospacing="0" w:after="0" w:afterAutospacing="0"/>
                    <w:ind w:left="0" w:right="0"/>
                    <w:rPr>
                      <w:rFonts w:hint="default"/>
                    </w:rPr>
                  </w:pPr>
                  <w:r>
                    <w:rPr>
                      <w:rFonts w:hint="default"/>
                    </w:rPr>
                    <w:t>昼间</w:t>
                  </w:r>
                </w:p>
              </w:tc>
              <w:tc>
                <w:tcPr>
                  <w:tcW w:w="809" w:type="pct"/>
                  <w:tcBorders>
                    <w:tl2br w:val="nil"/>
                    <w:tr2bl w:val="nil"/>
                  </w:tcBorders>
                  <w:shd w:val="clear" w:color="auto" w:fill="auto"/>
                  <w:vAlign w:val="center"/>
                </w:tcPr>
                <w:p w14:paraId="2414D6E5">
                  <w:pPr>
                    <w:pStyle w:val="8"/>
                    <w:keepNext w:val="0"/>
                    <w:keepLines w:val="0"/>
                    <w:suppressLineNumbers w:val="0"/>
                    <w:bidi w:val="0"/>
                    <w:spacing w:before="0" w:beforeAutospacing="0" w:after="0" w:afterAutospacing="0"/>
                    <w:ind w:left="0" w:right="0"/>
                    <w:rPr>
                      <w:rFonts w:hint="default"/>
                    </w:rPr>
                  </w:pPr>
                  <w:r>
                    <w:rPr>
                      <w:rFonts w:hint="default"/>
                    </w:rPr>
                    <w:t>53</w:t>
                  </w:r>
                </w:p>
              </w:tc>
              <w:tc>
                <w:tcPr>
                  <w:tcW w:w="855" w:type="pct"/>
                  <w:tcBorders>
                    <w:tl2br w:val="nil"/>
                    <w:tr2bl w:val="nil"/>
                  </w:tcBorders>
                  <w:shd w:val="clear" w:color="auto" w:fill="auto"/>
                  <w:vAlign w:val="center"/>
                </w:tcPr>
                <w:p w14:paraId="10AC0698">
                  <w:pPr>
                    <w:pStyle w:val="8"/>
                    <w:keepNext w:val="0"/>
                    <w:keepLines w:val="0"/>
                    <w:suppressLineNumbers w:val="0"/>
                    <w:bidi w:val="0"/>
                    <w:spacing w:before="0" w:beforeAutospacing="0" w:after="0" w:afterAutospacing="0"/>
                    <w:ind w:left="0" w:right="0"/>
                    <w:rPr>
                      <w:rFonts w:hint="default"/>
                    </w:rPr>
                  </w:pPr>
                  <w:r>
                    <w:rPr>
                      <w:rFonts w:hint="default"/>
                    </w:rPr>
                    <w:t>65</w:t>
                  </w:r>
                </w:p>
              </w:tc>
              <w:tc>
                <w:tcPr>
                  <w:tcW w:w="558" w:type="pct"/>
                  <w:tcBorders>
                    <w:tl2br w:val="nil"/>
                    <w:tr2bl w:val="nil"/>
                  </w:tcBorders>
                  <w:shd w:val="clear" w:color="auto" w:fill="auto"/>
                  <w:vAlign w:val="center"/>
                </w:tcPr>
                <w:p w14:paraId="4FFF89F7">
                  <w:pPr>
                    <w:pStyle w:val="8"/>
                    <w:keepNext w:val="0"/>
                    <w:keepLines w:val="0"/>
                    <w:suppressLineNumbers w:val="0"/>
                    <w:bidi w:val="0"/>
                    <w:spacing w:before="0" w:beforeAutospacing="0" w:after="0" w:afterAutospacing="0"/>
                    <w:ind w:left="0" w:right="0"/>
                    <w:rPr>
                      <w:rFonts w:hint="default"/>
                    </w:rPr>
                  </w:pPr>
                  <w:r>
                    <w:rPr>
                      <w:rFonts w:hint="default"/>
                    </w:rPr>
                    <w:t>达标</w:t>
                  </w:r>
                </w:p>
              </w:tc>
            </w:tr>
            <w:tr w14:paraId="59573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8" w:hRule="exact"/>
                <w:jc w:val="center"/>
              </w:trPr>
              <w:tc>
                <w:tcPr>
                  <w:tcW w:w="558" w:type="pct"/>
                  <w:vMerge w:val="continue"/>
                  <w:tcBorders>
                    <w:tl2br w:val="nil"/>
                    <w:tr2bl w:val="nil"/>
                  </w:tcBorders>
                  <w:shd w:val="clear" w:color="auto" w:fill="auto"/>
                  <w:vAlign w:val="center"/>
                </w:tcPr>
                <w:p w14:paraId="5EDB5198">
                  <w:pPr>
                    <w:pStyle w:val="8"/>
                    <w:keepNext w:val="0"/>
                    <w:keepLines w:val="0"/>
                    <w:suppressLineNumbers w:val="0"/>
                    <w:bidi w:val="0"/>
                    <w:spacing w:before="0" w:beforeAutospacing="0" w:after="0" w:afterAutospacing="0"/>
                    <w:ind w:left="0" w:right="0"/>
                    <w:rPr>
                      <w:rFonts w:hint="default"/>
                    </w:rPr>
                  </w:pPr>
                </w:p>
              </w:tc>
              <w:tc>
                <w:tcPr>
                  <w:tcW w:w="529" w:type="pct"/>
                  <w:tcBorders>
                    <w:tl2br w:val="nil"/>
                    <w:tr2bl w:val="nil"/>
                  </w:tcBorders>
                  <w:shd w:val="clear" w:color="auto" w:fill="auto"/>
                  <w:vAlign w:val="center"/>
                </w:tcPr>
                <w:p w14:paraId="3AC96EAA">
                  <w:pPr>
                    <w:pStyle w:val="8"/>
                    <w:keepNext w:val="0"/>
                    <w:keepLines w:val="0"/>
                    <w:suppressLineNumbers w:val="0"/>
                    <w:bidi w:val="0"/>
                    <w:spacing w:before="0" w:beforeAutospacing="0" w:after="0" w:afterAutospacing="0"/>
                    <w:ind w:left="0" w:right="0"/>
                    <w:rPr>
                      <w:rFonts w:hint="default"/>
                    </w:rPr>
                  </w:pPr>
                  <w:r>
                    <w:rPr>
                      <w:rFonts w:hint="default"/>
                    </w:rPr>
                    <w:t>0.4</w:t>
                  </w:r>
                </w:p>
              </w:tc>
              <w:tc>
                <w:tcPr>
                  <w:tcW w:w="529" w:type="pct"/>
                  <w:tcBorders>
                    <w:tl2br w:val="nil"/>
                    <w:tr2bl w:val="nil"/>
                  </w:tcBorders>
                  <w:shd w:val="clear" w:color="auto" w:fill="auto"/>
                  <w:vAlign w:val="center"/>
                </w:tcPr>
                <w:p w14:paraId="0E44B5A1">
                  <w:pPr>
                    <w:pStyle w:val="8"/>
                    <w:keepNext w:val="0"/>
                    <w:keepLines w:val="0"/>
                    <w:suppressLineNumbers w:val="0"/>
                    <w:bidi w:val="0"/>
                    <w:spacing w:before="0" w:beforeAutospacing="0" w:after="0" w:afterAutospacing="0"/>
                    <w:ind w:left="0" w:right="0"/>
                    <w:rPr>
                      <w:rFonts w:hint="default"/>
                    </w:rPr>
                  </w:pPr>
                  <w:r>
                    <w:rPr>
                      <w:rFonts w:hint="default"/>
                    </w:rPr>
                    <w:t>65.6</w:t>
                  </w:r>
                </w:p>
              </w:tc>
              <w:tc>
                <w:tcPr>
                  <w:tcW w:w="370" w:type="pct"/>
                  <w:tcBorders>
                    <w:tl2br w:val="nil"/>
                    <w:tr2bl w:val="nil"/>
                  </w:tcBorders>
                  <w:shd w:val="clear" w:color="auto" w:fill="auto"/>
                  <w:vAlign w:val="center"/>
                </w:tcPr>
                <w:p w14:paraId="5B4CC63C">
                  <w:pPr>
                    <w:pStyle w:val="8"/>
                    <w:keepNext w:val="0"/>
                    <w:keepLines w:val="0"/>
                    <w:suppressLineNumbers w:val="0"/>
                    <w:bidi w:val="0"/>
                    <w:spacing w:before="0" w:beforeAutospacing="0" w:after="0" w:afterAutospacing="0"/>
                    <w:ind w:left="0" w:right="0"/>
                    <w:rPr>
                      <w:rFonts w:hint="default"/>
                    </w:rPr>
                  </w:pPr>
                  <w:r>
                    <w:rPr>
                      <w:rFonts w:hint="default"/>
                    </w:rPr>
                    <w:t>1.2</w:t>
                  </w:r>
                </w:p>
              </w:tc>
              <w:tc>
                <w:tcPr>
                  <w:tcW w:w="789" w:type="pct"/>
                  <w:tcBorders>
                    <w:tl2br w:val="nil"/>
                    <w:tr2bl w:val="nil"/>
                  </w:tcBorders>
                  <w:shd w:val="clear" w:color="auto" w:fill="auto"/>
                  <w:vAlign w:val="center"/>
                </w:tcPr>
                <w:p w14:paraId="7CC40927">
                  <w:pPr>
                    <w:pStyle w:val="8"/>
                    <w:keepNext w:val="0"/>
                    <w:keepLines w:val="0"/>
                    <w:suppressLineNumbers w:val="0"/>
                    <w:bidi w:val="0"/>
                    <w:spacing w:before="0" w:beforeAutospacing="0" w:after="0" w:afterAutospacing="0"/>
                    <w:ind w:left="0" w:right="0"/>
                    <w:rPr>
                      <w:rFonts w:hint="default"/>
                    </w:rPr>
                  </w:pPr>
                  <w:r>
                    <w:rPr>
                      <w:rFonts w:hint="default"/>
                    </w:rPr>
                    <w:t>夜间</w:t>
                  </w:r>
                </w:p>
              </w:tc>
              <w:tc>
                <w:tcPr>
                  <w:tcW w:w="809" w:type="pct"/>
                  <w:tcBorders>
                    <w:tl2br w:val="nil"/>
                    <w:tr2bl w:val="nil"/>
                  </w:tcBorders>
                  <w:shd w:val="clear" w:color="auto" w:fill="auto"/>
                  <w:vAlign w:val="center"/>
                </w:tcPr>
                <w:p w14:paraId="619A610F">
                  <w:pPr>
                    <w:pStyle w:val="8"/>
                    <w:keepNext w:val="0"/>
                    <w:keepLines w:val="0"/>
                    <w:suppressLineNumbers w:val="0"/>
                    <w:bidi w:val="0"/>
                    <w:spacing w:before="0" w:beforeAutospacing="0" w:after="0" w:afterAutospacing="0"/>
                    <w:ind w:left="0" w:right="0"/>
                    <w:rPr>
                      <w:rFonts w:hint="default"/>
                    </w:rPr>
                  </w:pPr>
                  <w:r>
                    <w:rPr>
                      <w:rFonts w:hint="default"/>
                    </w:rPr>
                    <w:t>53</w:t>
                  </w:r>
                </w:p>
              </w:tc>
              <w:tc>
                <w:tcPr>
                  <w:tcW w:w="855" w:type="pct"/>
                  <w:tcBorders>
                    <w:tl2br w:val="nil"/>
                    <w:tr2bl w:val="nil"/>
                  </w:tcBorders>
                  <w:shd w:val="clear" w:color="auto" w:fill="auto"/>
                  <w:vAlign w:val="center"/>
                </w:tcPr>
                <w:p w14:paraId="3C889B73">
                  <w:pPr>
                    <w:pStyle w:val="8"/>
                    <w:keepNext w:val="0"/>
                    <w:keepLines w:val="0"/>
                    <w:suppressLineNumbers w:val="0"/>
                    <w:bidi w:val="0"/>
                    <w:spacing w:before="0" w:beforeAutospacing="0" w:after="0" w:afterAutospacing="0"/>
                    <w:ind w:left="0" w:right="0"/>
                    <w:rPr>
                      <w:rFonts w:hint="default"/>
                    </w:rPr>
                  </w:pPr>
                  <w:r>
                    <w:rPr>
                      <w:rFonts w:hint="default"/>
                    </w:rPr>
                    <w:t>55</w:t>
                  </w:r>
                </w:p>
              </w:tc>
              <w:tc>
                <w:tcPr>
                  <w:tcW w:w="558" w:type="pct"/>
                  <w:tcBorders>
                    <w:tl2br w:val="nil"/>
                    <w:tr2bl w:val="nil"/>
                  </w:tcBorders>
                  <w:shd w:val="clear" w:color="auto" w:fill="auto"/>
                  <w:vAlign w:val="center"/>
                </w:tcPr>
                <w:p w14:paraId="5BF7BED9">
                  <w:pPr>
                    <w:pStyle w:val="8"/>
                    <w:keepNext w:val="0"/>
                    <w:keepLines w:val="0"/>
                    <w:suppressLineNumbers w:val="0"/>
                    <w:bidi w:val="0"/>
                    <w:spacing w:before="0" w:beforeAutospacing="0" w:after="0" w:afterAutospacing="0"/>
                    <w:ind w:left="0" w:right="0"/>
                    <w:rPr>
                      <w:rFonts w:hint="default"/>
                    </w:rPr>
                  </w:pPr>
                  <w:r>
                    <w:rPr>
                      <w:rFonts w:hint="default"/>
                    </w:rPr>
                    <w:t>达标</w:t>
                  </w:r>
                </w:p>
              </w:tc>
            </w:tr>
          </w:tbl>
          <w:p w14:paraId="60F4A386">
            <w:pPr>
              <w:keepNext w:val="0"/>
              <w:keepLines w:val="0"/>
              <w:suppressLineNumbers w:val="0"/>
              <w:bidi w:val="0"/>
              <w:spacing w:before="0" w:beforeAutospacing="0" w:after="0" w:afterAutospacing="0"/>
              <w:ind w:left="0" w:right="0"/>
              <w:rPr>
                <w:rFonts w:hint="eastAsia"/>
                <w:lang w:eastAsia="zh-CN"/>
              </w:rPr>
            </w:pPr>
            <w:r>
              <w:rPr>
                <w:rFonts w:hint="eastAsia"/>
              </w:rPr>
              <w:t>由表</w:t>
            </w:r>
            <w:r>
              <w:rPr>
                <w:rFonts w:hint="eastAsia"/>
                <w:lang w:val="en-US" w:eastAsia="zh-CN"/>
              </w:rPr>
              <w:t>4-9</w:t>
            </w:r>
            <w:r>
              <w:rPr>
                <w:rFonts w:hint="eastAsia"/>
              </w:rPr>
              <w:t>可以看出，厂界的噪声贡献值为</w:t>
            </w:r>
            <w:r>
              <w:rPr>
                <w:rFonts w:hint="eastAsia"/>
                <w:lang w:val="en-US" w:eastAsia="zh-CN"/>
              </w:rPr>
              <w:t>21-53</w:t>
            </w:r>
            <w:r>
              <w:rPr>
                <w:rFonts w:hint="eastAsia"/>
              </w:rPr>
              <w:t>dB(A)，</w:t>
            </w:r>
            <w:r>
              <w:rPr>
                <w:rFonts w:hint="eastAsia"/>
                <w:lang w:val="en-US" w:eastAsia="zh-CN"/>
              </w:rPr>
              <w:t>各厂界噪声预测值可以达到《工业企业厂界环境噪声排放标准》（</w:t>
            </w:r>
            <w:r>
              <w:rPr>
                <w:rFonts w:hint="default"/>
                <w:lang w:val="en-US" w:eastAsia="zh-CN"/>
              </w:rPr>
              <w:t>GB12348-2008</w:t>
            </w:r>
            <w:r>
              <w:rPr>
                <w:rFonts w:hint="eastAsia"/>
                <w:lang w:val="en-US" w:eastAsia="zh-CN"/>
              </w:rPr>
              <w:t>）</w:t>
            </w:r>
            <w:r>
              <w:rPr>
                <w:rFonts w:hint="default"/>
                <w:lang w:val="en-US" w:eastAsia="zh-CN"/>
              </w:rPr>
              <w:t>3</w:t>
            </w:r>
            <w:r>
              <w:rPr>
                <w:rFonts w:hint="eastAsia"/>
                <w:lang w:val="en-US" w:eastAsia="zh-CN"/>
              </w:rPr>
              <w:t>类区标准限值，不会对周围环境产生明显影响。</w:t>
            </w:r>
          </w:p>
          <w:p w14:paraId="3BABC3A3">
            <w:pPr>
              <w:pStyle w:val="4"/>
              <w:suppressLineNumbers w:val="0"/>
              <w:bidi w:val="0"/>
              <w:spacing w:before="0" w:beforeAutospacing="0" w:after="0" w:afterAutospacing="0"/>
              <w:ind w:left="0" w:right="0"/>
              <w:rPr>
                <w:rFonts w:hint="default"/>
              </w:rPr>
            </w:pPr>
            <w:r>
              <w:rPr>
                <w:rFonts w:hint="eastAsia"/>
                <w:lang w:val="en-US" w:eastAsia="zh-CN"/>
              </w:rPr>
              <w:t>3.2</w:t>
            </w:r>
            <w:r>
              <w:rPr>
                <w:rFonts w:hint="eastAsia"/>
              </w:rPr>
              <w:t>降噪措施</w:t>
            </w:r>
          </w:p>
          <w:p w14:paraId="3C804A48">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rPr>
            </w:pPr>
            <w:r>
              <w:rPr>
                <w:rFonts w:hint="eastAsia"/>
                <w:lang w:val="en-US" w:eastAsia="zh-CN"/>
              </w:rPr>
              <w:t>为减少噪声对周边环境的影响，提出噪声治理措施如下：</w:t>
            </w:r>
          </w:p>
          <w:p w14:paraId="05CDAF67">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rPr>
            </w:pPr>
            <w:r>
              <w:rPr>
                <w:rFonts w:hint="eastAsia"/>
                <w:lang w:val="en-US" w:eastAsia="zh-CN"/>
              </w:rPr>
              <w:t>（</w:t>
            </w:r>
            <w:r>
              <w:rPr>
                <w:rFonts w:hint="default"/>
                <w:lang w:val="en-US" w:eastAsia="zh-CN"/>
              </w:rPr>
              <w:t>1</w:t>
            </w:r>
            <w:r>
              <w:rPr>
                <w:rFonts w:hint="eastAsia"/>
                <w:lang w:val="en-US" w:eastAsia="zh-CN"/>
              </w:rPr>
              <w:t>）对噪声的防治采用综合治理方法，首先从声源上加以控制，在设备选型上，尽量选用低噪声设备或振动小的设备；对振动大的设备在主体与基础之间安装减振装置；</w:t>
            </w:r>
          </w:p>
          <w:p w14:paraId="2B0673D1">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w:t>
            </w:r>
            <w:r>
              <w:rPr>
                <w:rFonts w:hint="eastAsia"/>
                <w:lang w:val="en-US" w:eastAsia="zh-CN"/>
              </w:rPr>
              <w:t>2</w:t>
            </w:r>
            <w:r>
              <w:rPr>
                <w:rFonts w:hint="default"/>
                <w:lang w:val="en-US" w:eastAsia="zh-CN"/>
              </w:rPr>
              <w:t>）加强生产设备的日常维护、更新，确保所有设备尤其是噪声污染防治设备处于正常工况；</w:t>
            </w:r>
          </w:p>
          <w:p w14:paraId="6740609B">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（3）加强对工作人员的个人防护和保护，如采用隔声耳罩等；</w:t>
            </w:r>
          </w:p>
          <w:p w14:paraId="095BF473">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（4）定期对设备噪声进行检查，掌握其变化规律；</w:t>
            </w:r>
          </w:p>
          <w:p w14:paraId="6CF46C21">
            <w:pPr>
              <w:keepNext w:val="0"/>
              <w:keepLines w:val="0"/>
              <w:suppressLineNumbers w:val="0"/>
              <w:bidi w:val="0"/>
              <w:spacing w:before="0" w:beforeAutospacing="0" w:after="0" w:afterAutospacing="0"/>
              <w:ind w:left="0" w:right="0"/>
              <w:rPr>
                <w:rFonts w:hint="default"/>
              </w:rPr>
            </w:pPr>
            <w:r>
              <w:rPr>
                <w:rFonts w:hint="default"/>
                <w:lang w:val="en-US" w:eastAsia="zh-CN"/>
              </w:rPr>
              <w:t>（5）生产车间墙、门和窗采取隔音、密封措施</w:t>
            </w:r>
            <w:r>
              <w:rPr>
                <w:rFonts w:hint="eastAsia"/>
                <w:lang w:eastAsia="zh-CN"/>
              </w:rPr>
              <w:t>。</w:t>
            </w:r>
          </w:p>
          <w:p w14:paraId="489DB133">
            <w:pPr>
              <w:pStyle w:val="4"/>
              <w:suppressLineNumbers w:val="0"/>
              <w:bidi w:val="0"/>
              <w:spacing w:before="0" w:beforeAutospacing="0" w:after="0" w:afterAutospacing="0"/>
              <w:ind w:left="0" w:right="0"/>
              <w:rPr>
                <w:rFonts w:hint="eastAsia"/>
              </w:rPr>
            </w:pPr>
            <w:r>
              <w:rPr>
                <w:rFonts w:hint="default"/>
              </w:rPr>
              <w:t>3.</w:t>
            </w:r>
            <w:r>
              <w:rPr>
                <w:rFonts w:hint="eastAsia"/>
                <w:lang w:val="en-US" w:eastAsia="zh-CN"/>
              </w:rPr>
              <w:t>3</w:t>
            </w:r>
            <w:r>
              <w:rPr>
                <w:rFonts w:hint="eastAsia"/>
              </w:rPr>
              <w:t>监测计划</w:t>
            </w:r>
          </w:p>
          <w:p w14:paraId="0BFEF624">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rPr>
            </w:pPr>
            <w:r>
              <w:rPr>
                <w:rFonts w:hint="eastAsia"/>
                <w:lang w:val="en-US" w:eastAsia="zh-CN"/>
              </w:rPr>
              <w:t>本项目运营后监测计划如下表4-10：</w:t>
            </w:r>
          </w:p>
          <w:p w14:paraId="6A6A7A9C">
            <w:pPr>
              <w:pStyle w:val="6"/>
              <w:keepNext w:val="0"/>
              <w:keepLines w:val="0"/>
              <w:suppressLineNumbers w:val="0"/>
              <w:bidi w:val="0"/>
              <w:spacing w:before="0" w:beforeAutospacing="0" w:after="0" w:afterAutospacing="0"/>
              <w:ind w:left="0" w:right="0"/>
              <w:rPr>
                <w:rFonts w:hint="default"/>
              </w:rPr>
            </w:pPr>
            <w:r>
              <w:rPr>
                <w:rFonts w:hint="eastAsia"/>
              </w:rPr>
              <w:t>表</w:t>
            </w:r>
            <w:r>
              <w:rPr>
                <w:rFonts w:hint="eastAsia"/>
                <w:lang w:val="en-US" w:eastAsia="zh-CN"/>
              </w:rPr>
              <w:t>4-10</w:t>
            </w:r>
            <w:r>
              <w:rPr>
                <w:rFonts w:hint="default"/>
              </w:rPr>
              <w:t xml:space="preserve">                      </w:t>
            </w:r>
            <w:r>
              <w:rPr>
                <w:rFonts w:hint="eastAsia"/>
              </w:rPr>
              <w:t>声环境监测计划</w:t>
            </w:r>
          </w:p>
          <w:tbl>
            <w:tblPr>
              <w:tblStyle w:val="30"/>
              <w:tblW w:w="8148" w:type="dxa"/>
              <w:tblInd w:w="108" w:type="dxa"/>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57"/>
              <w:gridCol w:w="1260"/>
              <w:gridCol w:w="1650"/>
              <w:gridCol w:w="1020"/>
              <w:gridCol w:w="3361"/>
            </w:tblGrid>
            <w:tr w14:paraId="0608C40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shd w:val="clear" w:color="auto" w:fill="auto"/>
                <w:tblCellMar>
                  <w:top w:w="0" w:type="dxa"/>
                  <w:left w:w="0" w:type="dxa"/>
                  <w:bottom w:w="0" w:type="dxa"/>
                  <w:right w:w="0" w:type="dxa"/>
                </w:tblCellMar>
              </w:tblPrEx>
              <w:tc>
                <w:tcPr>
                  <w:tcW w:w="857" w:type="dxa"/>
                  <w:tcBorders>
                    <w:top w:val="single" w:color="000000" w:sz="12" w:space="0"/>
                    <w:left w:val="nil"/>
                    <w:bottom w:val="single" w:color="000000" w:sz="4" w:space="0"/>
                    <w:right w:val="single" w:color="000000" w:sz="4" w:space="0"/>
                  </w:tcBorders>
                  <w:shd w:val="clear" w:color="auto" w:fill="auto"/>
                  <w:vAlign w:val="center"/>
                </w:tcPr>
                <w:p w14:paraId="07B4A441">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项目</w:t>
                  </w:r>
                </w:p>
              </w:tc>
              <w:tc>
                <w:tcPr>
                  <w:tcW w:w="1260"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14AFA140">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监测点位</w:t>
                  </w:r>
                </w:p>
              </w:tc>
              <w:tc>
                <w:tcPr>
                  <w:tcW w:w="1650"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13F6EA01">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监测项目</w:t>
                  </w:r>
                </w:p>
              </w:tc>
              <w:tc>
                <w:tcPr>
                  <w:tcW w:w="1020" w:type="dxa"/>
                  <w:tcBorders>
                    <w:top w:val="single" w:color="000000" w:sz="12" w:space="0"/>
                    <w:left w:val="single" w:color="000000" w:sz="4" w:space="0"/>
                    <w:bottom w:val="single" w:color="000000" w:sz="4" w:space="0"/>
                    <w:right w:val="single" w:color="000000" w:sz="4" w:space="0"/>
                  </w:tcBorders>
                  <w:shd w:val="clear" w:color="auto" w:fill="auto"/>
                  <w:vAlign w:val="center"/>
                </w:tcPr>
                <w:p w14:paraId="656C0948">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监测频率</w:t>
                  </w:r>
                </w:p>
              </w:tc>
              <w:tc>
                <w:tcPr>
                  <w:tcW w:w="3361" w:type="dxa"/>
                  <w:tcBorders>
                    <w:top w:val="single" w:color="000000" w:sz="12" w:space="0"/>
                    <w:left w:val="single" w:color="000000" w:sz="4" w:space="0"/>
                    <w:bottom w:val="single" w:color="000000" w:sz="4" w:space="0"/>
                    <w:right w:val="nil"/>
                  </w:tcBorders>
                  <w:shd w:val="clear" w:color="auto" w:fill="auto"/>
                  <w:vAlign w:val="center"/>
                </w:tcPr>
                <w:p w14:paraId="1E940FA3">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排放标准</w:t>
                  </w:r>
                </w:p>
              </w:tc>
            </w:tr>
            <w:tr w14:paraId="7A898F6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shd w:val="clear" w:color="auto" w:fill="auto"/>
                <w:tblCellMar>
                  <w:top w:w="0" w:type="dxa"/>
                  <w:left w:w="0" w:type="dxa"/>
                  <w:bottom w:w="0" w:type="dxa"/>
                  <w:right w:w="0" w:type="dxa"/>
                </w:tblCellMar>
              </w:tblPrEx>
              <w:tc>
                <w:tcPr>
                  <w:tcW w:w="857" w:type="dxa"/>
                  <w:tcBorders>
                    <w:top w:val="single" w:color="000000" w:sz="4" w:space="0"/>
                    <w:left w:val="nil"/>
                    <w:bottom w:val="single" w:color="000000" w:sz="12" w:space="0"/>
                    <w:right w:val="single" w:color="000000" w:sz="4" w:space="0"/>
                  </w:tcBorders>
                  <w:shd w:val="clear" w:color="auto" w:fill="auto"/>
                  <w:vAlign w:val="center"/>
                </w:tcPr>
                <w:p w14:paraId="08E7FC2F">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噪声</w:t>
                  </w:r>
                </w:p>
              </w:tc>
              <w:tc>
                <w:tcPr>
                  <w:tcW w:w="126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7C33149C">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厂界</w:t>
                  </w:r>
                </w:p>
              </w:tc>
              <w:tc>
                <w:tcPr>
                  <w:tcW w:w="165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4CEAD518">
                  <w:pPr>
                    <w:pStyle w:val="8"/>
                    <w:keepNext w:val="0"/>
                    <w:keepLines w:val="0"/>
                    <w:suppressLineNumbers w:val="0"/>
                    <w:bidi w:val="0"/>
                    <w:spacing w:before="0" w:beforeAutospacing="0" w:after="0" w:afterAutospacing="0"/>
                    <w:ind w:left="0" w:right="0" w:firstLine="0"/>
                    <w:rPr>
                      <w:rFonts w:hint="default"/>
                      <w:lang w:val="en-US" w:eastAsia="zh-CN"/>
                    </w:rPr>
                  </w:pPr>
                  <w:r>
                    <w:rPr>
                      <w:rFonts w:hint="eastAsia"/>
                      <w:lang w:val="en-US" w:eastAsia="zh-CN"/>
                    </w:rPr>
                    <w:t>等效连续</w:t>
                  </w:r>
                  <w:r>
                    <w:rPr>
                      <w:rFonts w:hint="default"/>
                      <w:lang w:val="en-US" w:eastAsia="zh-CN"/>
                    </w:rPr>
                    <w:t>A</w:t>
                  </w:r>
                  <w:r>
                    <w:rPr>
                      <w:rFonts w:hint="eastAsia"/>
                      <w:lang w:val="en-US" w:eastAsia="zh-CN"/>
                    </w:rPr>
                    <w:t>声级</w:t>
                  </w:r>
                </w:p>
              </w:tc>
              <w:tc>
                <w:tcPr>
                  <w:tcW w:w="1020" w:type="dxa"/>
                  <w:tcBorders>
                    <w:top w:val="single" w:color="000000" w:sz="4" w:space="0"/>
                    <w:left w:val="single" w:color="000000" w:sz="4" w:space="0"/>
                    <w:bottom w:val="single" w:color="000000" w:sz="12" w:space="0"/>
                    <w:right w:val="single" w:color="000000" w:sz="4" w:space="0"/>
                  </w:tcBorders>
                  <w:shd w:val="clear" w:color="auto" w:fill="auto"/>
                  <w:vAlign w:val="center"/>
                </w:tcPr>
                <w:p w14:paraId="286B78DD">
                  <w:pPr>
                    <w:pStyle w:val="8"/>
                    <w:keepNext w:val="0"/>
                    <w:keepLines w:val="0"/>
                    <w:suppressLineNumbers w:val="0"/>
                    <w:bidi w:val="0"/>
                    <w:spacing w:before="0" w:beforeAutospacing="0" w:after="0" w:afterAutospacing="0"/>
                    <w:ind w:left="0" w:right="0" w:firstLine="0"/>
                    <w:rPr>
                      <w:rFonts w:hint="eastAsia"/>
                      <w:lang w:val="en-US" w:eastAsia="zh-CN"/>
                    </w:rPr>
                  </w:pPr>
                  <w:r>
                    <w:rPr>
                      <w:rFonts w:hint="default"/>
                      <w:lang w:val="en-US" w:eastAsia="zh-CN"/>
                    </w:rPr>
                    <w:t>1</w:t>
                  </w:r>
                  <w:r>
                    <w:rPr>
                      <w:rFonts w:hint="eastAsia"/>
                      <w:lang w:val="en-US" w:eastAsia="zh-CN"/>
                    </w:rPr>
                    <w:t>次</w:t>
                  </w:r>
                  <w:r>
                    <w:rPr>
                      <w:rFonts w:hint="default"/>
                      <w:lang w:val="en-US" w:eastAsia="zh-CN"/>
                    </w:rPr>
                    <w:t>/</w:t>
                  </w:r>
                  <w:r>
                    <w:rPr>
                      <w:rFonts w:hint="eastAsia"/>
                      <w:lang w:val="en-US" w:eastAsia="zh-CN"/>
                    </w:rPr>
                    <w:t>季</w:t>
                  </w:r>
                </w:p>
              </w:tc>
              <w:tc>
                <w:tcPr>
                  <w:tcW w:w="3361" w:type="dxa"/>
                  <w:tcBorders>
                    <w:top w:val="single" w:color="000000" w:sz="4" w:space="0"/>
                    <w:left w:val="single" w:color="000000" w:sz="4" w:space="0"/>
                    <w:bottom w:val="single" w:color="000000" w:sz="12" w:space="0"/>
                    <w:right w:val="nil"/>
                  </w:tcBorders>
                  <w:shd w:val="clear" w:color="auto" w:fill="auto"/>
                  <w:vAlign w:val="center"/>
                </w:tcPr>
                <w:p w14:paraId="4BA4829D">
                  <w:pPr>
                    <w:pStyle w:val="8"/>
                    <w:keepNext w:val="0"/>
                    <w:keepLines w:val="0"/>
                    <w:suppressLineNumbers w:val="0"/>
                    <w:bidi w:val="0"/>
                    <w:spacing w:before="0" w:beforeAutospacing="0" w:after="0" w:afterAutospacing="0"/>
                    <w:ind w:left="0" w:right="0" w:firstLine="0"/>
                    <w:rPr>
                      <w:rFonts w:hint="eastAsia"/>
                      <w:lang w:val="en-US" w:eastAsia="zh-CN"/>
                    </w:rPr>
                  </w:pPr>
                  <w:r>
                    <w:rPr>
                      <w:rFonts w:hint="eastAsia"/>
                      <w:lang w:val="en-US" w:eastAsia="zh-CN"/>
                    </w:rPr>
                    <w:t>《工业企业厂界环境噪声排放标准》</w:t>
                  </w:r>
                  <w:r>
                    <w:rPr>
                      <w:rFonts w:hint="default"/>
                      <w:lang w:val="en-US" w:eastAsia="zh-CN"/>
                    </w:rPr>
                    <w:t>(GB12348-2008)</w:t>
                  </w:r>
                  <w:r>
                    <w:rPr>
                      <w:rFonts w:hint="eastAsia"/>
                      <w:lang w:val="en-US" w:eastAsia="zh-CN"/>
                    </w:rPr>
                    <w:t>3类区排放标准</w:t>
                  </w:r>
                </w:p>
              </w:tc>
            </w:tr>
          </w:tbl>
          <w:p w14:paraId="60E9394C">
            <w:pPr>
              <w:pStyle w:val="4"/>
              <w:suppressLineNumbers w:val="0"/>
              <w:bidi w:val="0"/>
              <w:spacing w:before="0" w:beforeAutospacing="0" w:after="0" w:afterAutospacing="0"/>
              <w:ind w:left="0" w:right="0"/>
              <w:rPr>
                <w:rFonts w:hint="eastAsia"/>
              </w:rPr>
            </w:pPr>
            <w:r>
              <w:rPr>
                <w:rFonts w:hint="default"/>
              </w:rPr>
              <w:t>4</w:t>
            </w:r>
            <w:r>
              <w:rPr>
                <w:rFonts w:hint="eastAsia"/>
              </w:rPr>
              <w:t>、固体废物</w:t>
            </w:r>
          </w:p>
          <w:p w14:paraId="10CD450F">
            <w:pPr>
              <w:pStyle w:val="4"/>
              <w:suppressLineNumbers w:val="0"/>
              <w:bidi w:val="0"/>
              <w:spacing w:before="0" w:beforeAutospacing="0" w:after="0" w:afterAutospacing="0"/>
              <w:ind w:left="0" w:right="0"/>
              <w:rPr>
                <w:rFonts w:hint="eastAsia"/>
              </w:rPr>
            </w:pPr>
            <w:r>
              <w:rPr>
                <w:rFonts w:hint="eastAsia"/>
                <w:lang w:val="en-US" w:eastAsia="zh-CN"/>
              </w:rPr>
              <w:t>4.1</w:t>
            </w:r>
            <w:r>
              <w:rPr>
                <w:rFonts w:hint="eastAsia"/>
              </w:rPr>
              <w:t>一般工业固废</w:t>
            </w:r>
          </w:p>
          <w:p w14:paraId="45EF86D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辣椒粕集中收集，</w:t>
            </w:r>
            <w:r>
              <w:rPr>
                <w:rFonts w:hint="eastAsia"/>
                <w:lang w:eastAsia="zh-CN"/>
              </w:rPr>
              <w:t>可用作饲料</w:t>
            </w:r>
            <w:r>
              <w:rPr>
                <w:rFonts w:hint="eastAsia"/>
                <w:lang w:val="en-US" w:eastAsia="zh-CN"/>
              </w:rPr>
              <w:t>外售，年产量约39345.324t/a。</w:t>
            </w:r>
          </w:p>
          <w:p w14:paraId="0E1606FE">
            <w:pPr>
              <w:pStyle w:val="4"/>
              <w:suppressLineNumbers w:val="0"/>
              <w:bidi w:val="0"/>
              <w:spacing w:before="0" w:beforeAutospacing="0" w:after="0" w:afterAutospacing="0"/>
              <w:ind w:left="0" w:right="0"/>
              <w:rPr>
                <w:rFonts w:hint="eastAsia"/>
                <w:lang w:val="en-US" w:eastAsia="zh-CN"/>
              </w:rPr>
            </w:pPr>
            <w:r>
              <w:rPr>
                <w:rFonts w:hint="eastAsia"/>
                <w:lang w:val="en-US" w:eastAsia="zh-CN"/>
              </w:rPr>
              <w:t>4.3危险固废</w:t>
            </w:r>
          </w:p>
          <w:p w14:paraId="3174441F">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废润滑油</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本项目生产加工设备需要定期维护保养，会产生废润滑油，废润滑油的产生量为</w:t>
            </w:r>
            <w:r>
              <w:rPr>
                <w:rFonts w:hint="default"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根据</w:t>
            </w:r>
            <w:r>
              <w:rPr>
                <w:rFonts w:hint="eastAsia" w:ascii="Times New Roman" w:hAnsi="Times New Roman" w:eastAsia="宋体" w:cs="Times New Roman"/>
                <w:color w:val="auto"/>
                <w:kern w:val="0"/>
                <w:sz w:val="24"/>
                <w:szCs w:val="24"/>
                <w:lang w:val="en-US" w:eastAsia="zh-CN" w:bidi="ar"/>
              </w:rPr>
              <w:t>《国家危险废物名录》</w:t>
            </w:r>
            <w:r>
              <w:rPr>
                <w:rFonts w:hint="eastAsia"/>
                <w:color w:val="auto"/>
                <w:lang w:val="en-US" w:eastAsia="zh-CN"/>
              </w:rPr>
              <w:t>（2025年版）</w:t>
            </w:r>
            <w:r>
              <w:rPr>
                <w:rFonts w:hint="eastAsia" w:ascii="Times New Roman" w:hAnsi="Times New Roman" w:eastAsia="宋体" w:cs="Times New Roman"/>
                <w:color w:val="auto"/>
                <w:kern w:val="0"/>
                <w:sz w:val="24"/>
                <w:szCs w:val="24"/>
                <w:lang w:val="en-US" w:eastAsia="zh-CN" w:bidi="ar"/>
              </w:rPr>
              <w:t>，危险废物代码为（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w:t>
            </w:r>
            <w:r>
              <w:rPr>
                <w:rFonts w:hint="eastAsia" w:ascii="Times New Roman" w:hAnsi="Times New Roman" w:eastAsia="宋体" w:cs="Times New Roman"/>
                <w:color w:val="auto"/>
                <w:kern w:val="0"/>
                <w:sz w:val="24"/>
                <w:szCs w:val="24"/>
                <w:lang w:val="en-US" w:eastAsia="zh-CN" w:bidi="ar"/>
              </w:rPr>
              <w:t>21</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14:paraId="750BBCD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废油桶</w:t>
            </w:r>
            <w:r>
              <w:rPr>
                <w:rFonts w:hint="eastAsia"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本项目在使用润滑油时产生的沾染矿物油的废弃包装物约为0.01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，根据《国家危险废物名录》（</w:t>
            </w:r>
            <w:r>
              <w:rPr>
                <w:rFonts w:hint="default" w:ascii="Times New Roman" w:hAnsi="Times New Roman" w:eastAsia="宋体" w:cs="Times New Roman"/>
                <w:color w:val="auto"/>
                <w:kern w:val="0"/>
                <w:sz w:val="24"/>
                <w:szCs w:val="24"/>
                <w:lang w:val="en-US" w:eastAsia="zh-CN" w:bidi="ar"/>
              </w:rPr>
              <w:t>202</w:t>
            </w:r>
            <w:r>
              <w:rPr>
                <w:rFonts w:hint="eastAsia"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年），沾染矿物油的废弃包装物属于危险废物，危废代码为（</w:t>
            </w:r>
            <w:r>
              <w:rPr>
                <w:rFonts w:hint="default" w:ascii="Times New Roman" w:hAnsi="Times New Roman" w:eastAsia="宋体" w:cs="Times New Roman"/>
                <w:color w:val="auto"/>
                <w:kern w:val="0"/>
                <w:sz w:val="24"/>
                <w:szCs w:val="24"/>
                <w:lang w:val="en-US" w:eastAsia="zh-CN" w:bidi="ar"/>
              </w:rPr>
              <w:t>HW08</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900-249-08</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p>
          <w:p w14:paraId="06C018AD">
            <w:pPr>
              <w:keepNext w:val="0"/>
              <w:keepLines w:val="0"/>
              <w:widowControl/>
              <w:suppressLineNumbers w:val="0"/>
              <w:spacing w:before="0" w:beforeAutospacing="0" w:after="0" w:afterAutospacing="0"/>
              <w:ind w:left="0" w:right="0"/>
              <w:jc w:val="left"/>
              <w:rPr>
                <w:rFonts w:hint="default"/>
                <w:lang w:val="en-US" w:eastAsia="zh-CN"/>
              </w:rPr>
            </w:pPr>
            <w:r>
              <w:rPr>
                <w:rFonts w:hint="eastAsia"/>
              </w:rPr>
              <w:t>废弃的含油抹布、劳保用品</w:t>
            </w:r>
            <w:r>
              <w:rPr>
                <w:rFonts w:hint="eastAsia"/>
                <w:color w:val="auto"/>
                <w:lang w:val="en-US" w:eastAsia="zh-CN"/>
              </w:rPr>
              <w:t>：手套、抹布维修过程产生含油手套、抹布，</w:t>
            </w:r>
            <w:r>
              <w:rPr>
                <w:rFonts w:hint="eastAsia"/>
                <w:color w:val="auto"/>
                <w:lang w:eastAsia="zh-CN"/>
              </w:rPr>
              <w:t>根据</w:t>
            </w:r>
            <w:r>
              <w:rPr>
                <w:rFonts w:hint="default"/>
                <w:color w:val="auto"/>
              </w:rPr>
              <w:t>《国家危险废物名录</w:t>
            </w:r>
            <w:r>
              <w:rPr>
                <w:rFonts w:hint="eastAsia"/>
                <w:color w:val="auto"/>
                <w:lang w:val="en-US" w:eastAsia="zh-CN"/>
              </w:rPr>
              <w:t>（2025 版）</w:t>
            </w:r>
            <w:r>
              <w:rPr>
                <w:rFonts w:hint="default"/>
                <w:color w:val="auto"/>
              </w:rPr>
              <w:t>》，废物类别为HW49</w:t>
            </w:r>
            <w:r>
              <w:rPr>
                <w:rFonts w:hint="eastAsia"/>
                <w:color w:val="auto"/>
                <w:lang w:val="en-US" w:eastAsia="zh-CN"/>
              </w:rPr>
              <w:t>（废物代码 900-041-49），产生量为0.05t/a，</w:t>
            </w:r>
            <w:r>
              <w:rPr>
                <w:rFonts w:hint="eastAsia" w:ascii="Times New Roman" w:hAnsi="Times New Roman" w:eastAsia="宋体" w:cs="Times New Roman"/>
                <w:color w:val="auto"/>
                <w:kern w:val="0"/>
                <w:sz w:val="24"/>
                <w:szCs w:val="24"/>
                <w:lang w:val="en-US" w:eastAsia="zh-CN" w:bidi="ar"/>
              </w:rPr>
              <w:t>收集、储存于</w:t>
            </w:r>
            <w:r>
              <w:rPr>
                <w:rFonts w:hint="eastAsia" w:cs="Times New Roman"/>
                <w:color w:val="auto"/>
                <w:kern w:val="0"/>
                <w:sz w:val="24"/>
                <w:szCs w:val="24"/>
                <w:lang w:val="en-US" w:eastAsia="zh-CN" w:bidi="ar"/>
              </w:rPr>
              <w:t>危险废物贮存库</w:t>
            </w:r>
            <w:r>
              <w:rPr>
                <w:rFonts w:hint="eastAsia" w:ascii="Times New Roman" w:hAnsi="Times New Roman" w:eastAsia="宋体" w:cs="Times New Roman"/>
                <w:color w:val="auto"/>
                <w:kern w:val="0"/>
                <w:sz w:val="24"/>
                <w:szCs w:val="24"/>
                <w:lang w:val="en-US" w:eastAsia="zh-CN" w:bidi="ar"/>
              </w:rPr>
              <w:t>，交由有资质的机构处理</w:t>
            </w:r>
            <w:r>
              <w:rPr>
                <w:rFonts w:hint="eastAsia" w:ascii="宋体" w:hAnsi="宋体" w:cs="宋体"/>
                <w:color w:val="auto"/>
              </w:rPr>
              <w:t>。</w:t>
            </w:r>
          </w:p>
          <w:p w14:paraId="09A3E78A">
            <w:pPr>
              <w:pStyle w:val="6"/>
              <w:keepNext w:val="0"/>
              <w:keepLines w:val="0"/>
              <w:suppressLineNumbers w:val="0"/>
              <w:bidi w:val="0"/>
              <w:spacing w:before="0" w:beforeAutospacing="0" w:after="0" w:afterAutospacing="0"/>
              <w:ind w:left="0" w:right="0"/>
              <w:rPr>
                <w:rFonts w:hint="default"/>
              </w:rPr>
            </w:pPr>
            <w:r>
              <w:rPr>
                <w:rFonts w:hint="eastAsia"/>
                <w:lang w:val="en-US" w:eastAsia="zh-CN"/>
              </w:rPr>
              <w:t>表4-11</w:t>
            </w:r>
            <w:r>
              <w:rPr>
                <w:rFonts w:hint="default"/>
                <w:lang w:val="en-US" w:eastAsia="zh-CN"/>
              </w:rPr>
              <w:t xml:space="preserve">              </w:t>
            </w:r>
            <w:r>
              <w:rPr>
                <w:rFonts w:hint="eastAsia"/>
                <w:lang w:val="en-US" w:eastAsia="zh-CN"/>
              </w:rPr>
              <w:t>危险废物贮存场所（设施）基本情况表</w:t>
            </w:r>
          </w:p>
          <w:tbl>
            <w:tblPr>
              <w:tblStyle w:val="30"/>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996"/>
              <w:gridCol w:w="1408"/>
              <w:gridCol w:w="927"/>
              <w:gridCol w:w="981"/>
              <w:gridCol w:w="569"/>
              <w:gridCol w:w="530"/>
              <w:gridCol w:w="701"/>
              <w:gridCol w:w="1244"/>
            </w:tblGrid>
            <w:tr w14:paraId="05633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637" w:type="pct"/>
                  <w:vAlign w:val="center"/>
                </w:tcPr>
                <w:p w14:paraId="40198C51">
                  <w:pPr>
                    <w:pStyle w:val="8"/>
                    <w:keepNext w:val="0"/>
                    <w:keepLines w:val="0"/>
                    <w:suppressLineNumbers w:val="0"/>
                    <w:bidi w:val="0"/>
                    <w:spacing w:before="0" w:beforeAutospacing="0" w:after="0" w:afterAutospacing="0"/>
                    <w:ind w:left="0" w:right="0"/>
                    <w:rPr>
                      <w:rFonts w:hint="default"/>
                    </w:rPr>
                  </w:pPr>
                  <w:r>
                    <w:rPr>
                      <w:rFonts w:hint="default"/>
                    </w:rPr>
                    <w:t>危险废物名称</w:t>
                  </w:r>
                </w:p>
              </w:tc>
              <w:tc>
                <w:tcPr>
                  <w:tcW w:w="590" w:type="pct"/>
                  <w:vAlign w:val="center"/>
                </w:tcPr>
                <w:p w14:paraId="73AE1A13">
                  <w:pPr>
                    <w:pStyle w:val="8"/>
                    <w:keepNext w:val="0"/>
                    <w:keepLines w:val="0"/>
                    <w:suppressLineNumbers w:val="0"/>
                    <w:bidi w:val="0"/>
                    <w:spacing w:before="0" w:beforeAutospacing="0" w:after="0" w:afterAutospacing="0"/>
                    <w:ind w:left="0" w:right="0"/>
                    <w:rPr>
                      <w:rFonts w:hint="default"/>
                    </w:rPr>
                  </w:pPr>
                  <w:r>
                    <w:rPr>
                      <w:rFonts w:hint="default"/>
                    </w:rPr>
                    <w:t>危险</w:t>
                  </w:r>
                </w:p>
                <w:p w14:paraId="7D91B458">
                  <w:pPr>
                    <w:pStyle w:val="8"/>
                    <w:keepNext w:val="0"/>
                    <w:keepLines w:val="0"/>
                    <w:suppressLineNumbers w:val="0"/>
                    <w:bidi w:val="0"/>
                    <w:spacing w:before="0" w:beforeAutospacing="0" w:after="0" w:afterAutospacing="0"/>
                    <w:ind w:left="0" w:right="0"/>
                    <w:rPr>
                      <w:rFonts w:hint="default"/>
                    </w:rPr>
                  </w:pPr>
                  <w:r>
                    <w:rPr>
                      <w:rFonts w:hint="default"/>
                    </w:rPr>
                    <w:t>废物</w:t>
                  </w:r>
                </w:p>
                <w:p w14:paraId="53F7D591">
                  <w:pPr>
                    <w:pStyle w:val="8"/>
                    <w:keepNext w:val="0"/>
                    <w:keepLines w:val="0"/>
                    <w:suppressLineNumbers w:val="0"/>
                    <w:bidi w:val="0"/>
                    <w:spacing w:before="0" w:beforeAutospacing="0" w:after="0" w:afterAutospacing="0"/>
                    <w:ind w:left="0" w:right="0"/>
                    <w:rPr>
                      <w:rFonts w:hint="default"/>
                    </w:rPr>
                  </w:pPr>
                  <w:r>
                    <w:rPr>
                      <w:rFonts w:hint="default"/>
                    </w:rPr>
                    <w:t>类别</w:t>
                  </w:r>
                </w:p>
              </w:tc>
              <w:tc>
                <w:tcPr>
                  <w:tcW w:w="834" w:type="pct"/>
                  <w:vAlign w:val="center"/>
                </w:tcPr>
                <w:p w14:paraId="6C3D8CF4">
                  <w:pPr>
                    <w:pStyle w:val="8"/>
                    <w:keepNext w:val="0"/>
                    <w:keepLines w:val="0"/>
                    <w:suppressLineNumbers w:val="0"/>
                    <w:bidi w:val="0"/>
                    <w:spacing w:before="0" w:beforeAutospacing="0" w:after="0" w:afterAutospacing="0"/>
                    <w:ind w:left="0" w:right="0"/>
                    <w:rPr>
                      <w:rFonts w:hint="default"/>
                    </w:rPr>
                  </w:pPr>
                  <w:r>
                    <w:rPr>
                      <w:rFonts w:hint="default"/>
                    </w:rPr>
                    <w:t>危险</w:t>
                  </w:r>
                </w:p>
                <w:p w14:paraId="00DA6ADA">
                  <w:pPr>
                    <w:pStyle w:val="8"/>
                    <w:keepNext w:val="0"/>
                    <w:keepLines w:val="0"/>
                    <w:suppressLineNumbers w:val="0"/>
                    <w:bidi w:val="0"/>
                    <w:spacing w:before="0" w:beforeAutospacing="0" w:after="0" w:afterAutospacing="0"/>
                    <w:ind w:left="0" w:right="0"/>
                    <w:rPr>
                      <w:rFonts w:hint="default"/>
                    </w:rPr>
                  </w:pPr>
                  <w:r>
                    <w:rPr>
                      <w:rFonts w:hint="default"/>
                    </w:rPr>
                    <w:t>废物</w:t>
                  </w:r>
                </w:p>
                <w:p w14:paraId="3A87F374">
                  <w:pPr>
                    <w:pStyle w:val="8"/>
                    <w:keepNext w:val="0"/>
                    <w:keepLines w:val="0"/>
                    <w:suppressLineNumbers w:val="0"/>
                    <w:bidi w:val="0"/>
                    <w:spacing w:before="0" w:beforeAutospacing="0" w:after="0" w:afterAutospacing="0"/>
                    <w:ind w:left="0" w:right="0"/>
                    <w:rPr>
                      <w:rFonts w:hint="default"/>
                    </w:rPr>
                  </w:pPr>
                  <w:r>
                    <w:rPr>
                      <w:rFonts w:hint="default"/>
                    </w:rPr>
                    <w:t>代码</w:t>
                  </w:r>
                </w:p>
              </w:tc>
              <w:tc>
                <w:tcPr>
                  <w:tcW w:w="549" w:type="pct"/>
                  <w:vAlign w:val="center"/>
                </w:tcPr>
                <w:p w14:paraId="2ACAF0DF">
                  <w:pPr>
                    <w:pStyle w:val="8"/>
                    <w:keepNext w:val="0"/>
                    <w:keepLines w:val="0"/>
                    <w:suppressLineNumbers w:val="0"/>
                    <w:bidi w:val="0"/>
                    <w:spacing w:before="0" w:beforeAutospacing="0" w:after="0" w:afterAutospacing="0"/>
                    <w:ind w:left="0" w:right="0"/>
                    <w:rPr>
                      <w:rFonts w:hint="default"/>
                    </w:rPr>
                  </w:pPr>
                  <w:r>
                    <w:rPr>
                      <w:rFonts w:hint="default"/>
                    </w:rPr>
                    <w:t>产生</w:t>
                  </w:r>
                </w:p>
                <w:p w14:paraId="574E17CA">
                  <w:pPr>
                    <w:pStyle w:val="8"/>
                    <w:keepNext w:val="0"/>
                    <w:keepLines w:val="0"/>
                    <w:suppressLineNumbers w:val="0"/>
                    <w:bidi w:val="0"/>
                    <w:spacing w:before="0" w:beforeAutospacing="0" w:after="0" w:afterAutospacing="0"/>
                    <w:ind w:left="0" w:right="0"/>
                    <w:rPr>
                      <w:rFonts w:hint="default"/>
                    </w:rPr>
                  </w:pPr>
                  <w:r>
                    <w:rPr>
                      <w:rFonts w:hint="default"/>
                    </w:rPr>
                    <w:t>量（t/a）</w:t>
                  </w:r>
                </w:p>
              </w:tc>
              <w:tc>
                <w:tcPr>
                  <w:tcW w:w="581" w:type="pct"/>
                  <w:vAlign w:val="center"/>
                </w:tcPr>
                <w:p w14:paraId="5D0E3F90">
                  <w:pPr>
                    <w:pStyle w:val="8"/>
                    <w:keepNext w:val="0"/>
                    <w:keepLines w:val="0"/>
                    <w:suppressLineNumbers w:val="0"/>
                    <w:bidi w:val="0"/>
                    <w:spacing w:before="0" w:beforeAutospacing="0" w:after="0" w:afterAutospacing="0"/>
                    <w:ind w:left="0" w:right="0"/>
                    <w:rPr>
                      <w:rFonts w:hint="default"/>
                    </w:rPr>
                  </w:pPr>
                  <w:r>
                    <w:rPr>
                      <w:rFonts w:hint="default"/>
                    </w:rPr>
                    <w:t>产生</w:t>
                  </w:r>
                </w:p>
                <w:p w14:paraId="425C86DE">
                  <w:pPr>
                    <w:pStyle w:val="8"/>
                    <w:keepNext w:val="0"/>
                    <w:keepLines w:val="0"/>
                    <w:suppressLineNumbers w:val="0"/>
                    <w:bidi w:val="0"/>
                    <w:spacing w:before="0" w:beforeAutospacing="0" w:after="0" w:afterAutospacing="0"/>
                    <w:ind w:left="0" w:right="0"/>
                    <w:rPr>
                      <w:rFonts w:hint="default"/>
                    </w:rPr>
                  </w:pPr>
                  <w:r>
                    <w:rPr>
                      <w:rFonts w:hint="default"/>
                    </w:rPr>
                    <w:t>工序及装置</w:t>
                  </w:r>
                </w:p>
              </w:tc>
              <w:tc>
                <w:tcPr>
                  <w:tcW w:w="337" w:type="pct"/>
                  <w:vAlign w:val="center"/>
                </w:tcPr>
                <w:p w14:paraId="70BB35C7">
                  <w:pPr>
                    <w:pStyle w:val="8"/>
                    <w:keepNext w:val="0"/>
                    <w:keepLines w:val="0"/>
                    <w:suppressLineNumbers w:val="0"/>
                    <w:bidi w:val="0"/>
                    <w:spacing w:before="0" w:beforeAutospacing="0" w:after="0" w:afterAutospacing="0"/>
                    <w:ind w:left="0" w:right="0"/>
                    <w:rPr>
                      <w:rFonts w:hint="default"/>
                    </w:rPr>
                  </w:pPr>
                  <w:r>
                    <w:rPr>
                      <w:rFonts w:hint="default"/>
                    </w:rPr>
                    <w:t>形态</w:t>
                  </w:r>
                </w:p>
              </w:tc>
              <w:tc>
                <w:tcPr>
                  <w:tcW w:w="314" w:type="pct"/>
                  <w:vAlign w:val="center"/>
                </w:tcPr>
                <w:p w14:paraId="679EE2C7">
                  <w:pPr>
                    <w:pStyle w:val="8"/>
                    <w:keepNext w:val="0"/>
                    <w:keepLines w:val="0"/>
                    <w:suppressLineNumbers w:val="0"/>
                    <w:bidi w:val="0"/>
                    <w:spacing w:before="0" w:beforeAutospacing="0" w:after="0" w:afterAutospacing="0"/>
                    <w:ind w:left="0" w:right="0"/>
                    <w:rPr>
                      <w:rFonts w:hint="default"/>
                    </w:rPr>
                  </w:pPr>
                  <w:r>
                    <w:rPr>
                      <w:rFonts w:hint="default"/>
                    </w:rPr>
                    <w:t>产废周期</w:t>
                  </w:r>
                </w:p>
              </w:tc>
              <w:tc>
                <w:tcPr>
                  <w:tcW w:w="415" w:type="pct"/>
                  <w:vAlign w:val="center"/>
                </w:tcPr>
                <w:p w14:paraId="39C07831">
                  <w:pPr>
                    <w:pStyle w:val="8"/>
                    <w:keepNext w:val="0"/>
                    <w:keepLines w:val="0"/>
                    <w:suppressLineNumbers w:val="0"/>
                    <w:bidi w:val="0"/>
                    <w:spacing w:before="0" w:beforeAutospacing="0" w:after="0" w:afterAutospacing="0"/>
                    <w:ind w:left="0" w:right="0"/>
                    <w:rPr>
                      <w:rFonts w:hint="default"/>
                    </w:rPr>
                  </w:pPr>
                  <w:r>
                    <w:rPr>
                      <w:rFonts w:hint="default"/>
                    </w:rPr>
                    <w:t>危险</w:t>
                  </w:r>
                </w:p>
                <w:p w14:paraId="195C544A">
                  <w:pPr>
                    <w:pStyle w:val="8"/>
                    <w:keepNext w:val="0"/>
                    <w:keepLines w:val="0"/>
                    <w:suppressLineNumbers w:val="0"/>
                    <w:bidi w:val="0"/>
                    <w:spacing w:before="0" w:beforeAutospacing="0" w:after="0" w:afterAutospacing="0"/>
                    <w:ind w:left="0" w:right="0"/>
                    <w:rPr>
                      <w:rFonts w:hint="default"/>
                    </w:rPr>
                  </w:pPr>
                  <w:r>
                    <w:rPr>
                      <w:rFonts w:hint="default"/>
                    </w:rPr>
                    <w:t>特性</w:t>
                  </w:r>
                </w:p>
              </w:tc>
              <w:tc>
                <w:tcPr>
                  <w:tcW w:w="737" w:type="pct"/>
                  <w:vAlign w:val="center"/>
                </w:tcPr>
                <w:p w14:paraId="44EEBDC3">
                  <w:pPr>
                    <w:pStyle w:val="8"/>
                    <w:keepNext w:val="0"/>
                    <w:keepLines w:val="0"/>
                    <w:suppressLineNumbers w:val="0"/>
                    <w:bidi w:val="0"/>
                    <w:spacing w:before="0" w:beforeAutospacing="0" w:after="0" w:afterAutospacing="0"/>
                    <w:ind w:left="0" w:right="0"/>
                    <w:rPr>
                      <w:rFonts w:hint="default"/>
                    </w:rPr>
                  </w:pPr>
                  <w:r>
                    <w:rPr>
                      <w:rFonts w:hint="default"/>
                    </w:rPr>
                    <w:t>污染防治措施</w:t>
                  </w:r>
                </w:p>
              </w:tc>
            </w:tr>
            <w:tr w14:paraId="13D58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14:paraId="5A39787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废润滑油</w:t>
                  </w:r>
                </w:p>
              </w:tc>
              <w:tc>
                <w:tcPr>
                  <w:tcW w:w="590" w:type="pct"/>
                  <w:vAlign w:val="center"/>
                </w:tcPr>
                <w:p w14:paraId="0035C426">
                  <w:pPr>
                    <w:pStyle w:val="8"/>
                    <w:keepNext w:val="0"/>
                    <w:keepLines w:val="0"/>
                    <w:suppressLineNumbers w:val="0"/>
                    <w:bidi w:val="0"/>
                    <w:spacing w:before="0" w:beforeAutospacing="0" w:after="0" w:afterAutospacing="0"/>
                    <w:ind w:left="0" w:right="0"/>
                    <w:rPr>
                      <w:rFonts w:hint="default"/>
                    </w:rPr>
                  </w:pPr>
                  <w:r>
                    <w:rPr>
                      <w:rFonts w:hint="default"/>
                    </w:rPr>
                    <w:t>HW08</w:t>
                  </w:r>
                </w:p>
                <w:p w14:paraId="04EE89EA">
                  <w:pPr>
                    <w:pStyle w:val="8"/>
                    <w:keepNext w:val="0"/>
                    <w:keepLines w:val="0"/>
                    <w:suppressLineNumbers w:val="0"/>
                    <w:bidi w:val="0"/>
                    <w:spacing w:before="0" w:beforeAutospacing="0" w:after="0" w:afterAutospacing="0"/>
                    <w:ind w:left="0" w:right="0"/>
                    <w:rPr>
                      <w:rFonts w:hint="default"/>
                    </w:rPr>
                  </w:pPr>
                  <w:r>
                    <w:rPr>
                      <w:rFonts w:hint="eastAsia"/>
                      <w:lang w:eastAsia="zh-CN"/>
                    </w:rPr>
                    <w:t>废润滑油</w:t>
                  </w:r>
                  <w:r>
                    <w:rPr>
                      <w:rFonts w:hint="default"/>
                    </w:rPr>
                    <w:t>与含矿物油废物</w:t>
                  </w:r>
                </w:p>
              </w:tc>
              <w:tc>
                <w:tcPr>
                  <w:tcW w:w="834" w:type="pct"/>
                  <w:vAlign w:val="center"/>
                </w:tcPr>
                <w:p w14:paraId="3B6A05AF">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900-</w:t>
                  </w:r>
                  <w:r>
                    <w:rPr>
                      <w:rFonts w:hint="eastAsia"/>
                      <w:lang w:val="en-US" w:eastAsia="zh-CN"/>
                    </w:rPr>
                    <w:t>217</w:t>
                  </w:r>
                  <w:r>
                    <w:rPr>
                      <w:rFonts w:hint="default"/>
                      <w:lang w:val="en-US" w:eastAsia="zh-CN"/>
                    </w:rPr>
                    <w:t>-08</w:t>
                  </w:r>
                </w:p>
              </w:tc>
              <w:tc>
                <w:tcPr>
                  <w:tcW w:w="549" w:type="pct"/>
                  <w:shd w:val="clear" w:color="auto" w:fill="auto"/>
                  <w:vAlign w:val="center"/>
                </w:tcPr>
                <w:p w14:paraId="1259B49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0.3</w:t>
                  </w:r>
                </w:p>
              </w:tc>
              <w:tc>
                <w:tcPr>
                  <w:tcW w:w="581" w:type="pct"/>
                  <w:vAlign w:val="center"/>
                </w:tcPr>
                <w:p w14:paraId="7A138C85">
                  <w:pPr>
                    <w:pStyle w:val="8"/>
                    <w:keepNext w:val="0"/>
                    <w:keepLines w:val="0"/>
                    <w:suppressLineNumbers w:val="0"/>
                    <w:bidi w:val="0"/>
                    <w:spacing w:before="0" w:beforeAutospacing="0" w:after="0" w:afterAutospacing="0"/>
                    <w:ind w:left="0" w:right="0"/>
                    <w:rPr>
                      <w:rFonts w:hint="default"/>
                    </w:rPr>
                  </w:pPr>
                  <w:r>
                    <w:rPr>
                      <w:rFonts w:hint="default"/>
                    </w:rPr>
                    <w:t>机器维修工序</w:t>
                  </w:r>
                </w:p>
              </w:tc>
              <w:tc>
                <w:tcPr>
                  <w:tcW w:w="337" w:type="pct"/>
                  <w:vAlign w:val="center"/>
                </w:tcPr>
                <w:p w14:paraId="6983B402">
                  <w:pPr>
                    <w:pStyle w:val="8"/>
                    <w:keepNext w:val="0"/>
                    <w:keepLines w:val="0"/>
                    <w:suppressLineNumbers w:val="0"/>
                    <w:bidi w:val="0"/>
                    <w:spacing w:before="0" w:beforeAutospacing="0" w:after="0" w:afterAutospacing="0"/>
                    <w:ind w:left="0" w:right="0"/>
                    <w:rPr>
                      <w:rFonts w:hint="default"/>
                    </w:rPr>
                  </w:pPr>
                  <w:r>
                    <w:rPr>
                      <w:rFonts w:hint="default"/>
                    </w:rPr>
                    <w:t>液态</w:t>
                  </w:r>
                </w:p>
              </w:tc>
              <w:tc>
                <w:tcPr>
                  <w:tcW w:w="314" w:type="pct"/>
                  <w:vAlign w:val="center"/>
                </w:tcPr>
                <w:p w14:paraId="5F016E97">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一年一次</w:t>
                  </w:r>
                </w:p>
              </w:tc>
              <w:tc>
                <w:tcPr>
                  <w:tcW w:w="415" w:type="pct"/>
                  <w:vAlign w:val="center"/>
                </w:tcPr>
                <w:p w14:paraId="52B93C43">
                  <w:pPr>
                    <w:pStyle w:val="8"/>
                    <w:keepNext w:val="0"/>
                    <w:keepLines w:val="0"/>
                    <w:suppressLineNumbers w:val="0"/>
                    <w:bidi w:val="0"/>
                    <w:spacing w:before="0" w:beforeAutospacing="0" w:after="0" w:afterAutospacing="0"/>
                    <w:ind w:left="0" w:right="0"/>
                    <w:rPr>
                      <w:rFonts w:hint="default"/>
                    </w:rPr>
                  </w:pPr>
                  <w:r>
                    <w:rPr>
                      <w:rFonts w:hint="default"/>
                    </w:rPr>
                    <w:t>T</w:t>
                  </w:r>
                  <w:r>
                    <w:rPr>
                      <w:rFonts w:hint="eastAsia"/>
                      <w:lang w:val="en-US" w:eastAsia="zh-CN"/>
                    </w:rPr>
                    <w:t>,</w:t>
                  </w:r>
                  <w:r>
                    <w:rPr>
                      <w:rFonts w:hint="default"/>
                    </w:rPr>
                    <w:t>I</w:t>
                  </w:r>
                </w:p>
              </w:tc>
              <w:tc>
                <w:tcPr>
                  <w:tcW w:w="1087" w:type="dxa"/>
                  <w:vAlign w:val="center"/>
                </w:tcPr>
                <w:p w14:paraId="37E3FA76">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委托有处理资质的单位处理</w:t>
                  </w:r>
                </w:p>
              </w:tc>
            </w:tr>
            <w:tr w14:paraId="51D90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14:paraId="16F356C8">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废油桶</w:t>
                  </w:r>
                </w:p>
              </w:tc>
              <w:tc>
                <w:tcPr>
                  <w:tcW w:w="590" w:type="pct"/>
                  <w:vAlign w:val="center"/>
                </w:tcPr>
                <w:p w14:paraId="664583A9">
                  <w:pPr>
                    <w:pStyle w:val="8"/>
                    <w:keepNext w:val="0"/>
                    <w:keepLines w:val="0"/>
                    <w:suppressLineNumbers w:val="0"/>
                    <w:bidi w:val="0"/>
                    <w:spacing w:before="0" w:beforeAutospacing="0" w:after="0" w:afterAutospacing="0"/>
                    <w:ind w:left="0" w:right="0"/>
                    <w:rPr>
                      <w:rFonts w:hint="default"/>
                    </w:rPr>
                  </w:pPr>
                  <w:r>
                    <w:rPr>
                      <w:rFonts w:hint="default"/>
                    </w:rPr>
                    <w:t>HW08</w:t>
                  </w:r>
                </w:p>
                <w:p w14:paraId="70EC33CE">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废润滑油</w:t>
                  </w:r>
                  <w:r>
                    <w:rPr>
                      <w:rFonts w:hint="default"/>
                    </w:rPr>
                    <w:t>与含矿物油废物</w:t>
                  </w:r>
                </w:p>
              </w:tc>
              <w:tc>
                <w:tcPr>
                  <w:tcW w:w="834" w:type="pct"/>
                  <w:vAlign w:val="center"/>
                </w:tcPr>
                <w:p w14:paraId="5F80EED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900-249-08</w:t>
                  </w:r>
                </w:p>
              </w:tc>
              <w:tc>
                <w:tcPr>
                  <w:tcW w:w="549" w:type="pct"/>
                  <w:shd w:val="clear" w:color="auto" w:fill="auto"/>
                  <w:vAlign w:val="center"/>
                </w:tcPr>
                <w:p w14:paraId="48F6758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0.01</w:t>
                  </w:r>
                </w:p>
              </w:tc>
              <w:tc>
                <w:tcPr>
                  <w:tcW w:w="581" w:type="pct"/>
                  <w:vAlign w:val="center"/>
                </w:tcPr>
                <w:p w14:paraId="6B7C2F4B">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废弃包装物</w:t>
                  </w:r>
                </w:p>
              </w:tc>
              <w:tc>
                <w:tcPr>
                  <w:tcW w:w="337" w:type="pct"/>
                  <w:vAlign w:val="center"/>
                </w:tcPr>
                <w:p w14:paraId="2C2C9429">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固态</w:t>
                  </w:r>
                </w:p>
              </w:tc>
              <w:tc>
                <w:tcPr>
                  <w:tcW w:w="314" w:type="pct"/>
                  <w:vAlign w:val="center"/>
                </w:tcPr>
                <w:p w14:paraId="70086DB2">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一年一次</w:t>
                  </w:r>
                </w:p>
              </w:tc>
              <w:tc>
                <w:tcPr>
                  <w:tcW w:w="415" w:type="pct"/>
                  <w:vAlign w:val="center"/>
                </w:tcPr>
                <w:p w14:paraId="3B062188">
                  <w:pPr>
                    <w:pStyle w:val="8"/>
                    <w:keepNext w:val="0"/>
                    <w:keepLines w:val="0"/>
                    <w:suppressLineNumbers w:val="0"/>
                    <w:bidi w:val="0"/>
                    <w:spacing w:before="0" w:beforeAutospacing="0" w:after="0" w:afterAutospacing="0"/>
                    <w:ind w:left="0" w:right="0"/>
                    <w:rPr>
                      <w:rFonts w:hint="default"/>
                      <w:lang w:val="en-US" w:eastAsia="zh-CN"/>
                    </w:rPr>
                  </w:pPr>
                  <w:r>
                    <w:rPr>
                      <w:rFonts w:hint="default"/>
                    </w:rPr>
                    <w:t>T</w:t>
                  </w:r>
                  <w:r>
                    <w:rPr>
                      <w:rFonts w:hint="eastAsia"/>
                      <w:lang w:val="en-US" w:eastAsia="zh-CN"/>
                    </w:rPr>
                    <w:t>,</w:t>
                  </w:r>
                  <w:r>
                    <w:rPr>
                      <w:rFonts w:hint="default"/>
                    </w:rPr>
                    <w:t>I</w:t>
                  </w:r>
                </w:p>
              </w:tc>
              <w:tc>
                <w:tcPr>
                  <w:tcW w:w="1087" w:type="dxa"/>
                  <w:vAlign w:val="center"/>
                </w:tcPr>
                <w:p w14:paraId="110B410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委托有处理资质的单位处理</w:t>
                  </w:r>
                </w:p>
              </w:tc>
            </w:tr>
            <w:tr w14:paraId="2AD1F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7" w:type="pct"/>
                  <w:vAlign w:val="center"/>
                </w:tcPr>
                <w:p w14:paraId="509E8B96">
                  <w:pPr>
                    <w:pStyle w:val="8"/>
                    <w:keepNext w:val="0"/>
                    <w:keepLines w:val="0"/>
                    <w:suppressLineNumbers w:val="0"/>
                    <w:bidi w:val="0"/>
                    <w:spacing w:before="0" w:beforeAutospacing="0" w:after="0" w:afterAutospacing="0"/>
                    <w:ind w:left="0" w:right="0"/>
                    <w:rPr>
                      <w:rFonts w:hint="eastAsia"/>
                      <w:lang w:val="en-US" w:eastAsia="zh-CN"/>
                    </w:rPr>
                  </w:pPr>
                  <w:r>
                    <w:rPr>
                      <w:rFonts w:hint="eastAsia"/>
                    </w:rPr>
                    <w:t xml:space="preserve">废弃的含油抹布、劳保用品  </w:t>
                  </w:r>
                  <w:r>
                    <w:rPr>
                      <w:rFonts w:hint="eastAsia"/>
                      <w:lang w:val="en-US" w:eastAsia="zh-CN"/>
                    </w:rPr>
                    <w:t xml:space="preserve"> </w:t>
                  </w:r>
                </w:p>
              </w:tc>
              <w:tc>
                <w:tcPr>
                  <w:tcW w:w="590" w:type="pct"/>
                  <w:shd w:val="clear" w:color="auto" w:fill="auto"/>
                  <w:vAlign w:val="center"/>
                </w:tcPr>
                <w:p w14:paraId="552604C8">
                  <w:pPr>
                    <w:pStyle w:val="8"/>
                    <w:keepNext w:val="0"/>
                    <w:keepLines w:val="0"/>
                    <w:suppressLineNumbers w:val="0"/>
                    <w:bidi w:val="0"/>
                    <w:spacing w:before="0" w:beforeAutospacing="0" w:after="0" w:afterAutospacing="0"/>
                    <w:ind w:left="0" w:right="0"/>
                    <w:rPr>
                      <w:rFonts w:hint="default"/>
                      <w:lang w:val="en-US" w:eastAsia="zh-CN"/>
                    </w:rPr>
                  </w:pPr>
                  <w:bookmarkStart w:id="17" w:name="_GoBack"/>
                  <w:r>
                    <w:rPr>
                      <w:rFonts w:hint="default"/>
                      <w:lang w:val="en-US" w:eastAsia="zh-CN"/>
                    </w:rPr>
                    <w:t>HW49</w:t>
                  </w:r>
                  <w:r>
                    <w:rPr>
                      <w:rFonts w:hint="eastAsia"/>
                      <w:lang w:val="en-US" w:eastAsia="zh-CN"/>
                    </w:rPr>
                    <w:t>其他废物</w:t>
                  </w:r>
                  <w:bookmarkEnd w:id="17"/>
                </w:p>
              </w:tc>
              <w:tc>
                <w:tcPr>
                  <w:tcW w:w="834" w:type="pct"/>
                  <w:vAlign w:val="center"/>
                </w:tcPr>
                <w:p w14:paraId="64CE7F65">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900-041-49 </w:t>
                  </w:r>
                </w:p>
              </w:tc>
              <w:tc>
                <w:tcPr>
                  <w:tcW w:w="549" w:type="pct"/>
                  <w:shd w:val="clear" w:color="auto" w:fill="auto"/>
                  <w:vAlign w:val="center"/>
                </w:tcPr>
                <w:p w14:paraId="3542E4BF">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0.05</w:t>
                  </w:r>
                </w:p>
              </w:tc>
              <w:tc>
                <w:tcPr>
                  <w:tcW w:w="581" w:type="pct"/>
                  <w:vAlign w:val="center"/>
                </w:tcPr>
                <w:p w14:paraId="59ACAB79">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废弃的含油抹布、劳 保用品</w:t>
                  </w:r>
                </w:p>
              </w:tc>
              <w:tc>
                <w:tcPr>
                  <w:tcW w:w="337" w:type="pct"/>
                  <w:vAlign w:val="center"/>
                </w:tcPr>
                <w:p w14:paraId="50C1B28A">
                  <w:pPr>
                    <w:pStyle w:val="8"/>
                    <w:keepNext w:val="0"/>
                    <w:keepLines w:val="0"/>
                    <w:suppressLineNumbers w:val="0"/>
                    <w:bidi w:val="0"/>
                    <w:spacing w:before="0" w:beforeAutospacing="0" w:after="0" w:afterAutospacing="0"/>
                    <w:ind w:left="0" w:right="0"/>
                    <w:rPr>
                      <w:rFonts w:hint="eastAsia"/>
                      <w:lang w:eastAsia="zh-CN"/>
                    </w:rPr>
                  </w:pPr>
                  <w:r>
                    <w:rPr>
                      <w:rFonts w:hint="eastAsia"/>
                      <w:lang w:eastAsia="zh-CN"/>
                    </w:rPr>
                    <w:t>固态</w:t>
                  </w:r>
                </w:p>
              </w:tc>
              <w:tc>
                <w:tcPr>
                  <w:tcW w:w="314" w:type="pct"/>
                  <w:vAlign w:val="center"/>
                </w:tcPr>
                <w:p w14:paraId="314167E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一月一次</w:t>
                  </w:r>
                </w:p>
              </w:tc>
              <w:tc>
                <w:tcPr>
                  <w:tcW w:w="415" w:type="pct"/>
                  <w:vAlign w:val="center"/>
                </w:tcPr>
                <w:p w14:paraId="77A583A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T/In</w:t>
                  </w:r>
                </w:p>
              </w:tc>
              <w:tc>
                <w:tcPr>
                  <w:tcW w:w="1087" w:type="dxa"/>
                  <w:vAlign w:val="center"/>
                </w:tcPr>
                <w:p w14:paraId="42E4E897">
                  <w:pPr>
                    <w:pStyle w:val="8"/>
                    <w:keepNext w:val="0"/>
                    <w:keepLines w:val="0"/>
                    <w:suppressLineNumbers w:val="0"/>
                    <w:bidi w:val="0"/>
                    <w:spacing w:before="0" w:beforeAutospacing="0" w:after="0" w:afterAutospacing="0"/>
                    <w:ind w:left="0" w:right="0"/>
                    <w:rPr>
                      <w:rFonts w:hint="eastAsia"/>
                      <w:lang w:eastAsia="zh-CN"/>
                    </w:rPr>
                  </w:pPr>
                  <w:r>
                    <w:rPr>
                      <w:rFonts w:hint="eastAsia"/>
                      <w:lang w:val="en-US" w:eastAsia="zh-CN"/>
                    </w:rPr>
                    <w:t>委托有处理资质的单位处理</w:t>
                  </w:r>
                </w:p>
              </w:tc>
            </w:tr>
          </w:tbl>
          <w:p w14:paraId="10F04FC8">
            <w:pPr>
              <w:pStyle w:val="4"/>
              <w:suppressLineNumbers w:val="0"/>
              <w:bidi w:val="0"/>
              <w:spacing w:before="0" w:beforeAutospacing="0" w:after="0" w:afterAutospacing="0"/>
              <w:ind w:left="0" w:right="0"/>
              <w:rPr>
                <w:rFonts w:hint="eastAsia"/>
                <w:lang w:val="en-US" w:eastAsia="zh-CN"/>
              </w:rPr>
            </w:pPr>
            <w:r>
              <w:rPr>
                <w:rFonts w:hint="eastAsia"/>
                <w:lang w:val="en-US" w:eastAsia="zh-CN"/>
              </w:rPr>
              <w:t>4.4一般工业固废管理要求</w:t>
            </w:r>
          </w:p>
          <w:p w14:paraId="1D85DAC7">
            <w:pPr>
              <w:keepNext w:val="0"/>
              <w:keepLines w:val="0"/>
              <w:suppressLineNumbers w:val="0"/>
              <w:spacing w:before="0" w:beforeAutospacing="0" w:after="0" w:afterAutospacing="0"/>
              <w:ind w:left="0" w:right="0"/>
              <w:rPr>
                <w:rFonts w:hint="eastAsia"/>
                <w:lang w:val="en-US" w:eastAsia="zh-CN"/>
              </w:rPr>
            </w:pPr>
            <w:r>
              <w:rPr>
                <w:rFonts w:hint="eastAsia"/>
                <w:color w:val="auto"/>
                <w:lang w:val="en-US" w:eastAsia="zh-CN"/>
              </w:rPr>
              <w:t>根据《一般工业固体废物贮存和填埋污染控制标准》（GB18599-2020）设置辣椒粕全封闭车间，根</w:t>
            </w:r>
            <w:r>
              <w:rPr>
                <w:rFonts w:hint="eastAsia"/>
                <w:lang w:val="en-US" w:eastAsia="zh-CN"/>
              </w:rPr>
              <w:t>据《一般工业固体废物管理台账制定指南（试行）》要求，实施一般工业固体废物管理台账分级管理，记录主要固体废物的基础信息及流向信息，进一步记录固体废物产生、贮存及利用处置等详细信息，设置专人进行台账管理，防止遗失，一般工业固体废物管理台账保存期限不少于5年。</w:t>
            </w:r>
          </w:p>
          <w:p w14:paraId="73798E32">
            <w:pPr>
              <w:pStyle w:val="4"/>
              <w:suppressLineNumbers w:val="0"/>
              <w:bidi w:val="0"/>
              <w:spacing w:before="0" w:beforeAutospacing="0" w:after="0" w:afterAutospacing="0"/>
              <w:ind w:left="0" w:right="0"/>
              <w:rPr>
                <w:rFonts w:hint="eastAsia"/>
                <w:lang w:val="en-US" w:eastAsia="zh-CN"/>
              </w:rPr>
            </w:pPr>
            <w:r>
              <w:rPr>
                <w:rFonts w:hint="eastAsia"/>
                <w:lang w:val="en-US" w:eastAsia="zh-CN"/>
              </w:rPr>
              <w:t>4.5</w:t>
            </w:r>
            <w:r>
              <w:rPr>
                <w:rFonts w:hint="eastAsia"/>
              </w:rPr>
              <w:t>危险废物暂存设施</w:t>
            </w:r>
            <w:r>
              <w:rPr>
                <w:rFonts w:hint="eastAsia"/>
                <w:lang w:eastAsia="zh-CN"/>
              </w:rPr>
              <w:t>要求</w:t>
            </w:r>
          </w:p>
          <w:p w14:paraId="10201674">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）危险废物收集</w:t>
            </w:r>
          </w:p>
          <w:p w14:paraId="6AE285EB">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①危险废物的收集应制定详细的操作规程，包括适用范围、操作程序和方法、专用设备和工具、转移和交接、安全保障和应急防护等；</w:t>
            </w:r>
          </w:p>
          <w:p w14:paraId="083EF9A5">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②危险废物收集和转运作业人员应根据工作需要配备必要的个人防护装备，如手套、防护服或口罩等；</w:t>
            </w:r>
          </w:p>
          <w:p w14:paraId="698CA9EF">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③在危险废物的收集和转运过程中，应采取相应的安全防护和污染防治措施，包括防爆、防火、防中毒、防感染、防泄漏、防飞扬、防雨或其它防止污染环境的措施；</w:t>
            </w:r>
          </w:p>
          <w:p w14:paraId="49BF9F55">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④危险废物收集时应根据危险废物的种类、数量、危险特性、物理形态、运输要求等因素确定包装形式，具体包装应符合如下要求：</w:t>
            </w:r>
          </w:p>
          <w:p w14:paraId="714BD185">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包装材质要与危险废物相容，</w:t>
            </w:r>
            <w:r>
              <w:rPr>
                <w:rFonts w:hint="eastAsia"/>
                <w:color w:val="auto"/>
                <w:lang w:val="en-US" w:eastAsia="zh-CN"/>
              </w:rPr>
              <w:t>废润滑油采取铁桶储存、含油抹布及手套采取箱装、废油桶保证静置无滴漏</w:t>
            </w:r>
            <w:r>
              <w:rPr>
                <w:rFonts w:hint="eastAsia"/>
                <w:color w:val="auto"/>
                <w:lang w:eastAsia="zh-CN"/>
              </w:rPr>
              <w:t>；危险废物包装应能有效隔断危险废物迁移扩散途径，并达到防渗、防漏要求；包装好的危险废物应设置相应的标签，标签信息应填写完整；盛装过危险废物的包装袋或包装容器破损后应按危险废物进行管理和处置；危险废物还应根据《</w:t>
            </w:r>
            <w:r>
              <w:rPr>
                <w:rFonts w:hint="default"/>
                <w:color w:val="auto"/>
                <w:lang w:eastAsia="zh-CN"/>
              </w:rPr>
              <w:t>危险货物运输包装通用技术条件</w:t>
            </w:r>
            <w:r>
              <w:rPr>
                <w:rFonts w:hint="eastAsia"/>
                <w:color w:val="auto"/>
                <w:lang w:eastAsia="zh-CN"/>
              </w:rPr>
              <w:t>》（GB12463</w:t>
            </w:r>
            <w:r>
              <w:rPr>
                <w:rFonts w:hint="eastAsia"/>
                <w:color w:val="auto"/>
                <w:lang w:val="en-US" w:eastAsia="zh-CN"/>
              </w:rPr>
              <w:t>-2009</w:t>
            </w:r>
            <w:r>
              <w:rPr>
                <w:rFonts w:hint="eastAsia"/>
                <w:color w:val="auto"/>
                <w:lang w:eastAsia="zh-CN"/>
              </w:rPr>
              <w:t>）的有关要求进行运输包装。</w:t>
            </w:r>
          </w:p>
          <w:p w14:paraId="438FC3E8">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）危险废物的贮存</w:t>
            </w:r>
          </w:p>
          <w:p w14:paraId="50B91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①</w:t>
            </w:r>
            <w:r>
              <w:rPr>
                <w:rFonts w:hint="eastAsia"/>
                <w:color w:val="auto"/>
                <w:spacing w:val="0"/>
                <w:kern w:val="0"/>
                <w:position w:val="0"/>
                <w:sz w:val="24"/>
                <w:highlight w:val="none"/>
                <w:lang w:val="en-US" w:eastAsia="zh-CN"/>
              </w:rPr>
              <w:t>贮存设施应根据危险废物的形态、物理化学性质、包装形式和污染物迁移途径，采取必要的防风、防晒、防雨、防漏、防渗、防腐以及其他环境污染防治措施，不应露天堆放危险废物。</w:t>
            </w:r>
          </w:p>
          <w:p w14:paraId="23C8B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pacing w:val="0"/>
                <w:kern w:val="0"/>
                <w:position w:val="0"/>
                <w:sz w:val="24"/>
                <w:highlight w:val="none"/>
                <w:lang w:val="en-US" w:eastAsia="zh-CN"/>
              </w:rPr>
            </w:pPr>
            <w:r>
              <w:rPr>
                <w:rFonts w:hint="default"/>
                <w:color w:val="auto"/>
                <w:spacing w:val="0"/>
                <w:kern w:val="0"/>
                <w:position w:val="0"/>
                <w:sz w:val="24"/>
                <w:highlight w:val="none"/>
              </w:rPr>
              <w:t>②</w:t>
            </w:r>
            <w:r>
              <w:rPr>
                <w:rFonts w:hint="eastAsia"/>
                <w:color w:val="auto"/>
                <w:spacing w:val="0"/>
                <w:kern w:val="0"/>
                <w:position w:val="0"/>
                <w:sz w:val="24"/>
                <w:highlight w:val="none"/>
                <w:lang w:val="en-US" w:eastAsia="zh-CN"/>
              </w:rPr>
              <w:t>贮存设施应根据危险废物的类别、数量、形态、物理化学性质和污染防治等要求设置必要的贮存分区，避免不相容的危险废物接触、混合。</w:t>
            </w:r>
          </w:p>
          <w:p w14:paraId="0C3B3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③</w:t>
            </w:r>
            <w:r>
              <w:rPr>
                <w:rFonts w:hint="eastAsia"/>
                <w:color w:val="auto"/>
                <w:spacing w:val="0"/>
                <w:kern w:val="0"/>
                <w:position w:val="0"/>
                <w:sz w:val="24"/>
                <w:highlight w:val="none"/>
                <w:lang w:val="en-US" w:eastAsia="zh-CN"/>
              </w:rPr>
              <w:t>贮存设施或贮存分区内地面、墙面裙脚、堵截泄漏的围堰、接触危险废物的隔板和墙体等应采用坚固的材料建造，表面无裂缝。</w:t>
            </w:r>
          </w:p>
          <w:p w14:paraId="2318AA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④</w:t>
            </w:r>
            <w:r>
              <w:rPr>
                <w:rFonts w:hint="eastAsia"/>
                <w:color w:val="auto"/>
                <w:spacing w:val="0"/>
                <w:kern w:val="0"/>
                <w:position w:val="0"/>
                <w:sz w:val="24"/>
                <w:highlight w:val="none"/>
                <w:lang w:val="en-US" w:eastAsia="zh-CN"/>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color w:val="auto"/>
                <w:spacing w:val="0"/>
                <w:kern w:val="0"/>
                <w:position w:val="0"/>
                <w:sz w:val="24"/>
                <w:highlight w:val="none"/>
                <w:lang w:val="en-US" w:eastAsia="zh-CN"/>
              </w:rPr>
              <w:t>1m</w:t>
            </w:r>
            <w:r>
              <w:rPr>
                <w:rFonts w:hint="eastAsia"/>
                <w:color w:val="auto"/>
                <w:spacing w:val="0"/>
                <w:kern w:val="0"/>
                <w:position w:val="0"/>
                <w:sz w:val="24"/>
                <w:highlight w:val="none"/>
                <w:lang w:val="en-US" w:eastAsia="zh-CN"/>
              </w:rPr>
              <w:t>厚黏土层（渗透系数不大于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-7</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），或至少</w:t>
            </w:r>
            <w:r>
              <w:rPr>
                <w:rFonts w:hint="default"/>
                <w:color w:val="auto"/>
                <w:spacing w:val="0"/>
                <w:kern w:val="0"/>
                <w:position w:val="0"/>
                <w:sz w:val="24"/>
                <w:highlight w:val="none"/>
                <w:lang w:val="en-US" w:eastAsia="zh-CN"/>
              </w:rPr>
              <w:t>2mm</w:t>
            </w:r>
            <w:r>
              <w:rPr>
                <w:rFonts w:hint="eastAsia"/>
                <w:color w:val="auto"/>
                <w:spacing w:val="0"/>
                <w:kern w:val="0"/>
                <w:position w:val="0"/>
                <w:sz w:val="24"/>
                <w:highlight w:val="none"/>
                <w:lang w:val="en-US" w:eastAsia="zh-CN"/>
              </w:rPr>
              <w:t>厚高密度聚乙烯膜等人工防渗材料（渗透系数不大于</w:t>
            </w:r>
            <w:r>
              <w:rPr>
                <w:rFonts w:hint="default"/>
                <w:color w:val="auto"/>
                <w:spacing w:val="0"/>
                <w:kern w:val="0"/>
                <w:position w:val="0"/>
                <w:sz w:val="24"/>
                <w:highlight w:val="none"/>
                <w:lang w:val="en-US" w:eastAsia="zh-CN"/>
              </w:rPr>
              <w:t>10</w:t>
            </w:r>
            <w:r>
              <w:rPr>
                <w:rFonts w:hint="default"/>
                <w:color w:val="auto"/>
                <w:spacing w:val="0"/>
                <w:kern w:val="0"/>
                <w:position w:val="0"/>
                <w:sz w:val="24"/>
                <w:highlight w:val="none"/>
                <w:vertAlign w:val="superscript"/>
                <w:lang w:val="en-US" w:eastAsia="zh-CN"/>
              </w:rPr>
              <w:t>-10</w:t>
            </w:r>
            <w:r>
              <w:rPr>
                <w:rFonts w:hint="default"/>
                <w:color w:val="auto"/>
                <w:spacing w:val="0"/>
                <w:kern w:val="0"/>
                <w:position w:val="0"/>
                <w:sz w:val="24"/>
                <w:highlight w:val="none"/>
                <w:lang w:val="en-US" w:eastAsia="zh-CN"/>
              </w:rPr>
              <w:t>cm/s</w:t>
            </w:r>
            <w:r>
              <w:rPr>
                <w:rFonts w:hint="eastAsia"/>
                <w:color w:val="auto"/>
                <w:spacing w:val="0"/>
                <w:kern w:val="0"/>
                <w:position w:val="0"/>
                <w:sz w:val="24"/>
                <w:highlight w:val="none"/>
                <w:lang w:val="en-US" w:eastAsia="zh-CN"/>
              </w:rPr>
              <w:t>），或其他防渗性能等效的材料。</w:t>
            </w:r>
          </w:p>
          <w:p w14:paraId="4934BD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⑤</w:t>
            </w:r>
            <w:r>
              <w:rPr>
                <w:rFonts w:hint="eastAsia"/>
                <w:color w:val="auto"/>
                <w:spacing w:val="0"/>
                <w:kern w:val="0"/>
                <w:position w:val="0"/>
                <w:sz w:val="24"/>
                <w:highlight w:val="none"/>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color w:val="auto"/>
                <w:spacing w:val="0"/>
                <w:kern w:val="0"/>
                <w:position w:val="0"/>
                <w:sz w:val="24"/>
                <w:highlight w:val="none"/>
              </w:rPr>
              <w:t>。</w:t>
            </w:r>
          </w:p>
          <w:p w14:paraId="7B1BE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pacing w:val="0"/>
                <w:kern w:val="0"/>
                <w:position w:val="0"/>
                <w:sz w:val="24"/>
                <w:highlight w:val="none"/>
              </w:rPr>
            </w:pPr>
            <w:r>
              <w:rPr>
                <w:rFonts w:hint="default"/>
                <w:color w:val="auto"/>
                <w:spacing w:val="0"/>
                <w:kern w:val="0"/>
                <w:position w:val="0"/>
                <w:sz w:val="24"/>
                <w:highlight w:val="none"/>
              </w:rPr>
              <w:t>⑥</w:t>
            </w:r>
            <w:r>
              <w:rPr>
                <w:rFonts w:hint="eastAsia"/>
                <w:color w:val="auto"/>
                <w:spacing w:val="0"/>
                <w:kern w:val="0"/>
                <w:position w:val="0"/>
                <w:sz w:val="24"/>
                <w:highlight w:val="none"/>
                <w:lang w:val="en-US" w:eastAsia="zh-CN"/>
              </w:rPr>
              <w:t>贮存设施应采取技术和管理措施防止无关人员进入</w:t>
            </w:r>
            <w:r>
              <w:rPr>
                <w:rFonts w:hint="default"/>
                <w:color w:val="auto"/>
                <w:spacing w:val="0"/>
                <w:kern w:val="0"/>
                <w:position w:val="0"/>
                <w:sz w:val="24"/>
                <w:highlight w:val="none"/>
              </w:rPr>
              <w:t>。</w:t>
            </w:r>
          </w:p>
          <w:p w14:paraId="3E460798">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）危险废物</w:t>
            </w:r>
            <w:r>
              <w:rPr>
                <w:rFonts w:hint="default"/>
                <w:color w:val="auto"/>
              </w:rPr>
              <w:t>管理要求</w:t>
            </w:r>
          </w:p>
          <w:p w14:paraId="3644AC04">
            <w:pPr>
              <w:keepNext w:val="0"/>
              <w:keepLines w:val="0"/>
              <w:suppressLineNumbers w:val="0"/>
              <w:bidi w:val="0"/>
              <w:spacing w:before="0" w:beforeAutospacing="0" w:after="0" w:afterAutospacing="0"/>
              <w:ind w:left="0" w:right="0"/>
              <w:rPr>
                <w:rFonts w:hint="default"/>
                <w:color w:val="auto"/>
              </w:rPr>
            </w:pPr>
            <w:r>
              <w:rPr>
                <w:rFonts w:hint="default"/>
                <w:color w:val="auto"/>
              </w:rPr>
              <w:t>项目运营</w:t>
            </w:r>
            <w:r>
              <w:rPr>
                <w:rFonts w:hint="eastAsia"/>
                <w:color w:val="auto"/>
                <w:lang w:eastAsia="zh-CN"/>
              </w:rPr>
              <w:t>期由矿区工作人员</w:t>
            </w:r>
            <w:r>
              <w:rPr>
                <w:rFonts w:hint="default"/>
                <w:color w:val="auto"/>
              </w:rPr>
              <w:t>进行环境管理工作， 建立健全本项目环保档案，监督检查本项目环保设施运行效果，环境管理具体内容如下：</w:t>
            </w:r>
          </w:p>
          <w:p w14:paraId="383213A3">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①</w:t>
            </w:r>
            <w:r>
              <w:rPr>
                <w:rFonts w:hint="default"/>
                <w:color w:val="auto"/>
              </w:rPr>
              <w:t>建设单位应严格遵守危险废物环境保护管理制度，及时委托</w:t>
            </w:r>
            <w:r>
              <w:rPr>
                <w:rFonts w:hint="eastAsia"/>
                <w:color w:val="auto"/>
                <w:lang w:val="en-US" w:eastAsia="zh-CN"/>
              </w:rPr>
              <w:t>有处置资质的单位处置</w:t>
            </w:r>
            <w:r>
              <w:rPr>
                <w:rFonts w:hint="default"/>
                <w:color w:val="auto"/>
              </w:rPr>
              <w:t>对暂存的危险废物进行委托处置，最长暂存时间不得超过一年；</w:t>
            </w:r>
          </w:p>
          <w:p w14:paraId="425E7A35">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w:t>
            </w:r>
            <w:r>
              <w:rPr>
                <w:rFonts w:hint="default"/>
                <w:color w:val="auto"/>
              </w:rPr>
              <w:t>制定危险废物管理台账，评价要求台账应详细记录</w:t>
            </w:r>
            <w:r>
              <w:rPr>
                <w:rFonts w:hint="eastAsia"/>
                <w:color w:val="auto"/>
                <w:lang w:eastAsia="zh-CN"/>
              </w:rPr>
              <w:t>库存量、出入库记录和转运记录，并</w:t>
            </w:r>
            <w:r>
              <w:rPr>
                <w:rFonts w:hint="default"/>
                <w:color w:val="auto"/>
              </w:rPr>
              <w:t>长期保存，以供随时查阅</w:t>
            </w:r>
            <w:r>
              <w:rPr>
                <w:rFonts w:hint="eastAsia"/>
                <w:color w:val="auto"/>
                <w:lang w:eastAsia="zh-CN"/>
              </w:rPr>
              <w:t>；</w:t>
            </w:r>
          </w:p>
          <w:p w14:paraId="594E9E26">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③危险废物分区储存，</w:t>
            </w:r>
            <w:r>
              <w:rPr>
                <w:rFonts w:hint="default"/>
                <w:color w:val="auto"/>
              </w:rPr>
              <w:t>危废</w:t>
            </w:r>
            <w:r>
              <w:rPr>
                <w:rFonts w:hint="eastAsia"/>
                <w:color w:val="auto"/>
                <w:lang w:eastAsia="zh-CN"/>
              </w:rPr>
              <w:t>贮存</w:t>
            </w:r>
            <w:r>
              <w:rPr>
                <w:rFonts w:hint="default"/>
                <w:color w:val="auto"/>
              </w:rPr>
              <w:t>间外设置危险废物警示标志，危险废物容器和包装物上设置危险废物识别标签；</w:t>
            </w:r>
          </w:p>
          <w:p w14:paraId="20A14093">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④制定</w:t>
            </w:r>
            <w:r>
              <w:rPr>
                <w:rFonts w:hint="default"/>
                <w:color w:val="auto"/>
              </w:rPr>
              <w:t>危险废物环境保护管理制度</w:t>
            </w:r>
            <w:r>
              <w:rPr>
                <w:rFonts w:hint="eastAsia"/>
                <w:color w:val="auto"/>
                <w:lang w:eastAsia="zh-CN"/>
              </w:rPr>
              <w:t>，定期检查，危险废物在</w:t>
            </w:r>
            <w:r>
              <w:rPr>
                <w:rFonts w:hint="default"/>
                <w:color w:val="auto"/>
              </w:rPr>
              <w:t>收集、转运、暂存过程中若发现容器破损，</w:t>
            </w:r>
            <w:r>
              <w:rPr>
                <w:rFonts w:hint="eastAsia"/>
                <w:color w:val="auto"/>
                <w:lang w:eastAsia="zh-CN"/>
              </w:rPr>
              <w:t>并</w:t>
            </w:r>
            <w:r>
              <w:rPr>
                <w:rFonts w:hint="default"/>
                <w:color w:val="auto"/>
              </w:rPr>
              <w:t>采取措施清理更换</w:t>
            </w:r>
            <w:r>
              <w:rPr>
                <w:rFonts w:hint="eastAsia"/>
                <w:color w:val="auto"/>
                <w:lang w:eastAsia="zh-CN"/>
              </w:rPr>
              <w:t>新的包装</w:t>
            </w:r>
            <w:r>
              <w:rPr>
                <w:rFonts w:hint="default"/>
                <w:color w:val="auto"/>
              </w:rPr>
              <w:t>；</w:t>
            </w:r>
          </w:p>
          <w:p w14:paraId="51F8ED35">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⑤</w:t>
            </w:r>
            <w:r>
              <w:rPr>
                <w:rFonts w:hint="default"/>
                <w:color w:val="auto"/>
              </w:rPr>
              <w:t xml:space="preserve">危险废物的运输应委托具有危险品运输资质的单位进行运输。运输车辆应当保持功能齐备、完好和车身整洁。运输车辆应密闭，采取铺设土工膜等方式防止洒漏，并不得超载。运输时不得沿途泄漏、遗撒和倾倒； </w:t>
            </w:r>
          </w:p>
          <w:p w14:paraId="3E6E5DB4">
            <w:pPr>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⑥</w:t>
            </w:r>
            <w:r>
              <w:rPr>
                <w:rFonts w:hint="default"/>
                <w:color w:val="auto"/>
              </w:rPr>
              <w:t>配备足够数量的应急物资，</w:t>
            </w:r>
            <w:r>
              <w:rPr>
                <w:rFonts w:hint="eastAsia"/>
                <w:color w:val="auto"/>
                <w:lang w:eastAsia="zh-CN"/>
              </w:rPr>
              <w:t>建立应急救援小组，</w:t>
            </w:r>
            <w:r>
              <w:rPr>
                <w:rFonts w:hint="default"/>
                <w:color w:val="auto"/>
              </w:rPr>
              <w:t>定期进行突发环境事件应急演练；</w:t>
            </w:r>
          </w:p>
          <w:p w14:paraId="23847135">
            <w:pPr>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⑦</w:t>
            </w:r>
            <w:r>
              <w:rPr>
                <w:rFonts w:hint="default"/>
                <w:color w:val="auto"/>
              </w:rPr>
              <w:t>按照相关职能部门的要求，加强对已登记的中转储存危险废物的监管制度、台账制度，实施信息化监控</w:t>
            </w:r>
            <w:r>
              <w:rPr>
                <w:rFonts w:hint="eastAsia"/>
                <w:color w:val="auto"/>
                <w:lang w:eastAsia="zh-CN"/>
              </w:rPr>
              <w:t>；</w:t>
            </w:r>
          </w:p>
          <w:p w14:paraId="1B23FFB4">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⑧</w:t>
            </w:r>
            <w:r>
              <w:rPr>
                <w:rFonts w:hint="default"/>
                <w:color w:val="auto"/>
              </w:rPr>
              <w:t>加强上岗培训工作。管理和操作人员必须在上岗前进行专业技能培训，实行持证上岗。严格执行培训考核制度，不合格人员</w:t>
            </w:r>
            <w:r>
              <w:rPr>
                <w:rFonts w:hint="eastAsia"/>
                <w:color w:val="auto"/>
                <w:lang w:eastAsia="zh-CN"/>
              </w:rPr>
              <w:t>绝不允许</w:t>
            </w:r>
            <w:r>
              <w:rPr>
                <w:rFonts w:hint="default"/>
                <w:color w:val="auto"/>
              </w:rPr>
              <w:t>上岗操作。</w:t>
            </w:r>
          </w:p>
          <w:p w14:paraId="3AAEBD1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）危险废物转移管理要求</w:t>
            </w:r>
          </w:p>
          <w:p w14:paraId="50EB2209">
            <w:pPr>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收集储存的危险废物应严格按照《</w:t>
            </w:r>
            <w:r>
              <w:rPr>
                <w:rFonts w:hint="eastAsia"/>
                <w:color w:val="auto"/>
              </w:rPr>
              <w:t>危险废物转移管理办法</w:t>
            </w:r>
            <w:r>
              <w:rPr>
                <w:rFonts w:hint="default"/>
                <w:color w:val="auto"/>
              </w:rPr>
              <w:t>》</w:t>
            </w:r>
            <w:r>
              <w:rPr>
                <w:rFonts w:hint="eastAsia"/>
                <w:color w:val="auto"/>
                <w:lang w:eastAsia="zh-CN"/>
              </w:rPr>
              <w:t>（</w:t>
            </w:r>
            <w:r>
              <w:rPr>
                <w:rFonts w:hint="default"/>
                <w:color w:val="auto"/>
              </w:rPr>
              <w:t>部令 第23号</w:t>
            </w:r>
            <w:r>
              <w:rPr>
                <w:rFonts w:hint="eastAsia"/>
                <w:color w:val="auto"/>
                <w:lang w:eastAsia="zh-CN"/>
              </w:rPr>
              <w:t>）</w:t>
            </w:r>
            <w:r>
              <w:rPr>
                <w:rFonts w:hint="default"/>
                <w:color w:val="auto"/>
              </w:rPr>
              <w:t>中的有关要求管理。</w:t>
            </w:r>
            <w:r>
              <w:rPr>
                <w:rFonts w:hint="eastAsia"/>
                <w:color w:val="auto"/>
                <w:lang w:eastAsia="zh-CN"/>
              </w:rPr>
              <w:t>移出人的要求：</w:t>
            </w:r>
          </w:p>
          <w:p w14:paraId="08A9D5C6">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①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481D722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4680622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③对承运人或者接受人的主体资格和技术能力进行核实，依法签订书面合同，并在合同中约定运输、贮存、利用、处置危险废物的污染防治要求及相关责任；</w:t>
            </w:r>
          </w:p>
          <w:p w14:paraId="7CDE4CFF">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④制定危险废物管理计划，明确拟转移危险废物的种类、重量（数量）和流向等信息；</w:t>
            </w:r>
          </w:p>
          <w:p w14:paraId="2F766D13">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⑤建立危险废物管理台账，对转移的危险废物进行计量称重，如实记录、妥善保管转移危险废物的种类、重量（数量）和接受人等相关信息；</w:t>
            </w:r>
          </w:p>
          <w:p w14:paraId="38398E27">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⑥填写、运行危险废物转移联单，在危险废物转移联单中如实填写移出人、承运人、接受人信息，转移危险废物的种类、重量（数量）、危险特性等信息，以及突发环境事件的防范措施等；</w:t>
            </w:r>
          </w:p>
          <w:p w14:paraId="0F18A597">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⑦及时核实接受人贮存、利用或者处置相关危险废物情况；</w:t>
            </w:r>
          </w:p>
          <w:p w14:paraId="37A3137E">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⑧履行法律法规规定的其他义务；</w:t>
            </w:r>
          </w:p>
          <w:p w14:paraId="0F121B5D">
            <w:pPr>
              <w:keepNext w:val="0"/>
              <w:keepLines w:val="0"/>
              <w:suppressLineNumbers w:val="0"/>
              <w:bidi w:val="0"/>
              <w:spacing w:before="0" w:beforeAutospacing="0" w:after="0" w:afterAutospacing="0"/>
              <w:ind w:left="0" w:right="0"/>
              <w:rPr>
                <w:rFonts w:hint="default"/>
              </w:rPr>
            </w:pPr>
            <w:r>
              <w:rPr>
                <w:rFonts w:hint="eastAsia"/>
                <w:color w:val="auto"/>
                <w:lang w:eastAsia="zh-CN"/>
              </w:rPr>
              <w:t>⑨移出人应当按照国家有关要求开展危险废物鉴别。禁止将危险废物以副产品等名义提供或者委托给无危险废物经营许可证的单位或者其他生产经营者从事收集、贮存、利用、处置活动</w:t>
            </w:r>
            <w:r>
              <w:rPr>
                <w:rFonts w:hint="default"/>
                <w:color w:val="auto"/>
                <w:spacing w:val="0"/>
                <w:kern w:val="0"/>
                <w:position w:val="0"/>
                <w:sz w:val="24"/>
                <w:highlight w:val="none"/>
              </w:rPr>
              <w:t>。</w:t>
            </w:r>
          </w:p>
          <w:p w14:paraId="14610F5C">
            <w:pPr>
              <w:pStyle w:val="4"/>
              <w:suppressLineNumbers w:val="0"/>
              <w:bidi w:val="0"/>
              <w:spacing w:before="0" w:beforeAutospacing="0" w:after="0" w:afterAutospacing="0"/>
              <w:ind w:left="0" w:right="0"/>
              <w:rPr>
                <w:rFonts w:hint="default"/>
              </w:rPr>
            </w:pPr>
            <w:r>
              <w:rPr>
                <w:rFonts w:hint="default"/>
              </w:rPr>
              <w:t>4.</w:t>
            </w:r>
            <w:r>
              <w:rPr>
                <w:rFonts w:hint="eastAsia"/>
                <w:lang w:val="en-US" w:eastAsia="zh-CN"/>
              </w:rPr>
              <w:t>6</w:t>
            </w:r>
            <w:r>
              <w:rPr>
                <w:rFonts w:hint="eastAsia"/>
              </w:rPr>
              <w:t>固体废物汇总</w:t>
            </w:r>
          </w:p>
          <w:p w14:paraId="1EEC32D7">
            <w:pPr>
              <w:keepNext w:val="0"/>
              <w:keepLines w:val="0"/>
              <w:suppressLineNumbers w:val="0"/>
              <w:bidi w:val="0"/>
              <w:spacing w:before="0" w:beforeAutospacing="0" w:after="0" w:afterAutospacing="0"/>
              <w:ind w:left="0" w:right="0"/>
              <w:rPr>
                <w:rFonts w:hint="eastAsia"/>
              </w:rPr>
            </w:pPr>
            <w:r>
              <w:rPr>
                <w:rFonts w:hint="eastAsia"/>
                <w:lang w:val="en-US" w:eastAsia="zh-CN"/>
              </w:rPr>
              <w:t>本项目固体废物产生情况见表4-12。</w:t>
            </w:r>
          </w:p>
          <w:p w14:paraId="451EF2A8">
            <w:pPr>
              <w:pStyle w:val="6"/>
              <w:keepNext w:val="0"/>
              <w:keepLines w:val="0"/>
              <w:suppressLineNumbers w:val="0"/>
              <w:bidi w:val="0"/>
              <w:spacing w:before="0" w:beforeAutospacing="0" w:after="0" w:afterAutospacing="0"/>
              <w:ind w:left="0" w:right="0"/>
              <w:rPr>
                <w:rFonts w:hint="default"/>
              </w:rPr>
            </w:pPr>
            <w:r>
              <w:rPr>
                <w:rFonts w:hint="eastAsia"/>
                <w:lang w:val="en-US" w:eastAsia="zh-CN"/>
              </w:rPr>
              <w:t>表4-12</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本项目固体废物分析结果汇总表</w:t>
            </w:r>
          </w:p>
          <w:tbl>
            <w:tblPr>
              <w:tblStyle w:val="30"/>
              <w:tblW w:w="4996"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94"/>
              <w:gridCol w:w="585"/>
              <w:gridCol w:w="557"/>
              <w:gridCol w:w="786"/>
              <w:gridCol w:w="746"/>
              <w:gridCol w:w="1227"/>
              <w:gridCol w:w="605"/>
              <w:gridCol w:w="607"/>
              <w:gridCol w:w="791"/>
              <w:gridCol w:w="538"/>
              <w:gridCol w:w="538"/>
              <w:gridCol w:w="902"/>
            </w:tblGrid>
            <w:tr w14:paraId="71BBC5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596" w:type="dxa"/>
                  <w:tcBorders>
                    <w:tl2br w:val="nil"/>
                    <w:tr2bl w:val="nil"/>
                  </w:tcBorders>
                  <w:shd w:val="clear" w:color="auto" w:fill="auto"/>
                  <w:vAlign w:val="center"/>
                </w:tcPr>
                <w:p w14:paraId="15BC815C">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名称</w:t>
                  </w:r>
                </w:p>
              </w:tc>
              <w:tc>
                <w:tcPr>
                  <w:tcW w:w="587" w:type="dxa"/>
                  <w:tcBorders>
                    <w:tl2br w:val="nil"/>
                    <w:tr2bl w:val="nil"/>
                  </w:tcBorders>
                  <w:shd w:val="clear" w:color="auto" w:fill="auto"/>
                  <w:vAlign w:val="center"/>
                </w:tcPr>
                <w:p w14:paraId="5AEF9332">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产生</w:t>
                  </w:r>
                </w:p>
                <w:p w14:paraId="60683A6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工序</w:t>
                  </w:r>
                </w:p>
              </w:tc>
              <w:tc>
                <w:tcPr>
                  <w:tcW w:w="558" w:type="dxa"/>
                  <w:tcBorders>
                    <w:right w:val="single" w:color="auto" w:sz="4" w:space="0"/>
                    <w:tl2br w:val="nil"/>
                    <w:tr2bl w:val="nil"/>
                  </w:tcBorders>
                  <w:shd w:val="clear" w:color="auto" w:fill="auto"/>
                  <w:vAlign w:val="center"/>
                </w:tcPr>
                <w:p w14:paraId="787DF334">
                  <w:pPr>
                    <w:pStyle w:val="8"/>
                    <w:keepNext w:val="0"/>
                    <w:keepLines w:val="0"/>
                    <w:suppressLineNumbers w:val="0"/>
                    <w:bidi w:val="0"/>
                    <w:spacing w:before="0" w:beforeAutospacing="0" w:after="0" w:afterAutospacing="0"/>
                    <w:ind w:left="0" w:right="0"/>
                    <w:rPr>
                      <w:rFonts w:hint="default"/>
                    </w:rPr>
                  </w:pPr>
                  <w:r>
                    <w:rPr>
                      <w:rFonts w:hint="eastAsia"/>
                      <w:lang w:val="en-US" w:eastAsia="zh-CN"/>
                    </w:rPr>
                    <w:t>物理性状</w:t>
                  </w:r>
                </w:p>
              </w:tc>
              <w:tc>
                <w:tcPr>
                  <w:tcW w:w="788" w:type="dxa"/>
                  <w:tcBorders>
                    <w:right w:val="single" w:color="auto" w:sz="4" w:space="0"/>
                    <w:tl2br w:val="nil"/>
                    <w:tr2bl w:val="nil"/>
                  </w:tcBorders>
                  <w:shd w:val="clear" w:color="auto" w:fill="auto"/>
                  <w:vAlign w:val="center"/>
                </w:tcPr>
                <w:p w14:paraId="7F428F1F">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主要成分</w:t>
                  </w:r>
                </w:p>
              </w:tc>
              <w:tc>
                <w:tcPr>
                  <w:tcW w:w="748" w:type="dxa"/>
                  <w:tcBorders>
                    <w:left w:val="single" w:color="auto" w:sz="4" w:space="0"/>
                    <w:tl2br w:val="nil"/>
                    <w:tr2bl w:val="nil"/>
                  </w:tcBorders>
                  <w:shd w:val="clear" w:color="auto" w:fill="auto"/>
                  <w:vAlign w:val="center"/>
                </w:tcPr>
                <w:p w14:paraId="355F68E1">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主要有毒有害物质</w:t>
                  </w:r>
                </w:p>
              </w:tc>
              <w:tc>
                <w:tcPr>
                  <w:tcW w:w="1231" w:type="dxa"/>
                  <w:tcBorders>
                    <w:right w:val="single" w:color="auto" w:sz="4" w:space="0"/>
                    <w:tl2br w:val="nil"/>
                    <w:tr2bl w:val="nil"/>
                  </w:tcBorders>
                  <w:shd w:val="clear" w:color="auto" w:fill="auto"/>
                  <w:vAlign w:val="center"/>
                </w:tcPr>
                <w:p w14:paraId="06148AE6">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废物代码</w:t>
                  </w:r>
                </w:p>
              </w:tc>
              <w:tc>
                <w:tcPr>
                  <w:tcW w:w="606" w:type="dxa"/>
                  <w:tcBorders>
                    <w:left w:val="single" w:color="auto" w:sz="4" w:space="0"/>
                    <w:right w:val="single" w:color="auto" w:sz="4" w:space="0"/>
                    <w:tl2br w:val="nil"/>
                    <w:tr2bl w:val="nil"/>
                  </w:tcBorders>
                  <w:shd w:val="clear" w:color="auto" w:fill="auto"/>
                  <w:vAlign w:val="center"/>
                </w:tcPr>
                <w:p w14:paraId="00A39D4A">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环境危险特性</w:t>
                  </w:r>
                </w:p>
              </w:tc>
              <w:tc>
                <w:tcPr>
                  <w:tcW w:w="608" w:type="dxa"/>
                  <w:tcBorders>
                    <w:left w:val="single" w:color="auto" w:sz="4" w:space="0"/>
                    <w:tl2br w:val="nil"/>
                    <w:tr2bl w:val="nil"/>
                  </w:tcBorders>
                  <w:shd w:val="clear" w:color="auto" w:fill="auto"/>
                  <w:vAlign w:val="center"/>
                </w:tcPr>
                <w:p w14:paraId="23422D6D">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属性</w:t>
                  </w:r>
                </w:p>
              </w:tc>
              <w:tc>
                <w:tcPr>
                  <w:tcW w:w="793" w:type="dxa"/>
                  <w:tcBorders>
                    <w:right w:val="single" w:color="auto" w:sz="4" w:space="0"/>
                    <w:tl2br w:val="nil"/>
                    <w:tr2bl w:val="nil"/>
                  </w:tcBorders>
                  <w:shd w:val="clear" w:color="auto" w:fill="auto"/>
                  <w:vAlign w:val="center"/>
                </w:tcPr>
                <w:p w14:paraId="7DDF82EB">
                  <w:pPr>
                    <w:pStyle w:val="8"/>
                    <w:keepNext w:val="0"/>
                    <w:keepLines w:val="0"/>
                    <w:suppressLineNumbers w:val="0"/>
                    <w:bidi w:val="0"/>
                    <w:spacing w:before="0" w:beforeAutospacing="0" w:after="0" w:afterAutospacing="0"/>
                    <w:ind w:left="0" w:right="0"/>
                    <w:rPr>
                      <w:rFonts w:hint="default"/>
                    </w:rPr>
                  </w:pPr>
                  <w:r>
                    <w:rPr>
                      <w:rFonts w:hint="eastAsia"/>
                      <w:lang w:val="en-US" w:eastAsia="zh-CN"/>
                    </w:rPr>
                    <w:t>产生量（</w:t>
                  </w:r>
                  <w:r>
                    <w:rPr>
                      <w:rFonts w:hint="default"/>
                      <w:lang w:val="en-US" w:eastAsia="zh-CN"/>
                    </w:rPr>
                    <w:t>t/a</w:t>
                  </w:r>
                  <w:r>
                    <w:rPr>
                      <w:rFonts w:hint="eastAsia"/>
                      <w:lang w:val="en-US" w:eastAsia="zh-CN"/>
                    </w:rPr>
                    <w:t>）</w:t>
                  </w:r>
                </w:p>
              </w:tc>
              <w:tc>
                <w:tcPr>
                  <w:tcW w:w="539" w:type="dxa"/>
                  <w:tcBorders>
                    <w:left w:val="single" w:color="auto" w:sz="4" w:space="0"/>
                    <w:tl2br w:val="nil"/>
                    <w:tr2bl w:val="nil"/>
                  </w:tcBorders>
                  <w:shd w:val="clear" w:color="auto" w:fill="auto"/>
                  <w:vAlign w:val="center"/>
                </w:tcPr>
                <w:p w14:paraId="2C97673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转移周期</w:t>
                  </w:r>
                </w:p>
              </w:tc>
              <w:tc>
                <w:tcPr>
                  <w:tcW w:w="539" w:type="dxa"/>
                  <w:tcBorders>
                    <w:left w:val="single" w:color="auto" w:sz="4" w:space="0"/>
                    <w:tl2br w:val="nil"/>
                    <w:tr2bl w:val="nil"/>
                  </w:tcBorders>
                  <w:shd w:val="clear" w:color="auto" w:fill="auto"/>
                  <w:vAlign w:val="center"/>
                </w:tcPr>
                <w:p w14:paraId="6F983EF1">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储存方式</w:t>
                  </w:r>
                </w:p>
              </w:tc>
              <w:tc>
                <w:tcPr>
                  <w:tcW w:w="905" w:type="dxa"/>
                  <w:tcBorders>
                    <w:tl2br w:val="nil"/>
                    <w:tr2bl w:val="nil"/>
                  </w:tcBorders>
                  <w:shd w:val="clear" w:color="auto" w:fill="auto"/>
                  <w:vAlign w:val="center"/>
                </w:tcPr>
                <w:p w14:paraId="7CC8E18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处理处置方法</w:t>
                  </w:r>
                </w:p>
              </w:tc>
            </w:tr>
            <w:tr w14:paraId="2EC069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596" w:type="dxa"/>
                  <w:tcBorders>
                    <w:tl2br w:val="nil"/>
                    <w:tr2bl w:val="nil"/>
                  </w:tcBorders>
                  <w:shd w:val="clear" w:color="auto" w:fill="auto"/>
                  <w:vAlign w:val="center"/>
                </w:tcPr>
                <w:p w14:paraId="2A5D6F61">
                  <w:pPr>
                    <w:pStyle w:val="8"/>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辣椒粕</w:t>
                  </w:r>
                </w:p>
              </w:tc>
              <w:tc>
                <w:tcPr>
                  <w:tcW w:w="587" w:type="dxa"/>
                  <w:tcBorders>
                    <w:tl2br w:val="nil"/>
                    <w:tr2bl w:val="nil"/>
                  </w:tcBorders>
                  <w:shd w:val="clear" w:color="auto" w:fill="auto"/>
                  <w:vAlign w:val="center"/>
                </w:tcPr>
                <w:p w14:paraId="4E0D2069">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旋风、布袋收集</w:t>
                  </w:r>
                </w:p>
              </w:tc>
              <w:tc>
                <w:tcPr>
                  <w:tcW w:w="558" w:type="dxa"/>
                  <w:tcBorders>
                    <w:right w:val="single" w:color="auto" w:sz="4" w:space="0"/>
                    <w:tl2br w:val="nil"/>
                    <w:tr2bl w:val="nil"/>
                  </w:tcBorders>
                  <w:shd w:val="clear" w:color="auto" w:fill="auto"/>
                  <w:vAlign w:val="center"/>
                </w:tcPr>
                <w:p w14:paraId="7B636443">
                  <w:pPr>
                    <w:pStyle w:val="8"/>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固态</w:t>
                  </w:r>
                </w:p>
              </w:tc>
              <w:tc>
                <w:tcPr>
                  <w:tcW w:w="788" w:type="dxa"/>
                  <w:tcBorders>
                    <w:right w:val="single" w:color="auto" w:sz="4" w:space="0"/>
                    <w:tl2br w:val="nil"/>
                    <w:tr2bl w:val="nil"/>
                  </w:tcBorders>
                  <w:shd w:val="clear" w:color="auto" w:fill="auto"/>
                  <w:vAlign w:val="center"/>
                </w:tcPr>
                <w:p w14:paraId="05A127C8">
                  <w:pPr>
                    <w:pStyle w:val="8"/>
                    <w:keepNext w:val="0"/>
                    <w:keepLines w:val="0"/>
                    <w:suppressLineNumbers w:val="0"/>
                    <w:bidi w:val="0"/>
                    <w:spacing w:before="0" w:beforeAutospacing="0" w:after="0" w:afterAutospacing="0"/>
                    <w:ind w:left="0" w:right="0"/>
                    <w:rPr>
                      <w:rFonts w:hint="eastAsia" w:eastAsia="宋体"/>
                      <w:lang w:eastAsia="zh-CN"/>
                    </w:rPr>
                  </w:pPr>
                  <w:r>
                    <w:rPr>
                      <w:rFonts w:hint="eastAsia"/>
                      <w:lang w:eastAsia="zh-CN"/>
                    </w:rPr>
                    <w:t>辣椒粕</w:t>
                  </w:r>
                </w:p>
              </w:tc>
              <w:tc>
                <w:tcPr>
                  <w:tcW w:w="748" w:type="dxa"/>
                  <w:tcBorders>
                    <w:left w:val="single" w:color="auto" w:sz="4" w:space="0"/>
                    <w:tl2br w:val="nil"/>
                    <w:tr2bl w:val="nil"/>
                  </w:tcBorders>
                  <w:shd w:val="clear" w:color="auto" w:fill="auto"/>
                  <w:vAlign w:val="center"/>
                </w:tcPr>
                <w:p w14:paraId="213A589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1231" w:type="dxa"/>
                  <w:tcBorders>
                    <w:right w:val="single" w:color="auto" w:sz="4" w:space="0"/>
                    <w:tl2br w:val="nil"/>
                    <w:tr2bl w:val="nil"/>
                  </w:tcBorders>
                  <w:shd w:val="clear" w:color="auto" w:fill="auto"/>
                  <w:vAlign w:val="center"/>
                </w:tcPr>
                <w:p w14:paraId="1763027C">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900-099-S13</w:t>
                  </w:r>
                </w:p>
              </w:tc>
              <w:tc>
                <w:tcPr>
                  <w:tcW w:w="606" w:type="dxa"/>
                  <w:tcBorders>
                    <w:left w:val="single" w:color="auto" w:sz="4" w:space="0"/>
                    <w:right w:val="single" w:color="auto" w:sz="4" w:space="0"/>
                    <w:tl2br w:val="nil"/>
                    <w:tr2bl w:val="nil"/>
                  </w:tcBorders>
                  <w:shd w:val="clear" w:color="auto" w:fill="auto"/>
                  <w:vAlign w:val="center"/>
                </w:tcPr>
                <w:p w14:paraId="485FF8C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08" w:type="dxa"/>
                  <w:tcBorders>
                    <w:left w:val="single" w:color="auto" w:sz="4" w:space="0"/>
                    <w:tl2br w:val="nil"/>
                    <w:tr2bl w:val="nil"/>
                  </w:tcBorders>
                  <w:shd w:val="clear" w:color="auto" w:fill="auto"/>
                  <w:vAlign w:val="center"/>
                </w:tcPr>
                <w:p w14:paraId="46291E1C">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一般工业固废</w:t>
                  </w:r>
                </w:p>
              </w:tc>
              <w:tc>
                <w:tcPr>
                  <w:tcW w:w="793" w:type="dxa"/>
                  <w:tcBorders>
                    <w:right w:val="single" w:color="auto" w:sz="4" w:space="0"/>
                    <w:tl2br w:val="nil"/>
                    <w:tr2bl w:val="nil"/>
                  </w:tcBorders>
                  <w:shd w:val="clear" w:color="auto" w:fill="auto"/>
                  <w:vAlign w:val="center"/>
                </w:tcPr>
                <w:p w14:paraId="43556C7B">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val="en-US" w:eastAsia="zh-CN"/>
                    </w:rPr>
                    <w:t>39345.324</w:t>
                  </w:r>
                </w:p>
              </w:tc>
              <w:tc>
                <w:tcPr>
                  <w:tcW w:w="539" w:type="dxa"/>
                  <w:tcBorders>
                    <w:left w:val="single" w:color="auto" w:sz="4" w:space="0"/>
                    <w:tl2br w:val="nil"/>
                    <w:tr2bl w:val="nil"/>
                  </w:tcBorders>
                  <w:shd w:val="clear" w:color="auto" w:fill="auto"/>
                  <w:vAlign w:val="center"/>
                </w:tcPr>
                <w:p w14:paraId="0AC35B5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每天</w:t>
                  </w:r>
                </w:p>
              </w:tc>
              <w:tc>
                <w:tcPr>
                  <w:tcW w:w="539" w:type="dxa"/>
                  <w:tcBorders>
                    <w:left w:val="single" w:color="auto" w:sz="4" w:space="0"/>
                    <w:tl2br w:val="nil"/>
                    <w:tr2bl w:val="nil"/>
                  </w:tcBorders>
                  <w:shd w:val="clear" w:color="auto" w:fill="auto"/>
                  <w:vAlign w:val="center"/>
                </w:tcPr>
                <w:p w14:paraId="6A2BFE9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辣椒粕车间</w:t>
                  </w:r>
                </w:p>
              </w:tc>
              <w:tc>
                <w:tcPr>
                  <w:tcW w:w="905" w:type="dxa"/>
                  <w:tcBorders>
                    <w:tl2br w:val="nil"/>
                    <w:tr2bl w:val="nil"/>
                  </w:tcBorders>
                  <w:shd w:val="clear" w:color="auto" w:fill="auto"/>
                  <w:vAlign w:val="center"/>
                </w:tcPr>
                <w:p w14:paraId="48CCD8AA">
                  <w:pPr>
                    <w:pStyle w:val="8"/>
                    <w:keepNext w:val="0"/>
                    <w:keepLines w:val="0"/>
                    <w:suppressLineNumbers w:val="0"/>
                    <w:bidi w:val="0"/>
                    <w:spacing w:before="0" w:beforeAutospacing="0" w:after="0" w:afterAutospacing="0"/>
                    <w:ind w:left="0" w:right="0"/>
                    <w:rPr>
                      <w:rFonts w:hint="default" w:eastAsia="宋体"/>
                      <w:lang w:val="en-US" w:eastAsia="zh-CN"/>
                    </w:rPr>
                  </w:pPr>
                  <w:r>
                    <w:rPr>
                      <w:rFonts w:hint="eastAsia"/>
                      <w:lang w:eastAsia="zh-CN"/>
                    </w:rPr>
                    <w:t>外售</w:t>
                  </w:r>
                  <w:r>
                    <w:rPr>
                      <w:rFonts w:hint="eastAsia"/>
                      <w:lang w:val="en-US" w:eastAsia="zh-CN"/>
                    </w:rPr>
                    <w:t>饲料厂</w:t>
                  </w:r>
                </w:p>
              </w:tc>
            </w:tr>
            <w:tr w14:paraId="2DC0289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596" w:type="dxa"/>
                  <w:tcBorders>
                    <w:tl2br w:val="nil"/>
                    <w:tr2bl w:val="nil"/>
                  </w:tcBorders>
                  <w:shd w:val="clear" w:color="auto" w:fill="auto"/>
                  <w:vAlign w:val="center"/>
                </w:tcPr>
                <w:p w14:paraId="7A2FFED5">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废润滑油</w:t>
                  </w:r>
                </w:p>
              </w:tc>
              <w:tc>
                <w:tcPr>
                  <w:tcW w:w="587" w:type="dxa"/>
                  <w:tcBorders>
                    <w:tl2br w:val="nil"/>
                    <w:tr2bl w:val="nil"/>
                  </w:tcBorders>
                  <w:shd w:val="clear" w:color="auto" w:fill="auto"/>
                  <w:vAlign w:val="center"/>
                </w:tcPr>
                <w:p w14:paraId="7B834930">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机械维护</w:t>
                  </w:r>
                </w:p>
              </w:tc>
              <w:tc>
                <w:tcPr>
                  <w:tcW w:w="558" w:type="dxa"/>
                  <w:tcBorders>
                    <w:right w:val="single" w:color="auto" w:sz="4" w:space="0"/>
                    <w:tl2br w:val="nil"/>
                    <w:tr2bl w:val="nil"/>
                  </w:tcBorders>
                  <w:shd w:val="clear" w:color="auto" w:fill="auto"/>
                  <w:vAlign w:val="center"/>
                </w:tcPr>
                <w:p w14:paraId="334EFF52">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液态</w:t>
                  </w:r>
                </w:p>
              </w:tc>
              <w:tc>
                <w:tcPr>
                  <w:tcW w:w="788" w:type="dxa"/>
                  <w:tcBorders>
                    <w:right w:val="single" w:color="auto" w:sz="4" w:space="0"/>
                    <w:tl2br w:val="nil"/>
                    <w:tr2bl w:val="nil"/>
                  </w:tcBorders>
                  <w:shd w:val="clear" w:color="auto" w:fill="auto"/>
                  <w:vAlign w:val="center"/>
                </w:tcPr>
                <w:p w14:paraId="763A9B5C">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烷烃、多环芳烃、烯烃、苯系物、酚类</w:t>
                  </w:r>
                </w:p>
              </w:tc>
              <w:tc>
                <w:tcPr>
                  <w:tcW w:w="748" w:type="dxa"/>
                  <w:tcBorders>
                    <w:left w:val="single" w:color="auto" w:sz="4" w:space="0"/>
                    <w:tl2br w:val="nil"/>
                    <w:tr2bl w:val="nil"/>
                  </w:tcBorders>
                  <w:shd w:val="clear" w:color="auto" w:fill="auto"/>
                  <w:vAlign w:val="center"/>
                </w:tcPr>
                <w:p w14:paraId="3991284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烷烃、多环芳烃、烯烃、苯系物、酚类</w:t>
                  </w:r>
                </w:p>
              </w:tc>
              <w:tc>
                <w:tcPr>
                  <w:tcW w:w="1231" w:type="dxa"/>
                  <w:tcBorders>
                    <w:right w:val="single" w:color="auto" w:sz="4" w:space="0"/>
                    <w:tl2br w:val="nil"/>
                    <w:tr2bl w:val="nil"/>
                  </w:tcBorders>
                  <w:shd w:val="clear" w:color="auto" w:fill="auto"/>
                  <w:vAlign w:val="center"/>
                </w:tcPr>
                <w:p w14:paraId="123F3948">
                  <w:pPr>
                    <w:pStyle w:val="8"/>
                    <w:keepNext w:val="0"/>
                    <w:keepLines w:val="0"/>
                    <w:suppressLineNumbers w:val="0"/>
                    <w:bidi w:val="0"/>
                    <w:spacing w:before="0" w:beforeAutospacing="0" w:after="0" w:afterAutospacing="0"/>
                    <w:ind w:left="0" w:right="0"/>
                    <w:rPr>
                      <w:rFonts w:hint="default"/>
                      <w:lang w:val="en-US"/>
                    </w:rPr>
                  </w:pPr>
                  <w:r>
                    <w:rPr>
                      <w:rFonts w:hint="default"/>
                      <w:lang w:val="en-US" w:eastAsia="zh-CN"/>
                    </w:rPr>
                    <w:t>900-</w:t>
                  </w:r>
                  <w:r>
                    <w:rPr>
                      <w:rFonts w:hint="eastAsia"/>
                      <w:lang w:val="en-US" w:eastAsia="zh-CN"/>
                    </w:rPr>
                    <w:t>217-08</w:t>
                  </w:r>
                </w:p>
              </w:tc>
              <w:tc>
                <w:tcPr>
                  <w:tcW w:w="606" w:type="dxa"/>
                  <w:tcBorders>
                    <w:left w:val="single" w:color="auto" w:sz="4" w:space="0"/>
                    <w:right w:val="single" w:color="auto" w:sz="4" w:space="0"/>
                    <w:tl2br w:val="nil"/>
                    <w:tr2bl w:val="nil"/>
                  </w:tcBorders>
                  <w:shd w:val="clear" w:color="auto" w:fill="auto"/>
                  <w:vAlign w:val="center"/>
                </w:tcPr>
                <w:p w14:paraId="01E7110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T</w:t>
                  </w:r>
                  <w:r>
                    <w:rPr>
                      <w:rFonts w:hint="eastAsia"/>
                      <w:lang w:val="en-US" w:eastAsia="zh-CN"/>
                    </w:rPr>
                    <w:t>，</w:t>
                  </w:r>
                  <w:r>
                    <w:rPr>
                      <w:rFonts w:hint="default"/>
                      <w:lang w:val="en-US" w:eastAsia="zh-CN"/>
                    </w:rPr>
                    <w:t>I</w:t>
                  </w:r>
                </w:p>
              </w:tc>
              <w:tc>
                <w:tcPr>
                  <w:tcW w:w="608" w:type="dxa"/>
                  <w:tcBorders>
                    <w:left w:val="single" w:color="auto" w:sz="4" w:space="0"/>
                    <w:tl2br w:val="nil"/>
                    <w:tr2bl w:val="nil"/>
                  </w:tcBorders>
                  <w:shd w:val="clear" w:color="auto" w:fill="auto"/>
                  <w:vAlign w:val="center"/>
                </w:tcPr>
                <w:p w14:paraId="361A11D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危险废物</w:t>
                  </w:r>
                </w:p>
              </w:tc>
              <w:tc>
                <w:tcPr>
                  <w:tcW w:w="793" w:type="dxa"/>
                  <w:tcBorders>
                    <w:right w:val="single" w:color="auto" w:sz="4" w:space="0"/>
                    <w:tl2br w:val="nil"/>
                    <w:tr2bl w:val="nil"/>
                  </w:tcBorders>
                  <w:shd w:val="clear" w:color="auto" w:fill="auto"/>
                  <w:vAlign w:val="center"/>
                </w:tcPr>
                <w:p w14:paraId="60393803">
                  <w:pPr>
                    <w:pStyle w:val="8"/>
                    <w:keepNext w:val="0"/>
                    <w:keepLines w:val="0"/>
                    <w:suppressLineNumbers w:val="0"/>
                    <w:bidi w:val="0"/>
                    <w:spacing w:before="0" w:beforeAutospacing="0" w:after="0" w:afterAutospacing="0"/>
                    <w:ind w:left="0" w:right="0"/>
                    <w:rPr>
                      <w:rFonts w:hint="default"/>
                      <w:lang w:val="en-US"/>
                    </w:rPr>
                  </w:pPr>
                  <w:r>
                    <w:rPr>
                      <w:rFonts w:hint="eastAsia"/>
                      <w:lang w:val="en-US" w:eastAsia="zh-CN"/>
                    </w:rPr>
                    <w:t>0.3</w:t>
                  </w:r>
                </w:p>
              </w:tc>
              <w:tc>
                <w:tcPr>
                  <w:tcW w:w="539" w:type="dxa"/>
                  <w:tcBorders>
                    <w:left w:val="single" w:color="auto" w:sz="4" w:space="0"/>
                    <w:tl2br w:val="nil"/>
                    <w:tr2bl w:val="nil"/>
                  </w:tcBorders>
                  <w:shd w:val="clear" w:color="auto" w:fill="auto"/>
                  <w:vAlign w:val="center"/>
                </w:tcPr>
                <w:p w14:paraId="421C3EC5">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一年一次</w:t>
                  </w:r>
                </w:p>
              </w:tc>
              <w:tc>
                <w:tcPr>
                  <w:tcW w:w="539" w:type="dxa"/>
                  <w:tcBorders>
                    <w:left w:val="single" w:color="auto" w:sz="4" w:space="0"/>
                    <w:tl2br w:val="nil"/>
                    <w:tr2bl w:val="nil"/>
                  </w:tcBorders>
                  <w:shd w:val="clear" w:color="auto" w:fill="auto"/>
                  <w:vAlign w:val="center"/>
                </w:tcPr>
                <w:p w14:paraId="6CC3E577">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桶装</w:t>
                  </w:r>
                </w:p>
              </w:tc>
              <w:tc>
                <w:tcPr>
                  <w:tcW w:w="905" w:type="dxa"/>
                  <w:vMerge w:val="restart"/>
                  <w:tcBorders>
                    <w:tl2br w:val="nil"/>
                    <w:tr2bl w:val="nil"/>
                  </w:tcBorders>
                  <w:shd w:val="clear" w:color="auto" w:fill="auto"/>
                  <w:vAlign w:val="center"/>
                </w:tcPr>
                <w:p w14:paraId="6345E981">
                  <w:pPr>
                    <w:pStyle w:val="8"/>
                    <w:keepNext w:val="0"/>
                    <w:keepLines w:val="0"/>
                    <w:suppressLineNumbers w:val="0"/>
                    <w:bidi w:val="0"/>
                    <w:spacing w:before="0" w:beforeAutospacing="0" w:after="0" w:afterAutospacing="0"/>
                    <w:ind w:left="0" w:right="0"/>
                    <w:rPr>
                      <w:rFonts w:hint="default"/>
                    </w:rPr>
                  </w:pPr>
                  <w:r>
                    <w:rPr>
                      <w:rFonts w:hint="eastAsia"/>
                      <w:lang w:val="en-US" w:eastAsia="zh-CN"/>
                    </w:rPr>
                    <w:t>危险废物贮存库，定期交由具有相关处理资质的单位处理</w:t>
                  </w:r>
                </w:p>
              </w:tc>
            </w:tr>
            <w:tr w14:paraId="036CF7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596" w:type="dxa"/>
                  <w:tcBorders>
                    <w:tl2br w:val="nil"/>
                    <w:tr2bl w:val="nil"/>
                  </w:tcBorders>
                  <w:shd w:val="clear" w:color="auto" w:fill="auto"/>
                  <w:vAlign w:val="center"/>
                </w:tcPr>
                <w:p w14:paraId="487074AA">
                  <w:pPr>
                    <w:pStyle w:val="8"/>
                    <w:keepNext w:val="0"/>
                    <w:keepLines w:val="0"/>
                    <w:suppressLineNumbers w:val="0"/>
                    <w:bidi w:val="0"/>
                    <w:spacing w:before="0" w:beforeAutospacing="0" w:after="0" w:afterAutospacing="0"/>
                    <w:ind w:left="0" w:right="0"/>
                    <w:rPr>
                      <w:rFonts w:hint="eastAsia"/>
                    </w:rPr>
                  </w:pPr>
                  <w:r>
                    <w:rPr>
                      <w:rFonts w:hint="eastAsia"/>
                      <w:color w:val="auto"/>
                      <w:lang w:val="en-US" w:eastAsia="zh-CN"/>
                    </w:rPr>
                    <w:t>废油桶</w:t>
                  </w:r>
                </w:p>
              </w:tc>
              <w:tc>
                <w:tcPr>
                  <w:tcW w:w="587" w:type="dxa"/>
                  <w:tcBorders>
                    <w:tl2br w:val="nil"/>
                    <w:tr2bl w:val="nil"/>
                  </w:tcBorders>
                  <w:shd w:val="clear" w:color="auto" w:fill="auto"/>
                  <w:vAlign w:val="center"/>
                </w:tcPr>
                <w:p w14:paraId="34EBDFE8">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包装</w:t>
                  </w:r>
                </w:p>
              </w:tc>
              <w:tc>
                <w:tcPr>
                  <w:tcW w:w="558" w:type="dxa"/>
                  <w:tcBorders>
                    <w:right w:val="single" w:color="auto" w:sz="4" w:space="0"/>
                    <w:tl2br w:val="nil"/>
                    <w:tr2bl w:val="nil"/>
                  </w:tcBorders>
                  <w:shd w:val="clear" w:color="auto" w:fill="auto"/>
                  <w:vAlign w:val="center"/>
                </w:tcPr>
                <w:p w14:paraId="4AB68208">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固态</w:t>
                  </w:r>
                </w:p>
              </w:tc>
              <w:tc>
                <w:tcPr>
                  <w:tcW w:w="788" w:type="dxa"/>
                  <w:tcBorders>
                    <w:right w:val="single" w:color="auto" w:sz="4" w:space="0"/>
                    <w:tl2br w:val="nil"/>
                    <w:tr2bl w:val="nil"/>
                  </w:tcBorders>
                  <w:shd w:val="clear" w:color="auto" w:fill="auto"/>
                  <w:vAlign w:val="center"/>
                </w:tcPr>
                <w:p w14:paraId="79B0E8B3">
                  <w:pPr>
                    <w:pStyle w:val="8"/>
                    <w:keepNext w:val="0"/>
                    <w:keepLines w:val="0"/>
                    <w:suppressLineNumbers w:val="0"/>
                    <w:bidi w:val="0"/>
                    <w:spacing w:before="0" w:beforeAutospacing="0" w:after="0" w:afterAutospacing="0"/>
                    <w:ind w:left="0" w:right="0"/>
                    <w:rPr>
                      <w:rFonts w:hint="eastAsia"/>
                    </w:rPr>
                  </w:pPr>
                  <w:r>
                    <w:rPr>
                      <w:rFonts w:hint="eastAsia"/>
                      <w:lang w:val="en-US" w:eastAsia="zh-CN"/>
                    </w:rPr>
                    <w:t>烷烃、多环芳烃、烯烃、苯系物、酚类</w:t>
                  </w:r>
                </w:p>
              </w:tc>
              <w:tc>
                <w:tcPr>
                  <w:tcW w:w="748" w:type="dxa"/>
                  <w:tcBorders>
                    <w:left w:val="single" w:color="auto" w:sz="4" w:space="0"/>
                    <w:tl2br w:val="nil"/>
                    <w:tr2bl w:val="nil"/>
                  </w:tcBorders>
                  <w:shd w:val="clear" w:color="auto" w:fill="auto"/>
                  <w:vAlign w:val="center"/>
                </w:tcPr>
                <w:p w14:paraId="1F354649">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烷烃、多环芳烃、烯烃、苯系物、酚类</w:t>
                  </w:r>
                </w:p>
              </w:tc>
              <w:tc>
                <w:tcPr>
                  <w:tcW w:w="1231" w:type="dxa"/>
                  <w:tcBorders>
                    <w:right w:val="single" w:color="auto" w:sz="4" w:space="0"/>
                    <w:tl2br w:val="nil"/>
                    <w:tr2bl w:val="nil"/>
                  </w:tcBorders>
                  <w:shd w:val="clear" w:color="auto" w:fill="auto"/>
                  <w:vAlign w:val="center"/>
                </w:tcPr>
                <w:p w14:paraId="51DA2D54">
                  <w:pPr>
                    <w:pStyle w:val="8"/>
                    <w:keepNext w:val="0"/>
                    <w:keepLines w:val="0"/>
                    <w:suppressLineNumbers w:val="0"/>
                    <w:bidi w:val="0"/>
                    <w:spacing w:before="0" w:beforeAutospacing="0" w:after="0" w:afterAutospacing="0"/>
                    <w:ind w:left="0" w:right="0"/>
                    <w:rPr>
                      <w:rFonts w:hint="default"/>
                    </w:rPr>
                  </w:pPr>
                  <w:r>
                    <w:rPr>
                      <w:rFonts w:hint="default"/>
                      <w:lang w:val="en-US" w:eastAsia="zh-CN"/>
                    </w:rPr>
                    <w:t>900-249-08</w:t>
                  </w:r>
                </w:p>
              </w:tc>
              <w:tc>
                <w:tcPr>
                  <w:tcW w:w="606" w:type="dxa"/>
                  <w:tcBorders>
                    <w:left w:val="single" w:color="auto" w:sz="4" w:space="0"/>
                    <w:right w:val="single" w:color="auto" w:sz="4" w:space="0"/>
                    <w:tl2br w:val="nil"/>
                    <w:tr2bl w:val="nil"/>
                  </w:tcBorders>
                  <w:shd w:val="clear" w:color="auto" w:fill="auto"/>
                  <w:vAlign w:val="center"/>
                </w:tcPr>
                <w:p w14:paraId="67D3CDBF">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T</w:t>
                  </w:r>
                  <w:r>
                    <w:rPr>
                      <w:rFonts w:hint="eastAsia"/>
                      <w:lang w:val="en-US" w:eastAsia="zh-CN"/>
                    </w:rPr>
                    <w:t>，</w:t>
                  </w:r>
                  <w:r>
                    <w:rPr>
                      <w:rFonts w:hint="default"/>
                      <w:lang w:val="en-US" w:eastAsia="zh-CN"/>
                    </w:rPr>
                    <w:t>I</w:t>
                  </w:r>
                </w:p>
              </w:tc>
              <w:tc>
                <w:tcPr>
                  <w:tcW w:w="608" w:type="dxa"/>
                  <w:tcBorders>
                    <w:left w:val="single" w:color="auto" w:sz="4" w:space="0"/>
                    <w:tl2br w:val="nil"/>
                    <w:tr2bl w:val="nil"/>
                  </w:tcBorders>
                  <w:shd w:val="clear" w:color="auto" w:fill="auto"/>
                  <w:vAlign w:val="center"/>
                </w:tcPr>
                <w:p w14:paraId="4751692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危险废物</w:t>
                  </w:r>
                </w:p>
              </w:tc>
              <w:tc>
                <w:tcPr>
                  <w:tcW w:w="793" w:type="dxa"/>
                  <w:tcBorders>
                    <w:right w:val="single" w:color="auto" w:sz="4" w:space="0"/>
                    <w:tl2br w:val="nil"/>
                    <w:tr2bl w:val="nil"/>
                  </w:tcBorders>
                  <w:shd w:val="clear" w:color="auto" w:fill="auto"/>
                  <w:vAlign w:val="center"/>
                </w:tcPr>
                <w:p w14:paraId="7A355F8F">
                  <w:pPr>
                    <w:pStyle w:val="8"/>
                    <w:keepNext w:val="0"/>
                    <w:keepLines w:val="0"/>
                    <w:suppressLineNumbers w:val="0"/>
                    <w:bidi w:val="0"/>
                    <w:spacing w:before="0" w:beforeAutospacing="0" w:after="0" w:afterAutospacing="0"/>
                    <w:ind w:left="0" w:right="0"/>
                    <w:rPr>
                      <w:rFonts w:hint="default"/>
                      <w:lang w:val="en-US"/>
                    </w:rPr>
                  </w:pPr>
                  <w:r>
                    <w:rPr>
                      <w:rFonts w:hint="eastAsia"/>
                      <w:lang w:val="en-US" w:eastAsia="zh-CN"/>
                    </w:rPr>
                    <w:t>0.01</w:t>
                  </w:r>
                </w:p>
              </w:tc>
              <w:tc>
                <w:tcPr>
                  <w:tcW w:w="539" w:type="dxa"/>
                  <w:tcBorders>
                    <w:left w:val="single" w:color="auto" w:sz="4" w:space="0"/>
                    <w:tl2br w:val="nil"/>
                    <w:tr2bl w:val="nil"/>
                  </w:tcBorders>
                  <w:shd w:val="clear" w:color="auto" w:fill="auto"/>
                  <w:vAlign w:val="center"/>
                </w:tcPr>
                <w:p w14:paraId="2A490BA2">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一年一次</w:t>
                  </w:r>
                </w:p>
              </w:tc>
              <w:tc>
                <w:tcPr>
                  <w:tcW w:w="539" w:type="dxa"/>
                  <w:tcBorders>
                    <w:left w:val="single" w:color="auto" w:sz="4" w:space="0"/>
                    <w:tl2br w:val="nil"/>
                    <w:tr2bl w:val="nil"/>
                  </w:tcBorders>
                  <w:shd w:val="clear" w:color="auto" w:fill="auto"/>
                  <w:vAlign w:val="center"/>
                </w:tcPr>
                <w:p w14:paraId="336D5E8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905" w:type="dxa"/>
                  <w:vMerge w:val="continue"/>
                  <w:tcBorders>
                    <w:tl2br w:val="nil"/>
                    <w:tr2bl w:val="nil"/>
                  </w:tcBorders>
                  <w:shd w:val="clear" w:color="auto" w:fill="auto"/>
                  <w:vAlign w:val="center"/>
                </w:tcPr>
                <w:p w14:paraId="4B88FD39">
                  <w:pPr>
                    <w:pStyle w:val="8"/>
                    <w:keepNext w:val="0"/>
                    <w:keepLines w:val="0"/>
                    <w:suppressLineNumbers w:val="0"/>
                    <w:bidi w:val="0"/>
                    <w:spacing w:before="0" w:beforeAutospacing="0" w:after="0" w:afterAutospacing="0"/>
                    <w:ind w:left="0" w:right="0"/>
                    <w:rPr>
                      <w:rFonts w:hint="default"/>
                    </w:rPr>
                  </w:pPr>
                </w:p>
              </w:tc>
            </w:tr>
            <w:tr w14:paraId="61FFC7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jc w:val="center"/>
              </w:trPr>
              <w:tc>
                <w:tcPr>
                  <w:tcW w:w="596" w:type="dxa"/>
                  <w:tcBorders>
                    <w:tl2br w:val="nil"/>
                    <w:tr2bl w:val="nil"/>
                  </w:tcBorders>
                  <w:shd w:val="clear" w:color="auto" w:fill="auto"/>
                  <w:vAlign w:val="center"/>
                </w:tcPr>
                <w:p w14:paraId="3FAAF67A">
                  <w:pPr>
                    <w:pStyle w:val="8"/>
                    <w:keepNext w:val="0"/>
                    <w:keepLines w:val="0"/>
                    <w:suppressLineNumbers w:val="0"/>
                    <w:bidi w:val="0"/>
                    <w:spacing w:before="0" w:beforeAutospacing="0" w:after="0" w:afterAutospacing="0"/>
                    <w:ind w:left="0" w:right="0"/>
                    <w:rPr>
                      <w:rFonts w:hint="eastAsia"/>
                      <w:lang w:val="en-US" w:eastAsia="zh-CN"/>
                    </w:rPr>
                  </w:pPr>
                  <w:r>
                    <w:rPr>
                      <w:rFonts w:hint="eastAsia"/>
                      <w:color w:val="auto"/>
                    </w:rPr>
                    <w:t>废弃的含油抹布、劳 保用品</w:t>
                  </w:r>
                </w:p>
              </w:tc>
              <w:tc>
                <w:tcPr>
                  <w:tcW w:w="587" w:type="dxa"/>
                  <w:tcBorders>
                    <w:tl2br w:val="nil"/>
                    <w:tr2bl w:val="nil"/>
                  </w:tcBorders>
                  <w:shd w:val="clear" w:color="auto" w:fill="auto"/>
                  <w:vAlign w:val="center"/>
                </w:tcPr>
                <w:p w14:paraId="008F78A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机械维护</w:t>
                  </w:r>
                </w:p>
              </w:tc>
              <w:tc>
                <w:tcPr>
                  <w:tcW w:w="558" w:type="dxa"/>
                  <w:tcBorders>
                    <w:right w:val="single" w:color="auto" w:sz="4" w:space="0"/>
                    <w:tl2br w:val="nil"/>
                    <w:tr2bl w:val="nil"/>
                  </w:tcBorders>
                  <w:shd w:val="clear" w:color="auto" w:fill="auto"/>
                  <w:vAlign w:val="center"/>
                </w:tcPr>
                <w:p w14:paraId="1B04B1B0">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固态</w:t>
                  </w:r>
                </w:p>
              </w:tc>
              <w:tc>
                <w:tcPr>
                  <w:tcW w:w="788" w:type="dxa"/>
                  <w:tcBorders>
                    <w:right w:val="single" w:color="auto" w:sz="4" w:space="0"/>
                    <w:tl2br w:val="nil"/>
                    <w:tr2bl w:val="nil"/>
                  </w:tcBorders>
                  <w:shd w:val="clear" w:color="auto" w:fill="auto"/>
                  <w:vAlign w:val="center"/>
                </w:tcPr>
                <w:p w14:paraId="232E6155">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烷烃、多环芳烃、烯烃、苯系物、酚类</w:t>
                  </w:r>
                </w:p>
              </w:tc>
              <w:tc>
                <w:tcPr>
                  <w:tcW w:w="748" w:type="dxa"/>
                  <w:tcBorders>
                    <w:left w:val="single" w:color="auto" w:sz="4" w:space="0"/>
                    <w:tl2br w:val="nil"/>
                    <w:tr2bl w:val="nil"/>
                  </w:tcBorders>
                  <w:shd w:val="clear" w:color="auto" w:fill="auto"/>
                  <w:vAlign w:val="center"/>
                </w:tcPr>
                <w:p w14:paraId="1B24C701">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烷烃、多环芳烃、烯烃、苯系物、酚类</w:t>
                  </w:r>
                </w:p>
              </w:tc>
              <w:tc>
                <w:tcPr>
                  <w:tcW w:w="1231" w:type="dxa"/>
                  <w:tcBorders>
                    <w:right w:val="single" w:color="auto" w:sz="4" w:space="0"/>
                    <w:tl2br w:val="nil"/>
                    <w:tr2bl w:val="nil"/>
                  </w:tcBorders>
                  <w:shd w:val="clear" w:color="auto" w:fill="auto"/>
                  <w:vAlign w:val="center"/>
                </w:tcPr>
                <w:p w14:paraId="451E251E">
                  <w:pPr>
                    <w:pStyle w:val="8"/>
                    <w:keepNext w:val="0"/>
                    <w:keepLines w:val="0"/>
                    <w:suppressLineNumbers w:val="0"/>
                    <w:bidi w:val="0"/>
                    <w:spacing w:before="0" w:beforeAutospacing="0" w:after="0" w:afterAutospacing="0"/>
                    <w:ind w:left="0" w:right="0"/>
                    <w:rPr>
                      <w:rFonts w:hint="default"/>
                      <w:lang w:val="en-US" w:eastAsia="zh-CN"/>
                    </w:rPr>
                  </w:pPr>
                  <w:r>
                    <w:rPr>
                      <w:rFonts w:hint="eastAsia"/>
                      <w:color w:val="auto"/>
                      <w:lang w:val="en-US" w:eastAsia="zh-CN"/>
                    </w:rPr>
                    <w:t>900-041-49</w:t>
                  </w:r>
                </w:p>
              </w:tc>
              <w:tc>
                <w:tcPr>
                  <w:tcW w:w="606" w:type="dxa"/>
                  <w:tcBorders>
                    <w:left w:val="single" w:color="auto" w:sz="4" w:space="0"/>
                    <w:right w:val="single" w:color="auto" w:sz="4" w:space="0"/>
                    <w:tl2br w:val="nil"/>
                    <w:tr2bl w:val="nil"/>
                  </w:tcBorders>
                  <w:shd w:val="clear" w:color="auto" w:fill="auto"/>
                  <w:vAlign w:val="center"/>
                </w:tcPr>
                <w:p w14:paraId="68202ACC">
                  <w:pPr>
                    <w:pStyle w:val="8"/>
                    <w:keepNext w:val="0"/>
                    <w:keepLines w:val="0"/>
                    <w:suppressLineNumbers w:val="0"/>
                    <w:bidi w:val="0"/>
                    <w:spacing w:before="0" w:beforeAutospacing="0" w:after="0" w:afterAutospacing="0"/>
                    <w:ind w:left="0" w:leftChars="0" w:right="0" w:rightChars="0" w:firstLine="0" w:firstLineChars="0"/>
                    <w:rPr>
                      <w:rFonts w:hint="default" w:eastAsia="宋体"/>
                      <w:lang w:val="en-US" w:eastAsia="zh-CN"/>
                    </w:rPr>
                  </w:pPr>
                  <w:r>
                    <w:rPr>
                      <w:rFonts w:hint="eastAsia"/>
                      <w:color w:val="auto"/>
                      <w:lang w:val="en-US" w:eastAsia="zh-CN"/>
                    </w:rPr>
                    <w:t>T</w:t>
                  </w:r>
                  <w:r>
                    <w:rPr>
                      <w:rFonts w:hint="eastAsia"/>
                      <w:lang w:val="en-US" w:eastAsia="zh-CN"/>
                    </w:rPr>
                    <w:t>/In</w:t>
                  </w:r>
                </w:p>
              </w:tc>
              <w:tc>
                <w:tcPr>
                  <w:tcW w:w="608" w:type="dxa"/>
                  <w:tcBorders>
                    <w:left w:val="single" w:color="auto" w:sz="4" w:space="0"/>
                    <w:tl2br w:val="nil"/>
                    <w:tr2bl w:val="nil"/>
                  </w:tcBorders>
                  <w:shd w:val="clear" w:color="auto" w:fill="auto"/>
                  <w:vAlign w:val="center"/>
                </w:tcPr>
                <w:p w14:paraId="6A926B2A">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危险废物</w:t>
                  </w:r>
                </w:p>
              </w:tc>
              <w:tc>
                <w:tcPr>
                  <w:tcW w:w="793" w:type="dxa"/>
                  <w:tcBorders>
                    <w:right w:val="single" w:color="auto" w:sz="4" w:space="0"/>
                    <w:tl2br w:val="nil"/>
                    <w:tr2bl w:val="nil"/>
                  </w:tcBorders>
                  <w:shd w:val="clear" w:color="auto" w:fill="auto"/>
                  <w:vAlign w:val="center"/>
                </w:tcPr>
                <w:p w14:paraId="4E80D85A">
                  <w:pPr>
                    <w:pStyle w:val="8"/>
                    <w:keepNext w:val="0"/>
                    <w:keepLines w:val="0"/>
                    <w:suppressLineNumbers w:val="0"/>
                    <w:bidi w:val="0"/>
                    <w:spacing w:before="0" w:beforeAutospacing="0" w:after="0" w:afterAutospacing="0"/>
                    <w:ind w:left="0" w:right="0"/>
                    <w:rPr>
                      <w:rFonts w:hint="eastAsia"/>
                      <w:lang w:val="en-US" w:eastAsia="zh-CN"/>
                    </w:rPr>
                  </w:pPr>
                  <w:r>
                    <w:rPr>
                      <w:rFonts w:hint="eastAsia"/>
                      <w:color w:val="auto"/>
                      <w:lang w:val="en-US" w:eastAsia="zh-CN"/>
                    </w:rPr>
                    <w:t>0.05</w:t>
                  </w:r>
                </w:p>
              </w:tc>
              <w:tc>
                <w:tcPr>
                  <w:tcW w:w="539" w:type="dxa"/>
                  <w:tcBorders>
                    <w:left w:val="single" w:color="auto" w:sz="4" w:space="0"/>
                    <w:tl2br w:val="nil"/>
                    <w:tr2bl w:val="nil"/>
                  </w:tcBorders>
                  <w:shd w:val="clear" w:color="auto" w:fill="auto"/>
                  <w:vAlign w:val="center"/>
                </w:tcPr>
                <w:p w14:paraId="55C724AE">
                  <w:pPr>
                    <w:pStyle w:val="8"/>
                    <w:keepNext w:val="0"/>
                    <w:keepLines w:val="0"/>
                    <w:suppressLineNumbers w:val="0"/>
                    <w:bidi w:val="0"/>
                    <w:spacing w:before="0" w:beforeAutospacing="0" w:after="0" w:afterAutospacing="0"/>
                    <w:ind w:left="0" w:right="0"/>
                    <w:rPr>
                      <w:rFonts w:hint="eastAsia"/>
                      <w:color w:val="auto"/>
                      <w:lang w:val="en-US" w:eastAsia="zh-CN"/>
                    </w:rPr>
                  </w:pPr>
                  <w:r>
                    <w:rPr>
                      <w:rFonts w:hint="eastAsia"/>
                      <w:lang w:val="en-US" w:eastAsia="zh-CN"/>
                    </w:rPr>
                    <w:t>一年一次</w:t>
                  </w:r>
                </w:p>
              </w:tc>
              <w:tc>
                <w:tcPr>
                  <w:tcW w:w="539" w:type="dxa"/>
                  <w:tcBorders>
                    <w:left w:val="single" w:color="auto" w:sz="4" w:space="0"/>
                    <w:tl2br w:val="nil"/>
                    <w:tr2bl w:val="nil"/>
                  </w:tcBorders>
                  <w:shd w:val="clear" w:color="auto" w:fill="auto"/>
                  <w:vAlign w:val="center"/>
                </w:tcPr>
                <w:p w14:paraId="6A1E83C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箱装</w:t>
                  </w:r>
                </w:p>
              </w:tc>
              <w:tc>
                <w:tcPr>
                  <w:tcW w:w="905" w:type="dxa"/>
                  <w:vMerge w:val="continue"/>
                  <w:tcBorders>
                    <w:tl2br w:val="nil"/>
                    <w:tr2bl w:val="nil"/>
                  </w:tcBorders>
                  <w:shd w:val="clear" w:color="auto" w:fill="auto"/>
                  <w:vAlign w:val="center"/>
                </w:tcPr>
                <w:p w14:paraId="2BB0F74D">
                  <w:pPr>
                    <w:pStyle w:val="8"/>
                    <w:keepNext w:val="0"/>
                    <w:keepLines w:val="0"/>
                    <w:suppressLineNumbers w:val="0"/>
                    <w:bidi w:val="0"/>
                    <w:spacing w:before="0" w:beforeAutospacing="0" w:after="0" w:afterAutospacing="0"/>
                    <w:ind w:left="0" w:right="0"/>
                    <w:rPr>
                      <w:rFonts w:hint="default"/>
                    </w:rPr>
                  </w:pPr>
                </w:p>
              </w:tc>
            </w:tr>
          </w:tbl>
          <w:p w14:paraId="5932F2B2">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rPr>
            </w:pPr>
            <w:r>
              <w:rPr>
                <w:rFonts w:hint="eastAsia"/>
                <w:lang w:val="en-US" w:eastAsia="zh-CN"/>
              </w:rPr>
              <w:t>综上所述，项目营运期产生的固体废物采取上述利用方式进行综合利用，对环境的影响较小。</w:t>
            </w:r>
          </w:p>
          <w:p w14:paraId="5AE4D794">
            <w:pPr>
              <w:pStyle w:val="4"/>
              <w:suppressLineNumbers w:val="0"/>
              <w:bidi w:val="0"/>
              <w:spacing w:before="0" w:beforeAutospacing="0" w:after="0" w:afterAutospacing="0"/>
              <w:ind w:left="0" w:right="0"/>
              <w:rPr>
                <w:rFonts w:hint="default"/>
              </w:rPr>
            </w:pPr>
            <w:r>
              <w:rPr>
                <w:rFonts w:hint="eastAsia"/>
                <w:lang w:val="en-US" w:eastAsia="zh-CN"/>
              </w:rPr>
              <w:t>5、</w:t>
            </w:r>
            <w:r>
              <w:rPr>
                <w:rFonts w:hint="eastAsia"/>
              </w:rPr>
              <w:t>地下水</w:t>
            </w:r>
            <w:r>
              <w:rPr>
                <w:rFonts w:hint="eastAsia"/>
                <w:lang w:eastAsia="zh-CN"/>
              </w:rPr>
              <w:t>、土壤</w:t>
            </w:r>
            <w:r>
              <w:rPr>
                <w:rFonts w:hint="eastAsia"/>
              </w:rPr>
              <w:t>的影响分析</w:t>
            </w:r>
          </w:p>
          <w:p w14:paraId="0FB28B34">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lang w:val="en-US" w:eastAsia="zh-CN"/>
              </w:rPr>
              <w:t>5.1污染源及污染途径</w:t>
            </w:r>
          </w:p>
          <w:p w14:paraId="7EFFA898">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项目运营期地下水的污染源主要为使用的溶剂发生泄漏，主要污染途径为垂直下渗，对土壤的污染源主要为溶剂泄漏，主要污染途径为垂直下渗。</w:t>
            </w:r>
          </w:p>
          <w:p w14:paraId="4700529A">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b/>
                <w:bCs w:val="0"/>
                <w:sz w:val="24"/>
                <w:szCs w:val="24"/>
                <w:lang w:eastAsia="zh-CN"/>
              </w:rPr>
            </w:pPr>
            <w:r>
              <w:rPr>
                <w:rFonts w:hint="default" w:ascii="Times New Roman" w:hAnsi="Times New Roman" w:eastAsia="宋体" w:cs="Times New Roman"/>
                <w:b/>
                <w:bCs w:val="0"/>
                <w:sz w:val="24"/>
                <w:szCs w:val="24"/>
                <w:lang w:val="en-US" w:eastAsia="zh-CN"/>
              </w:rPr>
              <w:t>5.2防控措施</w:t>
            </w:r>
          </w:p>
          <w:p w14:paraId="4D5B6149">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（1）预防措施 </w:t>
            </w:r>
          </w:p>
          <w:p w14:paraId="666F5BA4">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预防措施主要是在本项目工程设计、施工时，应严把设计、施工质量关，杜绝因材质、制管、防腐涂层、焊接缺陷及运行失误造成的管线泄漏，生产运行过程中，必须严格控制生产装置的无组织泄漏，强化监控手段，定期检查，杜绝厂区存在长期事故排放点源的现象保护厂址区域地下水资源。 </w:t>
            </w:r>
          </w:p>
          <w:p w14:paraId="2D033384">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（2）防渗分区措施</w:t>
            </w:r>
          </w:p>
          <w:p w14:paraId="05E67A13">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为有效预防地下水污染，本项目采取分区防渗措施。本项目按重点防渗区和简单防渗区分区域进行防渗处理。 </w:t>
            </w:r>
          </w:p>
          <w:p w14:paraId="19AC0EE2">
            <w:pPr>
              <w:pStyle w:val="90"/>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重点防渗区包括</w:t>
            </w:r>
            <w:r>
              <w:rPr>
                <w:rFonts w:hint="eastAsia" w:cs="Times New Roman"/>
                <w:sz w:val="24"/>
                <w:szCs w:val="24"/>
                <w:lang w:val="en-US" w:eastAsia="zh-CN"/>
              </w:rPr>
              <w:t>危险废物贮存库</w:t>
            </w:r>
            <w:r>
              <w:rPr>
                <w:rFonts w:hint="default" w:ascii="Times New Roman" w:hAnsi="Times New Roman" w:eastAsia="宋体" w:cs="Times New Roman"/>
                <w:sz w:val="24"/>
                <w:szCs w:val="24"/>
                <w:lang w:val="en-US" w:eastAsia="zh-CN"/>
              </w:rPr>
              <w:t>、溶剂储罐区。</w:t>
            </w:r>
            <w:r>
              <w:rPr>
                <w:rFonts w:hint="eastAsia" w:cs="Times New Roman"/>
                <w:sz w:val="24"/>
                <w:szCs w:val="24"/>
                <w:lang w:val="en-US" w:eastAsia="zh-CN"/>
              </w:rPr>
              <w:t>一般防渗包括生产车间，</w:t>
            </w:r>
            <w:r>
              <w:rPr>
                <w:rFonts w:hint="default" w:ascii="Times New Roman" w:hAnsi="Times New Roman" w:eastAsia="宋体" w:cs="Times New Roman"/>
                <w:sz w:val="24"/>
                <w:szCs w:val="24"/>
                <w:lang w:val="en-US" w:eastAsia="zh-CN"/>
              </w:rPr>
              <w:t>其他生产设施为</w:t>
            </w:r>
            <w:r>
              <w:rPr>
                <w:rFonts w:hint="eastAsia" w:cs="Times New Roman"/>
                <w:sz w:val="24"/>
                <w:szCs w:val="24"/>
                <w:lang w:val="en-US" w:eastAsia="zh-CN"/>
              </w:rPr>
              <w:t>简单防渗区</w:t>
            </w:r>
            <w:r>
              <w:rPr>
                <w:rFonts w:hint="default" w:ascii="Times New Roman" w:hAnsi="Times New Roman" w:eastAsia="宋体" w:cs="Times New Roman"/>
                <w:sz w:val="24"/>
                <w:szCs w:val="24"/>
                <w:lang w:val="en-US" w:eastAsia="zh-CN"/>
              </w:rPr>
              <w:t>。</w:t>
            </w:r>
          </w:p>
          <w:p w14:paraId="0F4B11DE">
            <w:pPr>
              <w:pStyle w:val="9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422" w:firstLineChars="200"/>
              <w:textAlignment w:val="auto"/>
              <w:rPr>
                <w:rFonts w:hint="eastAsia" w:ascii="宋体" w:hAnsi="宋体" w:eastAsia="宋体" w:cs="宋体"/>
                <w:b/>
                <w:bCs w:val="0"/>
                <w:sz w:val="24"/>
                <w:szCs w:val="24"/>
              </w:rPr>
            </w:pPr>
            <w:r>
              <w:rPr>
                <w:rFonts w:hint="default" w:ascii="Times New Roman" w:hAnsi="Times New Roman" w:eastAsia="宋体" w:cs="Times New Roman"/>
                <w:b/>
                <w:bCs w:val="0"/>
                <w:sz w:val="21"/>
                <w:szCs w:val="21"/>
              </w:rPr>
              <w:t>表</w:t>
            </w:r>
            <w:r>
              <w:rPr>
                <w:rFonts w:hint="eastAsia" w:cs="Times New Roman"/>
                <w:b/>
                <w:bCs w:val="0"/>
                <w:sz w:val="21"/>
                <w:szCs w:val="21"/>
                <w:lang w:val="en-US" w:eastAsia="zh-CN"/>
              </w:rPr>
              <w:t>4-13</w:t>
            </w:r>
            <w:r>
              <w:rPr>
                <w:rFonts w:hint="default" w:ascii="Times New Roman" w:hAnsi="Times New Roman" w:eastAsia="宋体" w:cs="Times New Roman"/>
                <w:b/>
                <w:bCs w:val="0"/>
                <w:sz w:val="21"/>
                <w:szCs w:val="21"/>
              </w:rPr>
              <w:t xml:space="preserve">    </w:t>
            </w:r>
            <w:r>
              <w:rPr>
                <w:rFonts w:hint="default"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项目污染地下水途径及防治措施一览表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262"/>
              <w:gridCol w:w="2204"/>
              <w:gridCol w:w="4310"/>
            </w:tblGrid>
            <w:tr w14:paraId="35B76A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tcBorders>
                    <w:tl2br w:val="nil"/>
                    <w:tr2bl w:val="nil"/>
                  </w:tcBorders>
                  <w:noWrap w:val="0"/>
                  <w:vAlign w:val="center"/>
                </w:tcPr>
                <w:p w14:paraId="67F8C509">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序号</w:t>
                  </w:r>
                </w:p>
              </w:tc>
              <w:tc>
                <w:tcPr>
                  <w:tcW w:w="744" w:type="pct"/>
                  <w:tcBorders>
                    <w:tl2br w:val="nil"/>
                    <w:tr2bl w:val="nil"/>
                  </w:tcBorders>
                  <w:noWrap w:val="0"/>
                  <w:vAlign w:val="center"/>
                </w:tcPr>
                <w:p w14:paraId="08A2C67A">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类别</w:t>
                  </w:r>
                </w:p>
              </w:tc>
              <w:tc>
                <w:tcPr>
                  <w:tcW w:w="1299" w:type="pct"/>
                  <w:tcBorders>
                    <w:tl2br w:val="nil"/>
                    <w:tr2bl w:val="nil"/>
                  </w:tcBorders>
                  <w:noWrap w:val="0"/>
                  <w:vAlign w:val="center"/>
                </w:tcPr>
                <w:p w14:paraId="4C2AB1CF">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w:t>
                  </w:r>
                </w:p>
              </w:tc>
              <w:tc>
                <w:tcPr>
                  <w:tcW w:w="2540" w:type="pct"/>
                  <w:tcBorders>
                    <w:tl2br w:val="nil"/>
                    <w:tr2bl w:val="nil"/>
                  </w:tcBorders>
                  <w:noWrap w:val="0"/>
                  <w:vAlign w:val="center"/>
                </w:tcPr>
                <w:p w14:paraId="0F7351A1">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保护措施</w:t>
                  </w:r>
                </w:p>
              </w:tc>
            </w:tr>
            <w:tr w14:paraId="2792AB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415" w:type="pct"/>
                  <w:vMerge w:val="restart"/>
                  <w:tcBorders>
                    <w:tl2br w:val="nil"/>
                    <w:tr2bl w:val="nil"/>
                  </w:tcBorders>
                  <w:noWrap w:val="0"/>
                  <w:vAlign w:val="center"/>
                </w:tcPr>
                <w:p w14:paraId="10BCC9B6">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744" w:type="pct"/>
                  <w:vMerge w:val="restart"/>
                  <w:tcBorders>
                    <w:tl2br w:val="nil"/>
                    <w:tr2bl w:val="nil"/>
                  </w:tcBorders>
                  <w:noWrap w:val="0"/>
                  <w:vAlign w:val="center"/>
                </w:tcPr>
                <w:p w14:paraId="5723B079">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重点防渗区</w:t>
                  </w:r>
                </w:p>
              </w:tc>
              <w:tc>
                <w:tcPr>
                  <w:tcW w:w="1299" w:type="pct"/>
                  <w:tcBorders>
                    <w:bottom w:val="single" w:color="000000" w:sz="4" w:space="0"/>
                    <w:tl2br w:val="nil"/>
                    <w:tr2bl w:val="nil"/>
                  </w:tcBorders>
                  <w:noWrap w:val="0"/>
                  <w:vAlign w:val="center"/>
                </w:tcPr>
                <w:p w14:paraId="45A8740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危险废物贮存库</w:t>
                  </w:r>
                </w:p>
              </w:tc>
              <w:tc>
                <w:tcPr>
                  <w:tcW w:w="2540" w:type="pct"/>
                  <w:tcBorders>
                    <w:bottom w:val="single" w:color="000000" w:sz="4" w:space="0"/>
                    <w:tl2br w:val="nil"/>
                    <w:tr2bl w:val="nil"/>
                  </w:tcBorders>
                  <w:noWrap w:val="0"/>
                  <w:vAlign w:val="center"/>
                </w:tcPr>
                <w:p w14:paraId="46E9B75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防渗层为至少1m厚黏土层(渗透系数不大于10</w:t>
                  </w:r>
                  <w:r>
                    <w:rPr>
                      <w:rFonts w:hint="eastAsia"/>
                      <w:vertAlign w:val="superscript"/>
                      <w:lang w:val="en-US" w:eastAsia="zh-CN"/>
                    </w:rPr>
                    <w:t>-7</w:t>
                  </w:r>
                  <w:r>
                    <w:rPr>
                      <w:rFonts w:hint="eastAsia"/>
                      <w:lang w:val="en-US" w:eastAsia="zh-CN"/>
                    </w:rPr>
                    <w:t>cm/s)，或至少2mm厚高密度聚乙烯膜等人工防渗材料(渗透系数不大于10</w:t>
                  </w:r>
                  <w:r>
                    <w:rPr>
                      <w:rFonts w:hint="eastAsia"/>
                      <w:vertAlign w:val="superscript"/>
                      <w:lang w:val="en-US" w:eastAsia="zh-CN"/>
                    </w:rPr>
                    <w:t>-10</w:t>
                  </w:r>
                  <w:r>
                    <w:rPr>
                      <w:rFonts w:hint="eastAsia"/>
                      <w:lang w:val="en-US" w:eastAsia="zh-CN"/>
                    </w:rPr>
                    <w:t>cm/s)，或其他防渗性能等效的材料</w:t>
                  </w:r>
                </w:p>
              </w:tc>
            </w:tr>
            <w:tr w14:paraId="181663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415" w:type="pct"/>
                  <w:vMerge w:val="continue"/>
                  <w:tcBorders>
                    <w:tl2br w:val="nil"/>
                    <w:tr2bl w:val="nil"/>
                  </w:tcBorders>
                  <w:noWrap w:val="0"/>
                  <w:vAlign w:val="center"/>
                </w:tcPr>
                <w:p w14:paraId="760F6AA5">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p>
              </w:tc>
              <w:tc>
                <w:tcPr>
                  <w:tcW w:w="744" w:type="pct"/>
                  <w:vMerge w:val="continue"/>
                  <w:tcBorders>
                    <w:tl2br w:val="nil"/>
                    <w:tr2bl w:val="nil"/>
                  </w:tcBorders>
                  <w:noWrap w:val="0"/>
                  <w:vAlign w:val="center"/>
                </w:tcPr>
                <w:p w14:paraId="59862BAE">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p>
              </w:tc>
              <w:tc>
                <w:tcPr>
                  <w:tcW w:w="1299" w:type="pct"/>
                  <w:tcBorders>
                    <w:top w:val="single" w:color="000000" w:sz="4" w:space="0"/>
                    <w:tl2br w:val="nil"/>
                    <w:tr2bl w:val="nil"/>
                  </w:tcBorders>
                  <w:noWrap w:val="0"/>
                  <w:vAlign w:val="center"/>
                </w:tcPr>
                <w:p w14:paraId="6EABEC75">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溶剂储罐区</w:t>
                  </w:r>
                </w:p>
              </w:tc>
              <w:tc>
                <w:tcPr>
                  <w:tcW w:w="2540" w:type="pct"/>
                  <w:tcBorders>
                    <w:top w:val="single" w:color="000000" w:sz="4" w:space="0"/>
                    <w:tl2br w:val="nil"/>
                    <w:tr2bl w:val="nil"/>
                  </w:tcBorders>
                  <w:noWrap w:val="0"/>
                  <w:vAlign w:val="center"/>
                </w:tcPr>
                <w:p w14:paraId="2EBB6B2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等效黏土防渗层Mb≥6.0m，K≤1</w:t>
                  </w:r>
                  <w:r>
                    <w:rPr>
                      <w:rFonts w:hint="default"/>
                      <w:lang w:val="en-US" w:eastAsia="zh-CN"/>
                    </w:rPr>
                    <w:t>×10</w:t>
                  </w:r>
                  <w:r>
                    <w:rPr>
                      <w:rFonts w:hint="eastAsia"/>
                      <w:vertAlign w:val="superscript"/>
                      <w:lang w:val="en-US" w:eastAsia="zh-CN"/>
                    </w:rPr>
                    <w:t>-7</w:t>
                  </w:r>
                  <w:r>
                    <w:rPr>
                      <w:rFonts w:hint="default"/>
                      <w:lang w:val="en-US" w:eastAsia="zh-CN"/>
                    </w:rPr>
                    <w:t xml:space="preserve">  cm/s</w:t>
                  </w:r>
                  <w:r>
                    <w:rPr>
                      <w:rFonts w:hint="eastAsia"/>
                      <w:lang w:val="en-US" w:eastAsia="zh-CN"/>
                    </w:rPr>
                    <w:t>；或参照GB18595执行</w:t>
                  </w:r>
                </w:p>
              </w:tc>
            </w:tr>
            <w:tr w14:paraId="605E79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tcBorders>
                    <w:tl2br w:val="nil"/>
                    <w:tr2bl w:val="nil"/>
                  </w:tcBorders>
                  <w:noWrap w:val="0"/>
                  <w:vAlign w:val="center"/>
                </w:tcPr>
                <w:p w14:paraId="0CD82A4F">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eastAsia" w:cs="Times New Roman"/>
                      <w:lang w:val="en-US" w:eastAsia="zh-CN"/>
                    </w:rPr>
                    <w:t>2</w:t>
                  </w:r>
                </w:p>
              </w:tc>
              <w:tc>
                <w:tcPr>
                  <w:tcW w:w="744" w:type="pct"/>
                  <w:tcBorders>
                    <w:tl2br w:val="nil"/>
                    <w:tr2bl w:val="nil"/>
                  </w:tcBorders>
                  <w:noWrap w:val="0"/>
                  <w:vAlign w:val="center"/>
                </w:tcPr>
                <w:p w14:paraId="6B8494DC">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eastAsia" w:cs="Times New Roman"/>
                      <w:lang w:val="en-US" w:eastAsia="zh-CN"/>
                    </w:rPr>
                    <w:t>一般防渗区</w:t>
                  </w:r>
                </w:p>
              </w:tc>
              <w:tc>
                <w:tcPr>
                  <w:tcW w:w="1299" w:type="pct"/>
                  <w:tcBorders>
                    <w:tl2br w:val="nil"/>
                    <w:tr2bl w:val="nil"/>
                  </w:tcBorders>
                  <w:noWrap w:val="0"/>
                  <w:vAlign w:val="center"/>
                </w:tcPr>
                <w:p w14:paraId="7316091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生产车间</w:t>
                  </w:r>
                </w:p>
              </w:tc>
              <w:tc>
                <w:tcPr>
                  <w:tcW w:w="4321" w:type="dxa"/>
                  <w:tcBorders>
                    <w:tl2br w:val="nil"/>
                    <w:tr2bl w:val="nil"/>
                  </w:tcBorders>
                  <w:noWrap w:val="0"/>
                  <w:vAlign w:val="center"/>
                </w:tcPr>
                <w:p w14:paraId="1F7D5D4F">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等效黏土防渗层Mb≥1.5m，K≤1</w:t>
                  </w:r>
                  <w:r>
                    <w:rPr>
                      <w:rFonts w:hint="default"/>
                      <w:lang w:val="en-US" w:eastAsia="zh-CN"/>
                    </w:rPr>
                    <w:t>×10</w:t>
                  </w:r>
                  <w:r>
                    <w:rPr>
                      <w:rFonts w:hint="eastAsia"/>
                      <w:vertAlign w:val="superscript"/>
                      <w:lang w:val="en-US" w:eastAsia="zh-CN"/>
                    </w:rPr>
                    <w:t>-7</w:t>
                  </w:r>
                  <w:r>
                    <w:rPr>
                      <w:rFonts w:hint="default"/>
                      <w:lang w:val="en-US" w:eastAsia="zh-CN"/>
                    </w:rPr>
                    <w:t xml:space="preserve"> cm/s</w:t>
                  </w:r>
                  <w:r>
                    <w:rPr>
                      <w:rFonts w:hint="eastAsia"/>
                      <w:lang w:val="en-US" w:eastAsia="zh-CN"/>
                    </w:rPr>
                    <w:t>；或参照GB16889执行</w:t>
                  </w:r>
                </w:p>
              </w:tc>
            </w:tr>
            <w:tr w14:paraId="746FCF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5" w:type="pct"/>
                  <w:tcBorders>
                    <w:tl2br w:val="nil"/>
                    <w:tr2bl w:val="nil"/>
                  </w:tcBorders>
                  <w:noWrap w:val="0"/>
                  <w:vAlign w:val="center"/>
                </w:tcPr>
                <w:p w14:paraId="5C566532">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eastAsia" w:cs="Times New Roman"/>
                      <w:lang w:val="en-US" w:eastAsia="zh-CN"/>
                    </w:rPr>
                    <w:t>3</w:t>
                  </w:r>
                </w:p>
              </w:tc>
              <w:tc>
                <w:tcPr>
                  <w:tcW w:w="744" w:type="pct"/>
                  <w:tcBorders>
                    <w:tl2br w:val="nil"/>
                    <w:tr2bl w:val="nil"/>
                  </w:tcBorders>
                  <w:noWrap w:val="0"/>
                  <w:vAlign w:val="center"/>
                </w:tcPr>
                <w:p w14:paraId="4685A2FE">
                  <w:pPr>
                    <w:pStyle w:val="8"/>
                    <w:keepNext w:val="0"/>
                    <w:keepLines w:val="0"/>
                    <w:suppressLineNumbers w:val="0"/>
                    <w:bidi w:val="0"/>
                    <w:spacing w:before="0" w:beforeAutospacing="0" w:after="0" w:afterAutospacing="0"/>
                    <w:ind w:left="0" w:right="0" w:firstLine="0"/>
                    <w:rPr>
                      <w:rFonts w:hint="default" w:ascii="Times New Roman" w:hAnsi="Times New Roman" w:eastAsia="宋体" w:cs="Times New Roman"/>
                      <w:lang w:val="en-US" w:eastAsia="zh-CN"/>
                    </w:rPr>
                  </w:pPr>
                  <w:r>
                    <w:rPr>
                      <w:rFonts w:hint="eastAsia" w:cs="Times New Roman"/>
                      <w:lang w:val="en-US" w:eastAsia="zh-CN"/>
                    </w:rPr>
                    <w:t>简单防渗区</w:t>
                  </w:r>
                </w:p>
              </w:tc>
              <w:tc>
                <w:tcPr>
                  <w:tcW w:w="1299" w:type="pct"/>
                  <w:tcBorders>
                    <w:tl2br w:val="nil"/>
                    <w:tr2bl w:val="nil"/>
                  </w:tcBorders>
                  <w:noWrap w:val="0"/>
                  <w:vAlign w:val="center"/>
                </w:tcPr>
                <w:p w14:paraId="03EC4CAB">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其他生产设施</w:t>
                  </w:r>
                </w:p>
              </w:tc>
              <w:tc>
                <w:tcPr>
                  <w:tcW w:w="4321" w:type="dxa"/>
                  <w:tcBorders>
                    <w:tl2br w:val="nil"/>
                    <w:tr2bl w:val="nil"/>
                  </w:tcBorders>
                  <w:noWrap w:val="0"/>
                  <w:vAlign w:val="center"/>
                </w:tcPr>
                <w:p w14:paraId="629C8C6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一般</w:t>
                  </w:r>
                  <w:r>
                    <w:rPr>
                      <w:rFonts w:hint="default"/>
                      <w:lang w:val="en-US" w:eastAsia="zh-CN"/>
                    </w:rPr>
                    <w:t>地面硬化</w:t>
                  </w:r>
                </w:p>
              </w:tc>
            </w:tr>
          </w:tbl>
          <w:p w14:paraId="69F75839">
            <w:pPr>
              <w:keepNext w:val="0"/>
              <w:keepLines w:val="0"/>
              <w:suppressLineNumbers w:val="0"/>
              <w:bidi w:val="0"/>
              <w:spacing w:before="0" w:beforeAutospacing="0" w:after="0" w:afterAutospacing="0"/>
              <w:ind w:left="0" w:right="0"/>
              <w:rPr>
                <w:rFonts w:hint="eastAsia"/>
              </w:rPr>
            </w:pPr>
            <w:r>
              <w:rPr>
                <w:rFonts w:hint="eastAsia"/>
                <w:lang w:val="en-US" w:eastAsia="zh-CN"/>
              </w:rPr>
              <w:t>综上，本项目在采取完善的防渗措施后，可有效阻止污染物下渗，从水文地质角度分析，本项目建设运行对地下水、土壤环境影响程度较小。</w:t>
            </w:r>
          </w:p>
          <w:p w14:paraId="4E18EFDB">
            <w:pPr>
              <w:pStyle w:val="4"/>
              <w:suppressLineNumbers w:val="0"/>
              <w:bidi w:val="0"/>
              <w:spacing w:before="0" w:beforeAutospacing="0" w:after="0" w:afterAutospacing="0"/>
              <w:ind w:left="0" w:right="0"/>
              <w:rPr>
                <w:rFonts w:hint="eastAsia"/>
                <w:lang w:val="en-US" w:eastAsia="zh-CN"/>
              </w:rPr>
            </w:pPr>
            <w:r>
              <w:rPr>
                <w:rFonts w:hint="eastAsia"/>
                <w:lang w:val="en-US" w:eastAsia="zh-CN"/>
              </w:rPr>
              <w:t>6</w:t>
            </w:r>
            <w:r>
              <w:rPr>
                <w:rFonts w:hint="eastAsia"/>
              </w:rPr>
              <w:t>、</w:t>
            </w:r>
            <w:r>
              <w:rPr>
                <w:rFonts w:hint="eastAsia"/>
                <w:lang w:val="en-US" w:eastAsia="zh-CN"/>
              </w:rPr>
              <w:t>排污口规范化</w:t>
            </w:r>
          </w:p>
          <w:p w14:paraId="5D13F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bCs/>
                <w:color w:val="000000" w:themeColor="text1"/>
                <w:spacing w:val="0"/>
                <w:kern w:val="0"/>
                <w:sz w:val="24"/>
                <w:szCs w:val="24"/>
                <w:highlight w:val="none"/>
                <w:lang w:val="en-US" w:eastAsia="zh-CN"/>
                <w14:textFill>
                  <w14:solidFill>
                    <w14:schemeClr w14:val="tx1"/>
                  </w14:solidFill>
                </w14:textFill>
              </w:rPr>
            </w:pPr>
            <w:r>
              <w:rPr>
                <w:rFonts w:hint="eastAsia"/>
                <w:bCs/>
                <w:color w:val="000000" w:themeColor="text1"/>
                <w:spacing w:val="0"/>
                <w:kern w:val="0"/>
                <w:sz w:val="24"/>
                <w:szCs w:val="24"/>
                <w:highlight w:val="none"/>
                <w:lang w:val="en-US" w:eastAsia="zh-CN"/>
                <w14:textFill>
                  <w14:solidFill>
                    <w14:schemeClr w14:val="tx1"/>
                  </w14:solidFill>
                </w14:textFill>
              </w:rPr>
              <w:t>（1）排污许可证</w:t>
            </w:r>
          </w:p>
          <w:p w14:paraId="3E325E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bCs/>
                <w:color w:val="000000" w:themeColor="text1"/>
                <w:spacing w:val="0"/>
                <w:kern w:val="0"/>
                <w:sz w:val="24"/>
                <w:szCs w:val="24"/>
                <w:highlight w:val="none"/>
                <w:lang w:val="en-US" w:eastAsia="zh-CN"/>
                <w14:textFill>
                  <w14:solidFill>
                    <w14:schemeClr w14:val="tx1"/>
                  </w14:solidFill>
                </w14:textFill>
              </w:rPr>
            </w:pPr>
            <w:r>
              <w:rPr>
                <w:rFonts w:hint="default"/>
                <w:bCs/>
                <w:color w:val="000000" w:themeColor="text1"/>
                <w:spacing w:val="0"/>
                <w:kern w:val="0"/>
                <w:sz w:val="24"/>
                <w:szCs w:val="24"/>
                <w:highlight w:val="none"/>
                <w:lang w:val="en-US" w:eastAsia="zh-CN"/>
                <w14:textFill>
                  <w14:solidFill>
                    <w14:schemeClr w14:val="tx1"/>
                  </w14:solidFill>
                </w14:textFill>
              </w:rPr>
              <w:t>《排污许可管理条例》（中华人民共和国第736号）规定依照法律规定实行排污许可管理的企业事业单位和其他生产经营者（以</w:t>
            </w:r>
            <w:r>
              <w:rPr>
                <w:rFonts w:hint="eastAsia"/>
                <w:bCs/>
                <w:color w:val="000000" w:themeColor="text1"/>
                <w:spacing w:val="0"/>
                <w:kern w:val="0"/>
                <w:sz w:val="24"/>
                <w:szCs w:val="24"/>
                <w:highlight w:val="none"/>
                <w:lang w:val="en-US" w:eastAsia="zh-CN"/>
                <w14:textFill>
                  <w14:solidFill>
                    <w14:schemeClr w14:val="tx1"/>
                  </w14:solidFill>
                </w14:textFill>
              </w:rPr>
              <w:t>下简</w:t>
            </w:r>
            <w:r>
              <w:rPr>
                <w:rFonts w:hint="default"/>
                <w:bCs/>
                <w:color w:val="000000" w:themeColor="text1"/>
                <w:spacing w:val="0"/>
                <w:kern w:val="0"/>
                <w:sz w:val="24"/>
                <w:szCs w:val="24"/>
                <w:highlight w:val="none"/>
                <w:lang w:val="en-US" w:eastAsia="zh-CN"/>
                <w14:textFill>
                  <w14:solidFill>
                    <w14:schemeClr w14:val="tx1"/>
                  </w14:solidFill>
                </w14:textFill>
              </w:rPr>
              <w:t>称排污单位），应当依照本条例规定申请取得排污许可证；未取得排污许可证的，不得排放污染物。根据污染物产生量、排放量、对环境的影响程度等因素，对排污单位实行排污许可分类管理：污染物产生量、排放量或者对环境影响程度较大的排污单位，实行排污许可重点管理；污染物产生量、排放量和对环境的影响程度都较小的排污单位，实行排污许可简化管理。</w:t>
            </w:r>
          </w:p>
          <w:p w14:paraId="22E437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bCs/>
                <w:color w:val="000000" w:themeColor="text1"/>
                <w:spacing w:val="0"/>
                <w:kern w:val="0"/>
                <w:sz w:val="24"/>
                <w:szCs w:val="24"/>
                <w:highlight w:val="none"/>
                <w:lang w:val="en-US" w:eastAsia="zh-CN"/>
                <w14:textFill>
                  <w14:solidFill>
                    <w14:schemeClr w14:val="tx1"/>
                  </w14:solidFill>
                </w14:textFill>
              </w:rPr>
            </w:pPr>
            <w:r>
              <w:rPr>
                <w:rFonts w:hint="default"/>
                <w:bCs/>
                <w:color w:val="000000" w:themeColor="text1"/>
                <w:spacing w:val="0"/>
                <w:kern w:val="0"/>
                <w:sz w:val="24"/>
                <w:szCs w:val="24"/>
                <w:highlight w:val="none"/>
                <w:lang w:val="en-US" w:eastAsia="zh-CN"/>
                <w14:textFill>
                  <w14:solidFill>
                    <w14:schemeClr w14:val="tx1"/>
                  </w14:solidFill>
                </w14:textFill>
              </w:rPr>
              <w:t>根据《固定污染源排污许可分类管理名录（2019年版）》（生态环境部令第11号，2019年12月20日），本项目为“九、</w:t>
            </w:r>
            <w:r>
              <w:rPr>
                <w:rFonts w:hint="eastAsia"/>
                <w:bCs/>
                <w:color w:val="000000" w:themeColor="text1"/>
                <w:spacing w:val="0"/>
                <w:kern w:val="0"/>
                <w:sz w:val="24"/>
                <w:szCs w:val="24"/>
                <w:highlight w:val="none"/>
                <w:lang w:val="en-US" w:eastAsia="zh-CN"/>
                <w14:textFill>
                  <w14:solidFill>
                    <w14:schemeClr w14:val="tx1"/>
                  </w14:solidFill>
                </w14:textFill>
              </w:rPr>
              <w:t>食品制造业</w:t>
            </w:r>
            <w:r>
              <w:rPr>
                <w:rFonts w:hint="default"/>
                <w:bCs/>
                <w:color w:val="000000" w:themeColor="text1"/>
                <w:spacing w:val="0"/>
                <w:kern w:val="0"/>
                <w:sz w:val="24"/>
                <w:szCs w:val="24"/>
                <w:highlight w:val="none"/>
                <w:lang w:val="en-US" w:eastAsia="zh-CN"/>
                <w14:textFill>
                  <w14:solidFill>
                    <w14:schemeClr w14:val="tx1"/>
                  </w14:solidFill>
                </w14:textFill>
              </w:rPr>
              <w:t>-</w:t>
            </w:r>
            <w:r>
              <w:rPr>
                <w:rFonts w:hint="eastAsia"/>
                <w:bCs/>
                <w:color w:val="000000" w:themeColor="text1"/>
                <w:spacing w:val="0"/>
                <w:kern w:val="0"/>
                <w:sz w:val="24"/>
                <w:szCs w:val="24"/>
                <w:highlight w:val="none"/>
                <w:lang w:val="en-US" w:eastAsia="zh-CN"/>
                <w14:textFill>
                  <w14:solidFill>
                    <w14:schemeClr w14:val="tx1"/>
                  </w14:solidFill>
                </w14:textFill>
              </w:rPr>
              <w:t>17其他食品制造</w:t>
            </w:r>
            <w:r>
              <w:rPr>
                <w:rFonts w:hint="default"/>
                <w:bCs/>
                <w:color w:val="000000" w:themeColor="text1"/>
                <w:spacing w:val="0"/>
                <w:kern w:val="0"/>
                <w:sz w:val="24"/>
                <w:szCs w:val="24"/>
                <w:highlight w:val="none"/>
                <w:lang w:val="en-US" w:eastAsia="zh-CN"/>
                <w14:textFill>
                  <w14:solidFill>
                    <w14:schemeClr w14:val="tx1"/>
                  </w14:solidFill>
                </w14:textFill>
              </w:rPr>
              <w:t>”中“</w:t>
            </w:r>
            <w:r>
              <w:rPr>
                <w:rFonts w:hint="eastAsia"/>
                <w:bCs/>
                <w:color w:val="000000" w:themeColor="text1"/>
                <w:spacing w:val="0"/>
                <w:kern w:val="0"/>
                <w:sz w:val="24"/>
                <w:szCs w:val="24"/>
                <w:highlight w:val="none"/>
                <w:lang w:val="en-US" w:eastAsia="zh-CN"/>
                <w14:textFill>
                  <w14:solidFill>
                    <w14:schemeClr w14:val="tx1"/>
                  </w14:solidFill>
                </w14:textFill>
              </w:rPr>
              <w:t>1495食品及饲料添加剂制造</w:t>
            </w:r>
            <w:r>
              <w:rPr>
                <w:rFonts w:hint="default"/>
                <w:bCs/>
                <w:color w:val="000000" w:themeColor="text1"/>
                <w:spacing w:val="0"/>
                <w:kern w:val="0"/>
                <w:sz w:val="24"/>
                <w:szCs w:val="24"/>
                <w:highlight w:val="none"/>
                <w:lang w:val="en-US" w:eastAsia="zh-CN"/>
                <w14:textFill>
                  <w14:solidFill>
                    <w14:schemeClr w14:val="tx1"/>
                  </w14:solidFill>
                </w14:textFill>
              </w:rPr>
              <w:t>”，属于</w:t>
            </w:r>
            <w:r>
              <w:rPr>
                <w:rFonts w:hint="eastAsia"/>
                <w:bCs/>
                <w:color w:val="000000" w:themeColor="text1"/>
                <w:spacing w:val="0"/>
                <w:kern w:val="0"/>
                <w:sz w:val="24"/>
                <w:szCs w:val="24"/>
                <w:highlight w:val="none"/>
                <w:lang w:val="en-US" w:eastAsia="zh-CN"/>
                <w14:textFill>
                  <w14:solidFill>
                    <w14:schemeClr w14:val="tx1"/>
                  </w14:solidFill>
                </w14:textFill>
              </w:rPr>
              <w:t>简化管理</w:t>
            </w:r>
            <w:r>
              <w:rPr>
                <w:rFonts w:hint="default"/>
                <w:bCs/>
                <w:color w:val="000000" w:themeColor="text1"/>
                <w:spacing w:val="0"/>
                <w:kern w:val="0"/>
                <w:sz w:val="24"/>
                <w:szCs w:val="24"/>
                <w:highlight w:val="none"/>
                <w:lang w:val="en-US" w:eastAsia="zh-CN"/>
                <w14:textFill>
                  <w14:solidFill>
                    <w14:schemeClr w14:val="tx1"/>
                  </w14:solidFill>
                </w14:textFill>
              </w:rPr>
              <w:t>。本项目在取得环评批复后，在启动生产设施或者发生实际排污之前须在全国排污许可证管理信息平台填报排污许可证，取得排污许可证后方能正式投入生产，严禁无证排污。</w:t>
            </w:r>
          </w:p>
          <w:p w14:paraId="179D7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bCs/>
                <w:color w:val="000000" w:themeColor="text1"/>
                <w:spacing w:val="0"/>
                <w:kern w:val="0"/>
                <w:sz w:val="24"/>
                <w:szCs w:val="24"/>
                <w:highlight w:val="none"/>
                <w:lang w:val="en-US" w:eastAsia="zh-CN"/>
                <w14:textFill>
                  <w14:solidFill>
                    <w14:schemeClr w14:val="tx1"/>
                  </w14:solidFill>
                </w14:textFill>
              </w:rPr>
            </w:pPr>
            <w:r>
              <w:rPr>
                <w:rFonts w:hint="default"/>
                <w:bCs/>
                <w:color w:val="000000" w:themeColor="text1"/>
                <w:spacing w:val="0"/>
                <w:kern w:val="0"/>
                <w:sz w:val="24"/>
                <w:szCs w:val="24"/>
                <w:highlight w:val="none"/>
                <w:lang w:val="en-US" w:eastAsia="zh-CN"/>
                <w14:textFill>
                  <w14:solidFill>
                    <w14:schemeClr w14:val="tx1"/>
                  </w14:solidFill>
                </w14:textFill>
              </w:rPr>
              <w:t>（</w:t>
            </w:r>
            <w:r>
              <w:rPr>
                <w:rFonts w:hint="eastAsia"/>
                <w:bCs/>
                <w:color w:val="000000" w:themeColor="text1"/>
                <w:spacing w:val="0"/>
                <w:kern w:val="0"/>
                <w:sz w:val="24"/>
                <w:szCs w:val="24"/>
                <w:highlight w:val="none"/>
                <w:lang w:val="en-US" w:eastAsia="zh-CN"/>
                <w14:textFill>
                  <w14:solidFill>
                    <w14:schemeClr w14:val="tx1"/>
                  </w14:solidFill>
                </w14:textFill>
              </w:rPr>
              <w:t>2</w:t>
            </w:r>
            <w:r>
              <w:rPr>
                <w:rFonts w:hint="default"/>
                <w:bCs/>
                <w:color w:val="000000" w:themeColor="text1"/>
                <w:spacing w:val="0"/>
                <w:kern w:val="0"/>
                <w:sz w:val="24"/>
                <w:szCs w:val="24"/>
                <w:highlight w:val="none"/>
                <w:lang w:val="en-US" w:eastAsia="zh-CN"/>
                <w14:textFill>
                  <w14:solidFill>
                    <w14:schemeClr w14:val="tx1"/>
                  </w14:solidFill>
                </w14:textFill>
              </w:rPr>
              <w:t>）排污口管理</w:t>
            </w:r>
          </w:p>
          <w:p w14:paraId="0FB4A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default"/>
                <w:bCs/>
                <w:color w:val="000000" w:themeColor="text1"/>
                <w:spacing w:val="0"/>
                <w:kern w:val="0"/>
                <w:sz w:val="24"/>
                <w:szCs w:val="24"/>
                <w:highlight w:val="none"/>
                <w:lang w:val="en-US" w:eastAsia="zh-CN"/>
                <w14:textFill>
                  <w14:solidFill>
                    <w14:schemeClr w14:val="tx1"/>
                  </w14:solidFill>
                </w14:textFill>
              </w:rPr>
            </w:pPr>
            <w:r>
              <w:rPr>
                <w:rFonts w:hint="default"/>
                <w:bCs/>
                <w:color w:val="000000" w:themeColor="text1"/>
                <w:spacing w:val="0"/>
                <w:kern w:val="0"/>
                <w:sz w:val="24"/>
                <w:szCs w:val="24"/>
                <w:highlight w:val="none"/>
                <w:lang w:val="en-US" w:eastAsia="zh-CN"/>
                <w14:textFill>
                  <w14:solidFill>
                    <w14:schemeClr w14:val="tx1"/>
                  </w14:solidFill>
                </w14:textFill>
              </w:rPr>
              <w:t>建设单位应在各个排污口</w:t>
            </w:r>
            <w:r>
              <w:rPr>
                <w:rFonts w:hint="eastAsia"/>
                <w:bCs/>
                <w:color w:val="000000" w:themeColor="text1"/>
                <w:spacing w:val="0"/>
                <w:kern w:val="0"/>
                <w:sz w:val="24"/>
                <w:szCs w:val="24"/>
                <w:highlight w:val="none"/>
                <w:lang w:val="en-US" w:eastAsia="zh-CN"/>
                <w14:textFill>
                  <w14:solidFill>
                    <w14:schemeClr w14:val="tx1"/>
                  </w14:solidFill>
                </w14:textFill>
              </w:rPr>
              <w:t>处竖立</w:t>
            </w:r>
            <w:r>
              <w:rPr>
                <w:rFonts w:hint="default"/>
                <w:bCs/>
                <w:color w:val="000000" w:themeColor="text1"/>
                <w:spacing w:val="0"/>
                <w:kern w:val="0"/>
                <w:sz w:val="24"/>
                <w:szCs w:val="24"/>
                <w:highlight w:val="none"/>
                <w:lang w:val="en-US" w:eastAsia="zh-CN"/>
                <w14:textFill>
                  <w14:solidFill>
                    <w14:schemeClr w14:val="tx1"/>
                  </w14:solidFill>
                </w14:textFill>
              </w:rPr>
              <w:t>标志牌。环保主管部门和建设单位可分别按以下内容建立排污口管理的专门档案：排污口性质和编号；位置；排放主要污染物种类、数量、浓度；排放去向；达标情况；治理设施运行情况及整改意见。</w:t>
            </w:r>
          </w:p>
          <w:p w14:paraId="29404C73">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（3）环境保护图形标志</w:t>
            </w:r>
          </w:p>
          <w:p w14:paraId="21ACD1B5">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在固体废物贮存处置场、噪声产生点应设置环境保护图形标志，图形符号分为提示图形和警告图形符号两种，分别按《</w:t>
            </w:r>
            <w:r>
              <w:rPr>
                <w:rFonts w:hint="eastAsia"/>
                <w:lang w:val="en-US" w:eastAsia="zh-CN"/>
              </w:rPr>
              <w:fldChar w:fldCharType="begin"/>
            </w:r>
            <w:r>
              <w:rPr>
                <w:rFonts w:hint="eastAsia"/>
                <w:lang w:val="en-US" w:eastAsia="zh-CN"/>
              </w:rPr>
              <w:instrText xml:space="preserve"> HYPERLINK "http://std.sacinfo.org.cn/home/javascript:;" </w:instrText>
            </w:r>
            <w:r>
              <w:rPr>
                <w:rFonts w:hint="eastAsia"/>
                <w:lang w:val="en-US" w:eastAsia="zh-CN"/>
              </w:rPr>
              <w:fldChar w:fldCharType="separate"/>
            </w:r>
            <w:r>
              <w:rPr>
                <w:rFonts w:hint="eastAsia"/>
                <w:lang w:val="en-US" w:eastAsia="zh-CN"/>
              </w:rPr>
              <w:t>环境保护图形标志 排放口（源）</w:t>
            </w:r>
            <w:r>
              <w:rPr>
                <w:rFonts w:hint="eastAsia"/>
                <w:lang w:val="en-US" w:eastAsia="zh-CN"/>
              </w:rPr>
              <w:fldChar w:fldCharType="end"/>
            </w:r>
            <w:r>
              <w:rPr>
                <w:rFonts w:hint="eastAsia"/>
                <w:lang w:val="en-US" w:eastAsia="zh-CN"/>
              </w:rPr>
              <w:t>》（GB15562.1-1995）及修改单《</w:t>
            </w:r>
            <w:r>
              <w:rPr>
                <w:rFonts w:hint="eastAsia"/>
                <w:lang w:val="en-US" w:eastAsia="zh-CN"/>
              </w:rPr>
              <w:fldChar w:fldCharType="begin"/>
            </w:r>
            <w:r>
              <w:rPr>
                <w:rFonts w:hint="eastAsia"/>
                <w:lang w:val="en-US" w:eastAsia="zh-CN"/>
              </w:rPr>
              <w:instrText xml:space="preserve"> HYPERLINK "http://std.sacinfo.org.cn/home/javascript:;" </w:instrText>
            </w:r>
            <w:r>
              <w:rPr>
                <w:rFonts w:hint="eastAsia"/>
                <w:lang w:val="en-US" w:eastAsia="zh-CN"/>
              </w:rPr>
              <w:fldChar w:fldCharType="separate"/>
            </w:r>
            <w:r>
              <w:rPr>
                <w:rFonts w:hint="eastAsia"/>
                <w:lang w:val="en-US" w:eastAsia="zh-CN"/>
              </w:rPr>
              <w:t>环境保护图形标志固体废物堆放（填埋）场</w:t>
            </w:r>
            <w:r>
              <w:rPr>
                <w:rFonts w:hint="eastAsia"/>
                <w:lang w:val="en-US" w:eastAsia="zh-CN"/>
              </w:rPr>
              <w:fldChar w:fldCharType="end"/>
            </w:r>
            <w:r>
              <w:rPr>
                <w:rFonts w:hint="eastAsia"/>
                <w:lang w:val="en-US" w:eastAsia="zh-CN"/>
              </w:rPr>
              <w:t>》（GB15562.2-1995）《危险废物识别标志设置技术规范》（HJ1276-2022）执行。环境保护图形符号见表4-14。</w:t>
            </w:r>
          </w:p>
          <w:p w14:paraId="0C5068BE">
            <w:pPr>
              <w:pStyle w:val="6"/>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表4-14                          环境保护图形符号一览表</w:t>
            </w:r>
          </w:p>
          <w:tbl>
            <w:tblPr>
              <w:tblStyle w:val="30"/>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8"/>
              <w:gridCol w:w="1771"/>
              <w:gridCol w:w="1840"/>
              <w:gridCol w:w="1480"/>
              <w:gridCol w:w="2775"/>
            </w:tblGrid>
            <w:tr w14:paraId="331E5D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448" w:type="dxa"/>
                  <w:tcBorders>
                    <w:tl2br w:val="nil"/>
                    <w:tr2bl w:val="nil"/>
                  </w:tcBorders>
                  <w:noWrap w:val="0"/>
                  <w:vAlign w:val="center"/>
                </w:tcPr>
                <w:p w14:paraId="14B5C9A9">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序号</w:t>
                  </w:r>
                </w:p>
              </w:tc>
              <w:tc>
                <w:tcPr>
                  <w:tcW w:w="1771" w:type="dxa"/>
                  <w:tcBorders>
                    <w:tl2br w:val="nil"/>
                    <w:tr2bl w:val="nil"/>
                  </w:tcBorders>
                  <w:noWrap w:val="0"/>
                  <w:vAlign w:val="center"/>
                </w:tcPr>
                <w:p w14:paraId="6B2912C2">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提示图形符号</w:t>
                  </w:r>
                </w:p>
              </w:tc>
              <w:tc>
                <w:tcPr>
                  <w:tcW w:w="1814" w:type="dxa"/>
                  <w:tcBorders>
                    <w:tl2br w:val="nil"/>
                    <w:tr2bl w:val="nil"/>
                  </w:tcBorders>
                  <w:noWrap w:val="0"/>
                  <w:vAlign w:val="center"/>
                </w:tcPr>
                <w:p w14:paraId="3177F6D0">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警告图形符号</w:t>
                  </w:r>
                </w:p>
              </w:tc>
              <w:tc>
                <w:tcPr>
                  <w:tcW w:w="1354" w:type="dxa"/>
                  <w:tcBorders>
                    <w:tl2br w:val="nil"/>
                    <w:tr2bl w:val="nil"/>
                  </w:tcBorders>
                  <w:noWrap w:val="0"/>
                  <w:vAlign w:val="center"/>
                </w:tcPr>
                <w:p w14:paraId="194406C4">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名称</w:t>
                  </w:r>
                </w:p>
              </w:tc>
              <w:tc>
                <w:tcPr>
                  <w:tcW w:w="2775" w:type="dxa"/>
                  <w:tcBorders>
                    <w:tl2br w:val="nil"/>
                    <w:tr2bl w:val="nil"/>
                  </w:tcBorders>
                  <w:noWrap w:val="0"/>
                  <w:vAlign w:val="center"/>
                </w:tcPr>
                <w:p w14:paraId="2141F755">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功能</w:t>
                  </w:r>
                </w:p>
              </w:tc>
            </w:tr>
            <w:tr w14:paraId="3FE20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448" w:type="dxa"/>
                  <w:tcBorders>
                    <w:tl2br w:val="nil"/>
                    <w:tr2bl w:val="nil"/>
                  </w:tcBorders>
                  <w:noWrap w:val="0"/>
                  <w:vAlign w:val="center"/>
                </w:tcPr>
                <w:p w14:paraId="4C8D8A0A">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1</w:t>
                  </w:r>
                </w:p>
              </w:tc>
              <w:tc>
                <w:tcPr>
                  <w:tcW w:w="1771" w:type="dxa"/>
                  <w:tcBorders>
                    <w:tl2br w:val="nil"/>
                    <w:tr2bl w:val="nil"/>
                  </w:tcBorders>
                  <w:noWrap w:val="0"/>
                  <w:vAlign w:val="center"/>
                </w:tcPr>
                <w:p w14:paraId="24B21197">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897255" cy="912495"/>
                        <wp:effectExtent l="0" t="0" r="17145"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8"/>
                                <a:stretch>
                                  <a:fillRect/>
                                </a:stretch>
                              </pic:blipFill>
                              <pic:spPr>
                                <a:xfrm>
                                  <a:off x="0" y="0"/>
                                  <a:ext cx="897255" cy="912495"/>
                                </a:xfrm>
                                <a:prstGeom prst="rect">
                                  <a:avLst/>
                                </a:prstGeom>
                                <a:noFill/>
                                <a:ln>
                                  <a:noFill/>
                                </a:ln>
                              </pic:spPr>
                            </pic:pic>
                          </a:graphicData>
                        </a:graphic>
                      </wp:inline>
                    </w:drawing>
                  </w:r>
                </w:p>
              </w:tc>
              <w:tc>
                <w:tcPr>
                  <w:tcW w:w="1814" w:type="dxa"/>
                  <w:tcBorders>
                    <w:tl2br w:val="nil"/>
                    <w:tr2bl w:val="nil"/>
                  </w:tcBorders>
                  <w:noWrap w:val="0"/>
                  <w:vAlign w:val="center"/>
                </w:tcPr>
                <w:p w14:paraId="2F860A6D">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1035050" cy="877570"/>
                        <wp:effectExtent l="0" t="0" r="12700" b="1778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9"/>
                                <a:stretch>
                                  <a:fillRect/>
                                </a:stretch>
                              </pic:blipFill>
                              <pic:spPr>
                                <a:xfrm>
                                  <a:off x="0" y="0"/>
                                  <a:ext cx="1035050" cy="877570"/>
                                </a:xfrm>
                                <a:prstGeom prst="rect">
                                  <a:avLst/>
                                </a:prstGeom>
                                <a:noFill/>
                                <a:ln>
                                  <a:noFill/>
                                </a:ln>
                              </pic:spPr>
                            </pic:pic>
                          </a:graphicData>
                        </a:graphic>
                      </wp:inline>
                    </w:drawing>
                  </w:r>
                </w:p>
              </w:tc>
              <w:tc>
                <w:tcPr>
                  <w:tcW w:w="1354" w:type="dxa"/>
                  <w:tcBorders>
                    <w:tl2br w:val="nil"/>
                    <w:tr2bl w:val="nil"/>
                  </w:tcBorders>
                  <w:noWrap w:val="0"/>
                  <w:vAlign w:val="center"/>
                </w:tcPr>
                <w:p w14:paraId="48B93FF9">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污水排放口</w:t>
                  </w:r>
                </w:p>
              </w:tc>
              <w:tc>
                <w:tcPr>
                  <w:tcW w:w="2775" w:type="dxa"/>
                  <w:tcBorders>
                    <w:tl2br w:val="nil"/>
                    <w:tr2bl w:val="nil"/>
                  </w:tcBorders>
                  <w:noWrap w:val="0"/>
                  <w:vAlign w:val="center"/>
                </w:tcPr>
                <w:p w14:paraId="491F622A">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表示污水向外环境排放</w:t>
                  </w:r>
                </w:p>
              </w:tc>
            </w:tr>
            <w:tr w14:paraId="5F131B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448" w:type="dxa"/>
                  <w:tcBorders>
                    <w:tl2br w:val="nil"/>
                    <w:tr2bl w:val="nil"/>
                  </w:tcBorders>
                  <w:noWrap w:val="0"/>
                  <w:vAlign w:val="center"/>
                </w:tcPr>
                <w:p w14:paraId="3D98DE01">
                  <w:pPr>
                    <w:pStyle w:val="8"/>
                    <w:keepNext w:val="0"/>
                    <w:keepLines w:val="0"/>
                    <w:suppressLineNumbers w:val="0"/>
                    <w:bidi w:val="0"/>
                    <w:spacing w:before="0" w:beforeAutospacing="0" w:after="0" w:afterAutospacing="0"/>
                    <w:ind w:left="0" w:right="0" w:firstLine="0"/>
                    <w:rPr>
                      <w:rFonts w:hint="eastAsia"/>
                      <w:b w:val="0"/>
                      <w:bCs/>
                      <w:lang w:val="en-US" w:eastAsia="zh-CN"/>
                    </w:rPr>
                  </w:pPr>
                  <w:r>
                    <w:rPr>
                      <w:rFonts w:hint="eastAsia"/>
                      <w:b w:val="0"/>
                      <w:bCs/>
                      <w:lang w:val="en-US" w:eastAsia="zh-CN"/>
                    </w:rPr>
                    <w:t>2</w:t>
                  </w:r>
                </w:p>
              </w:tc>
              <w:tc>
                <w:tcPr>
                  <w:tcW w:w="1771" w:type="dxa"/>
                  <w:tcBorders>
                    <w:tl2br w:val="nil"/>
                    <w:tr2bl w:val="nil"/>
                  </w:tcBorders>
                  <w:noWrap w:val="0"/>
                  <w:vAlign w:val="center"/>
                </w:tcPr>
                <w:p w14:paraId="1A79BE42">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1006475" cy="1005840"/>
                        <wp:effectExtent l="0" t="0" r="3175"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0"/>
                                <a:stretch>
                                  <a:fillRect/>
                                </a:stretch>
                              </pic:blipFill>
                              <pic:spPr>
                                <a:xfrm>
                                  <a:off x="0" y="0"/>
                                  <a:ext cx="1006475" cy="1005840"/>
                                </a:xfrm>
                                <a:prstGeom prst="rect">
                                  <a:avLst/>
                                </a:prstGeom>
                                <a:noFill/>
                                <a:ln>
                                  <a:noFill/>
                                </a:ln>
                              </pic:spPr>
                            </pic:pic>
                          </a:graphicData>
                        </a:graphic>
                      </wp:inline>
                    </w:drawing>
                  </w:r>
                </w:p>
              </w:tc>
              <w:tc>
                <w:tcPr>
                  <w:tcW w:w="1814" w:type="dxa"/>
                  <w:tcBorders>
                    <w:tl2br w:val="nil"/>
                    <w:tr2bl w:val="nil"/>
                  </w:tcBorders>
                  <w:noWrap w:val="0"/>
                  <w:vAlign w:val="center"/>
                </w:tcPr>
                <w:p w14:paraId="0CB7869A">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1008380" cy="817880"/>
                        <wp:effectExtent l="0" t="0" r="1270" b="127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1"/>
                                <a:stretch>
                                  <a:fillRect/>
                                </a:stretch>
                              </pic:blipFill>
                              <pic:spPr>
                                <a:xfrm>
                                  <a:off x="0" y="0"/>
                                  <a:ext cx="1008380" cy="817880"/>
                                </a:xfrm>
                                <a:prstGeom prst="rect">
                                  <a:avLst/>
                                </a:prstGeom>
                                <a:noFill/>
                                <a:ln>
                                  <a:noFill/>
                                </a:ln>
                              </pic:spPr>
                            </pic:pic>
                          </a:graphicData>
                        </a:graphic>
                      </wp:inline>
                    </w:drawing>
                  </w:r>
                </w:p>
              </w:tc>
              <w:tc>
                <w:tcPr>
                  <w:tcW w:w="1354" w:type="dxa"/>
                  <w:tcBorders>
                    <w:tl2br w:val="nil"/>
                    <w:tr2bl w:val="nil"/>
                  </w:tcBorders>
                  <w:noWrap w:val="0"/>
                  <w:vAlign w:val="center"/>
                </w:tcPr>
                <w:p w14:paraId="05541461">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一般固体废物</w:t>
                  </w:r>
                </w:p>
              </w:tc>
              <w:tc>
                <w:tcPr>
                  <w:tcW w:w="2775" w:type="dxa"/>
                  <w:tcBorders>
                    <w:tl2br w:val="nil"/>
                    <w:tr2bl w:val="nil"/>
                  </w:tcBorders>
                  <w:noWrap w:val="0"/>
                  <w:vAlign w:val="center"/>
                </w:tcPr>
                <w:p w14:paraId="14D01CBC">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表示一般固体废物贮存、处置场</w:t>
                  </w:r>
                </w:p>
              </w:tc>
            </w:tr>
            <w:tr w14:paraId="6FEFC2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41081F74">
                  <w:pPr>
                    <w:pStyle w:val="8"/>
                    <w:keepNext w:val="0"/>
                    <w:keepLines w:val="0"/>
                    <w:suppressLineNumbers w:val="0"/>
                    <w:bidi w:val="0"/>
                    <w:spacing w:before="0" w:beforeAutospacing="0" w:after="0" w:afterAutospacing="0"/>
                    <w:ind w:left="0" w:right="0" w:firstLine="0"/>
                    <w:rPr>
                      <w:rFonts w:hint="eastAsia"/>
                      <w:b w:val="0"/>
                      <w:bCs/>
                      <w:lang w:val="en-US" w:eastAsia="zh-CN"/>
                    </w:rPr>
                  </w:pPr>
                  <w:r>
                    <w:rPr>
                      <w:rFonts w:hint="eastAsia"/>
                      <w:b w:val="0"/>
                      <w:bCs/>
                      <w:lang w:val="en-US" w:eastAsia="zh-CN"/>
                    </w:rPr>
                    <w:t>3</w:t>
                  </w:r>
                </w:p>
              </w:tc>
              <w:tc>
                <w:tcPr>
                  <w:tcW w:w="1771" w:type="dxa"/>
                  <w:tcBorders>
                    <w:tl2br w:val="nil"/>
                    <w:tr2bl w:val="nil"/>
                  </w:tcBorders>
                  <w:noWrap w:val="0"/>
                  <w:vAlign w:val="center"/>
                </w:tcPr>
                <w:p w14:paraId="2D1185B5">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1005840" cy="914400"/>
                        <wp:effectExtent l="0" t="0" r="381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2"/>
                                <a:stretch>
                                  <a:fillRect/>
                                </a:stretch>
                              </pic:blipFill>
                              <pic:spPr>
                                <a:xfrm>
                                  <a:off x="0" y="0"/>
                                  <a:ext cx="1005840" cy="914400"/>
                                </a:xfrm>
                                <a:prstGeom prst="rect">
                                  <a:avLst/>
                                </a:prstGeom>
                                <a:noFill/>
                                <a:ln>
                                  <a:noFill/>
                                </a:ln>
                              </pic:spPr>
                            </pic:pic>
                          </a:graphicData>
                        </a:graphic>
                      </wp:inline>
                    </w:drawing>
                  </w:r>
                </w:p>
              </w:tc>
              <w:tc>
                <w:tcPr>
                  <w:tcW w:w="1814" w:type="dxa"/>
                  <w:tcBorders>
                    <w:tl2br w:val="nil"/>
                    <w:tr2bl w:val="nil"/>
                  </w:tcBorders>
                  <w:noWrap w:val="0"/>
                  <w:vAlign w:val="center"/>
                </w:tcPr>
                <w:p w14:paraId="1DC72131">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drawing>
                      <wp:inline distT="0" distB="0" distL="114300" distR="114300">
                        <wp:extent cx="1003935" cy="821690"/>
                        <wp:effectExtent l="0" t="0" r="5715" b="1651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3"/>
                                <a:stretch>
                                  <a:fillRect/>
                                </a:stretch>
                              </pic:blipFill>
                              <pic:spPr>
                                <a:xfrm>
                                  <a:off x="0" y="0"/>
                                  <a:ext cx="1003935" cy="821690"/>
                                </a:xfrm>
                                <a:prstGeom prst="rect">
                                  <a:avLst/>
                                </a:prstGeom>
                                <a:noFill/>
                                <a:ln>
                                  <a:noFill/>
                                </a:ln>
                              </pic:spPr>
                            </pic:pic>
                          </a:graphicData>
                        </a:graphic>
                      </wp:inline>
                    </w:drawing>
                  </w:r>
                </w:p>
              </w:tc>
              <w:tc>
                <w:tcPr>
                  <w:tcW w:w="1354" w:type="dxa"/>
                  <w:tcBorders>
                    <w:tl2br w:val="nil"/>
                    <w:tr2bl w:val="nil"/>
                  </w:tcBorders>
                  <w:noWrap w:val="0"/>
                  <w:vAlign w:val="center"/>
                </w:tcPr>
                <w:p w14:paraId="447C824F">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噪声源</w:t>
                  </w:r>
                </w:p>
              </w:tc>
              <w:tc>
                <w:tcPr>
                  <w:tcW w:w="2775" w:type="dxa"/>
                  <w:tcBorders>
                    <w:tl2br w:val="nil"/>
                    <w:tr2bl w:val="nil"/>
                  </w:tcBorders>
                  <w:noWrap w:val="0"/>
                  <w:vAlign w:val="center"/>
                </w:tcPr>
                <w:p w14:paraId="0F981551">
                  <w:pPr>
                    <w:pStyle w:val="8"/>
                    <w:keepNext w:val="0"/>
                    <w:keepLines w:val="0"/>
                    <w:suppressLineNumbers w:val="0"/>
                    <w:bidi w:val="0"/>
                    <w:spacing w:before="0" w:beforeAutospacing="0" w:after="0" w:afterAutospacing="0"/>
                    <w:ind w:left="0" w:right="0" w:firstLine="0"/>
                    <w:rPr>
                      <w:rFonts w:hint="default"/>
                      <w:b w:val="0"/>
                      <w:bCs/>
                      <w:lang w:val="en-US" w:eastAsia="zh-CN"/>
                    </w:rPr>
                  </w:pPr>
                  <w:r>
                    <w:rPr>
                      <w:rFonts w:hint="default"/>
                      <w:b w:val="0"/>
                      <w:bCs/>
                      <w:lang w:val="en-US" w:eastAsia="zh-CN"/>
                    </w:rPr>
                    <w:t>表示噪声向外环境排放</w:t>
                  </w:r>
                </w:p>
              </w:tc>
            </w:tr>
            <w:tr w14:paraId="05392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tcBorders>
                    <w:tl2br w:val="nil"/>
                    <w:tr2bl w:val="nil"/>
                  </w:tcBorders>
                  <w:noWrap w:val="0"/>
                  <w:vAlign w:val="center"/>
                </w:tcPr>
                <w:p w14:paraId="0BEE988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kern w:val="2"/>
                      <w:sz w:val="21"/>
                      <w:szCs w:val="24"/>
                      <w:lang w:val="en-US" w:eastAsia="zh-CN" w:bidi="ar-SA"/>
                    </w:rPr>
                  </w:pPr>
                  <w:r>
                    <w:rPr>
                      <w:rFonts w:hint="eastAsia"/>
                      <w:b w:val="0"/>
                      <w:bCs/>
                      <w:lang w:val="en-US" w:eastAsia="zh-CN"/>
                    </w:rPr>
                    <w:t>4</w:t>
                  </w:r>
                </w:p>
              </w:tc>
              <w:tc>
                <w:tcPr>
                  <w:tcW w:w="1771" w:type="dxa"/>
                  <w:tcBorders>
                    <w:tl2br w:val="nil"/>
                    <w:tr2bl w:val="nil"/>
                  </w:tcBorders>
                  <w:noWrap w:val="0"/>
                  <w:vAlign w:val="center"/>
                </w:tcPr>
                <w:p w14:paraId="57F0A96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default"/>
                      <w:b w:val="0"/>
                      <w:bCs/>
                      <w:lang w:val="en-US" w:eastAsia="zh-CN"/>
                    </w:rPr>
                    <w:drawing>
                      <wp:inline distT="0" distB="0" distL="114300" distR="114300">
                        <wp:extent cx="962025" cy="120015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4"/>
                                <a:stretch>
                                  <a:fillRect/>
                                </a:stretch>
                              </pic:blipFill>
                              <pic:spPr>
                                <a:xfrm>
                                  <a:off x="0" y="0"/>
                                  <a:ext cx="962025" cy="1200150"/>
                                </a:xfrm>
                                <a:prstGeom prst="rect">
                                  <a:avLst/>
                                </a:prstGeom>
                                <a:noFill/>
                                <a:ln>
                                  <a:noFill/>
                                </a:ln>
                              </pic:spPr>
                            </pic:pic>
                          </a:graphicData>
                        </a:graphic>
                      </wp:inline>
                    </w:drawing>
                  </w:r>
                </w:p>
              </w:tc>
              <w:tc>
                <w:tcPr>
                  <w:tcW w:w="1814" w:type="dxa"/>
                  <w:tcBorders>
                    <w:tl2br w:val="nil"/>
                    <w:tr2bl w:val="nil"/>
                  </w:tcBorders>
                  <w:noWrap w:val="0"/>
                  <w:vAlign w:val="center"/>
                </w:tcPr>
                <w:p w14:paraId="52F9B70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default"/>
                      <w:b w:val="0"/>
                      <w:bCs/>
                      <w:lang w:val="en-US" w:eastAsia="zh-CN"/>
                    </w:rPr>
                    <w:drawing>
                      <wp:inline distT="0" distB="0" distL="114300" distR="114300">
                        <wp:extent cx="1019175" cy="1171575"/>
                        <wp:effectExtent l="0" t="0" r="9525"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5"/>
                                <a:stretch>
                                  <a:fillRect/>
                                </a:stretch>
                              </pic:blipFill>
                              <pic:spPr>
                                <a:xfrm>
                                  <a:off x="0" y="0"/>
                                  <a:ext cx="1019175" cy="1171575"/>
                                </a:xfrm>
                                <a:prstGeom prst="rect">
                                  <a:avLst/>
                                </a:prstGeom>
                                <a:noFill/>
                                <a:ln>
                                  <a:noFill/>
                                </a:ln>
                              </pic:spPr>
                            </pic:pic>
                          </a:graphicData>
                        </a:graphic>
                      </wp:inline>
                    </w:drawing>
                  </w:r>
                </w:p>
              </w:tc>
              <w:tc>
                <w:tcPr>
                  <w:tcW w:w="1354" w:type="dxa"/>
                  <w:tcBorders>
                    <w:tl2br w:val="nil"/>
                    <w:tr2bl w:val="nil"/>
                  </w:tcBorders>
                  <w:noWrap w:val="0"/>
                  <w:vAlign w:val="center"/>
                </w:tcPr>
                <w:p w14:paraId="1E740E22">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eastAsia"/>
                      <w:b w:val="0"/>
                      <w:bCs/>
                      <w:lang w:val="en-US" w:eastAsia="zh-CN"/>
                    </w:rPr>
                    <w:t>废气排放口</w:t>
                  </w:r>
                </w:p>
              </w:tc>
              <w:tc>
                <w:tcPr>
                  <w:tcW w:w="2775" w:type="dxa"/>
                  <w:tcBorders>
                    <w:tl2br w:val="nil"/>
                    <w:tr2bl w:val="nil"/>
                  </w:tcBorders>
                  <w:noWrap w:val="0"/>
                  <w:vAlign w:val="center"/>
                </w:tcPr>
                <w:p w14:paraId="34F08180">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default"/>
                      <w:b w:val="0"/>
                      <w:bCs/>
                      <w:lang w:val="en-US" w:eastAsia="zh-CN"/>
                    </w:rPr>
                    <w:t>表示</w:t>
                  </w:r>
                  <w:r>
                    <w:rPr>
                      <w:rFonts w:hint="eastAsia"/>
                      <w:b w:val="0"/>
                      <w:bCs/>
                      <w:lang w:val="en-US" w:eastAsia="zh-CN"/>
                    </w:rPr>
                    <w:t>废气</w:t>
                  </w:r>
                  <w:r>
                    <w:rPr>
                      <w:rFonts w:hint="default"/>
                      <w:b w:val="0"/>
                      <w:bCs/>
                      <w:lang w:val="en-US" w:eastAsia="zh-CN"/>
                    </w:rPr>
                    <w:t>向外环境排放</w:t>
                  </w:r>
                </w:p>
              </w:tc>
            </w:tr>
            <w:tr w14:paraId="06C3E9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448" w:type="dxa"/>
                  <w:vAlign w:val="center"/>
                </w:tcPr>
                <w:p w14:paraId="4D6E9FED">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b w:val="0"/>
                      <w:bCs/>
                      <w:kern w:val="2"/>
                      <w:sz w:val="21"/>
                      <w:szCs w:val="24"/>
                      <w:lang w:val="en-US" w:eastAsia="zh-CN" w:bidi="ar-SA"/>
                    </w:rPr>
                  </w:pPr>
                  <w:r>
                    <w:rPr>
                      <w:rFonts w:hint="eastAsia"/>
                      <w:b w:val="0"/>
                      <w:bCs/>
                      <w:lang w:val="en-US" w:eastAsia="zh-CN"/>
                    </w:rPr>
                    <w:t>5</w:t>
                  </w:r>
                </w:p>
              </w:tc>
              <w:tc>
                <w:tcPr>
                  <w:tcW w:w="1771" w:type="dxa"/>
                  <w:vAlign w:val="center"/>
                </w:tcPr>
                <w:p w14:paraId="39B10EE2">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p>
              </w:tc>
              <w:tc>
                <w:tcPr>
                  <w:tcW w:w="1840" w:type="dxa"/>
                  <w:vAlign w:val="center"/>
                </w:tcPr>
                <w:p w14:paraId="7E34E469">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default"/>
                    </w:rPr>
                    <w:drawing>
                      <wp:inline distT="0" distB="0" distL="114300" distR="114300">
                        <wp:extent cx="1144905" cy="1012825"/>
                        <wp:effectExtent l="0" t="0" r="17145" b="158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6"/>
                                <a:stretch>
                                  <a:fillRect/>
                                </a:stretch>
                              </pic:blipFill>
                              <pic:spPr>
                                <a:xfrm>
                                  <a:off x="0" y="0"/>
                                  <a:ext cx="1144905" cy="1012825"/>
                                </a:xfrm>
                                <a:prstGeom prst="rect">
                                  <a:avLst/>
                                </a:prstGeom>
                                <a:noFill/>
                                <a:ln>
                                  <a:noFill/>
                                </a:ln>
                              </pic:spPr>
                            </pic:pic>
                          </a:graphicData>
                        </a:graphic>
                      </wp:inline>
                    </w:drawing>
                  </w:r>
                </w:p>
              </w:tc>
              <w:tc>
                <w:tcPr>
                  <w:tcW w:w="1480" w:type="dxa"/>
                  <w:vAlign w:val="center"/>
                </w:tcPr>
                <w:p w14:paraId="308F3F08">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eastAsia"/>
                      <w:b w:val="0"/>
                      <w:bCs/>
                      <w:lang w:val="en-US" w:eastAsia="zh-CN"/>
                    </w:rPr>
                    <w:t>危险废物贮存库</w:t>
                  </w:r>
                </w:p>
              </w:tc>
              <w:tc>
                <w:tcPr>
                  <w:tcW w:w="2775" w:type="dxa"/>
                  <w:vAlign w:val="center"/>
                </w:tcPr>
                <w:p w14:paraId="66C0274B">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kern w:val="2"/>
                      <w:sz w:val="21"/>
                      <w:szCs w:val="24"/>
                      <w:lang w:val="en-US" w:eastAsia="zh-CN" w:bidi="ar-SA"/>
                    </w:rPr>
                  </w:pPr>
                  <w:r>
                    <w:rPr>
                      <w:rFonts w:hint="eastAsia"/>
                      <w:b w:val="0"/>
                      <w:bCs/>
                      <w:lang w:val="en-US" w:eastAsia="zh-CN"/>
                    </w:rPr>
                    <w:t>表示危险废物贮存、处置场</w:t>
                  </w:r>
                </w:p>
              </w:tc>
            </w:tr>
          </w:tbl>
          <w:p w14:paraId="014B0D42">
            <w:pPr>
              <w:pStyle w:val="4"/>
              <w:suppressLineNumbers w:val="0"/>
              <w:bidi w:val="0"/>
              <w:spacing w:before="0" w:beforeAutospacing="0" w:after="0" w:afterAutospacing="0"/>
              <w:ind w:left="0" w:right="0"/>
              <w:rPr>
                <w:rFonts w:hint="eastAsia"/>
                <w:lang w:val="en-US" w:eastAsia="zh-CN"/>
              </w:rPr>
            </w:pPr>
            <w:r>
              <w:rPr>
                <w:rFonts w:hint="eastAsia"/>
                <w:lang w:val="en-US" w:eastAsia="zh-CN"/>
              </w:rPr>
              <w:t>7、环保投资表</w:t>
            </w:r>
          </w:p>
          <w:p w14:paraId="72C94F22">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本项目总投</w:t>
            </w:r>
            <w:r>
              <w:rPr>
                <w:rFonts w:hint="eastAsia"/>
                <w:color w:val="auto"/>
                <w:highlight w:val="none"/>
                <w:lang w:val="en-US" w:eastAsia="zh-CN"/>
              </w:rPr>
              <w:t>资</w:t>
            </w:r>
            <w:r>
              <w:rPr>
                <w:rFonts w:hint="eastAsia"/>
                <w:lang w:eastAsia="zh-CN"/>
              </w:rPr>
              <w:t>10183.48</w:t>
            </w:r>
            <w:r>
              <w:rPr>
                <w:rFonts w:hint="eastAsia"/>
                <w:color w:val="auto"/>
                <w:lang w:val="en-US" w:eastAsia="zh-CN"/>
              </w:rPr>
              <w:t>万元，环保投</w:t>
            </w:r>
            <w:r>
              <w:rPr>
                <w:rFonts w:hint="eastAsia"/>
                <w:color w:val="auto"/>
                <w:highlight w:val="none"/>
                <w:lang w:val="en-US" w:eastAsia="zh-CN"/>
              </w:rPr>
              <w:t>资135万元，占总投资的1.32%</w:t>
            </w:r>
            <w:r>
              <w:rPr>
                <w:rFonts w:hint="eastAsia"/>
                <w:color w:val="auto"/>
                <w:lang w:val="en-US" w:eastAsia="zh-CN"/>
              </w:rPr>
              <w:t>。详情见表4-15。</w:t>
            </w:r>
          </w:p>
          <w:p w14:paraId="64815F92">
            <w:pPr>
              <w:pStyle w:val="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 xml:space="preserve">表4-15                   </w:t>
            </w:r>
            <w:r>
              <w:rPr>
                <w:rFonts w:hint="eastAsia"/>
                <w:color w:val="auto"/>
              </w:rPr>
              <w:t>工程主要环保投资概算</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0"/>
              <w:gridCol w:w="837"/>
              <w:gridCol w:w="1023"/>
              <w:gridCol w:w="3900"/>
              <w:gridCol w:w="910"/>
              <w:gridCol w:w="1113"/>
            </w:tblGrid>
            <w:tr w14:paraId="4BED1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tcBorders>
                    <w:tl2br w:val="nil"/>
                    <w:tr2bl w:val="nil"/>
                  </w:tcBorders>
                  <w:shd w:val="clear" w:color="auto" w:fill="auto"/>
                  <w:noWrap w:val="0"/>
                  <w:vAlign w:val="center"/>
                </w:tcPr>
                <w:p w14:paraId="7FC62840">
                  <w:pPr>
                    <w:pStyle w:val="8"/>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序号</w:t>
                  </w:r>
                </w:p>
              </w:tc>
              <w:tc>
                <w:tcPr>
                  <w:tcW w:w="493" w:type="pct"/>
                  <w:tcBorders>
                    <w:tl2br w:val="nil"/>
                    <w:tr2bl w:val="nil"/>
                  </w:tcBorders>
                  <w:shd w:val="clear" w:color="auto" w:fill="auto"/>
                  <w:noWrap w:val="0"/>
                  <w:vAlign w:val="center"/>
                </w:tcPr>
                <w:p w14:paraId="175A7D3D">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类别</w:t>
                  </w:r>
                </w:p>
              </w:tc>
              <w:tc>
                <w:tcPr>
                  <w:tcW w:w="2899" w:type="pct"/>
                  <w:gridSpan w:val="2"/>
                  <w:tcBorders>
                    <w:tl2br w:val="nil"/>
                    <w:tr2bl w:val="nil"/>
                  </w:tcBorders>
                  <w:shd w:val="clear" w:color="auto" w:fill="auto"/>
                  <w:noWrap w:val="0"/>
                  <w:vAlign w:val="center"/>
                </w:tcPr>
                <w:p w14:paraId="0548FAF9">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内容</w:t>
                  </w:r>
                </w:p>
              </w:tc>
              <w:tc>
                <w:tcPr>
                  <w:tcW w:w="536" w:type="pct"/>
                  <w:tcBorders>
                    <w:tl2br w:val="nil"/>
                    <w:tr2bl w:val="nil"/>
                  </w:tcBorders>
                  <w:shd w:val="clear" w:color="auto" w:fill="auto"/>
                  <w:noWrap w:val="0"/>
                  <w:vAlign w:val="center"/>
                </w:tcPr>
                <w:p w14:paraId="59F7ED6B">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环保投资</w:t>
                  </w:r>
                </w:p>
                <w:p w14:paraId="561F627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（万元）</w:t>
                  </w:r>
                </w:p>
              </w:tc>
              <w:tc>
                <w:tcPr>
                  <w:tcW w:w="656" w:type="pct"/>
                  <w:tcBorders>
                    <w:tl2br w:val="nil"/>
                    <w:tr2bl w:val="nil"/>
                  </w:tcBorders>
                  <w:shd w:val="clear" w:color="auto" w:fill="auto"/>
                  <w:noWrap w:val="0"/>
                  <w:vAlign w:val="center"/>
                </w:tcPr>
                <w:p w14:paraId="15E5E8E0">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备注</w:t>
                  </w:r>
                </w:p>
              </w:tc>
            </w:tr>
            <w:tr w14:paraId="0F04B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restart"/>
                  <w:tcBorders>
                    <w:tl2br w:val="nil"/>
                    <w:tr2bl w:val="nil"/>
                  </w:tcBorders>
                  <w:shd w:val="clear" w:color="auto" w:fill="auto"/>
                  <w:noWrap w:val="0"/>
                  <w:vAlign w:val="center"/>
                </w:tcPr>
                <w:p w14:paraId="1B2D08EF">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施工期</w:t>
                  </w:r>
                </w:p>
              </w:tc>
              <w:tc>
                <w:tcPr>
                  <w:tcW w:w="493" w:type="pct"/>
                  <w:tcBorders>
                    <w:tl2br w:val="nil"/>
                    <w:tr2bl w:val="nil"/>
                  </w:tcBorders>
                  <w:shd w:val="clear" w:color="auto" w:fill="auto"/>
                  <w:noWrap w:val="0"/>
                  <w:vAlign w:val="center"/>
                </w:tcPr>
                <w:p w14:paraId="23260B02">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噪声治理</w:t>
                  </w:r>
                </w:p>
              </w:tc>
              <w:tc>
                <w:tcPr>
                  <w:tcW w:w="2899" w:type="pct"/>
                  <w:gridSpan w:val="2"/>
                  <w:tcBorders>
                    <w:tl2br w:val="nil"/>
                    <w:tr2bl w:val="nil"/>
                  </w:tcBorders>
                  <w:shd w:val="clear" w:color="auto" w:fill="auto"/>
                  <w:noWrap w:val="0"/>
                  <w:vAlign w:val="center"/>
                </w:tcPr>
                <w:p w14:paraId="28711856">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选用低噪音设备、合理安排施工时间，合理布置施工平面图，加强管理等</w:t>
                  </w:r>
                </w:p>
              </w:tc>
              <w:tc>
                <w:tcPr>
                  <w:tcW w:w="536" w:type="pct"/>
                  <w:tcBorders>
                    <w:tl2br w:val="nil"/>
                    <w:tr2bl w:val="nil"/>
                  </w:tcBorders>
                  <w:shd w:val="clear" w:color="auto" w:fill="auto"/>
                  <w:noWrap w:val="0"/>
                  <w:vAlign w:val="center"/>
                </w:tcPr>
                <w:p w14:paraId="62550A1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p>
              </w:tc>
              <w:tc>
                <w:tcPr>
                  <w:tcW w:w="656" w:type="pct"/>
                  <w:tcBorders>
                    <w:tl2br w:val="nil"/>
                    <w:tr2bl w:val="nil"/>
                  </w:tcBorders>
                  <w:shd w:val="clear" w:color="auto" w:fill="auto"/>
                  <w:noWrap w:val="0"/>
                  <w:vAlign w:val="center"/>
                </w:tcPr>
                <w:p w14:paraId="7C4095C9">
                  <w:pPr>
                    <w:pStyle w:val="8"/>
                    <w:keepNext w:val="0"/>
                    <w:keepLines w:val="0"/>
                    <w:suppressLineNumbers w:val="0"/>
                    <w:bidi w:val="0"/>
                    <w:spacing w:before="0" w:beforeAutospacing="0" w:after="0" w:afterAutospacing="0"/>
                    <w:ind w:left="0" w:right="0"/>
                    <w:rPr>
                      <w:rFonts w:hint="eastAsia"/>
                      <w:lang w:val="en-US" w:eastAsia="zh-CN"/>
                    </w:rPr>
                  </w:pPr>
                </w:p>
              </w:tc>
            </w:tr>
            <w:tr w14:paraId="5F461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2E533409">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tcBorders>
                    <w:tl2br w:val="nil"/>
                    <w:tr2bl w:val="nil"/>
                  </w:tcBorders>
                  <w:shd w:val="clear" w:color="auto" w:fill="auto"/>
                  <w:noWrap w:val="0"/>
                  <w:vAlign w:val="center"/>
                </w:tcPr>
                <w:p w14:paraId="238CA66B">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固废治理</w:t>
                  </w:r>
                </w:p>
              </w:tc>
              <w:tc>
                <w:tcPr>
                  <w:tcW w:w="603" w:type="pct"/>
                  <w:tcBorders>
                    <w:tl2br w:val="nil"/>
                    <w:tr2bl w:val="nil"/>
                  </w:tcBorders>
                  <w:shd w:val="clear" w:color="auto" w:fill="auto"/>
                  <w:noWrap w:val="0"/>
                  <w:vAlign w:val="center"/>
                </w:tcPr>
                <w:p w14:paraId="65DA6079">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建筑垃圾</w:t>
                  </w:r>
                </w:p>
              </w:tc>
              <w:tc>
                <w:tcPr>
                  <w:tcW w:w="2296" w:type="pct"/>
                  <w:tcBorders>
                    <w:tl2br w:val="nil"/>
                    <w:tr2bl w:val="nil"/>
                  </w:tcBorders>
                  <w:shd w:val="clear" w:color="auto" w:fill="auto"/>
                  <w:noWrap w:val="0"/>
                  <w:vAlign w:val="center"/>
                </w:tcPr>
                <w:p w14:paraId="270770B2">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回收利用，不能回收的清运至建筑垃圾填埋场</w:t>
                  </w:r>
                </w:p>
              </w:tc>
              <w:tc>
                <w:tcPr>
                  <w:tcW w:w="536" w:type="pct"/>
                  <w:tcBorders>
                    <w:tl2br w:val="nil"/>
                    <w:tr2bl w:val="nil"/>
                  </w:tcBorders>
                  <w:shd w:val="clear" w:color="auto" w:fill="auto"/>
                  <w:noWrap w:val="0"/>
                  <w:vAlign w:val="center"/>
                </w:tcPr>
                <w:p w14:paraId="0A455EEC">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656" w:type="pct"/>
                  <w:tcBorders>
                    <w:tl2br w:val="nil"/>
                    <w:tr2bl w:val="nil"/>
                  </w:tcBorders>
                  <w:shd w:val="clear" w:color="auto" w:fill="auto"/>
                  <w:noWrap w:val="0"/>
                  <w:vAlign w:val="center"/>
                </w:tcPr>
                <w:p w14:paraId="7A6A2086">
                  <w:pPr>
                    <w:pStyle w:val="8"/>
                    <w:keepNext w:val="0"/>
                    <w:keepLines w:val="0"/>
                    <w:suppressLineNumbers w:val="0"/>
                    <w:bidi w:val="0"/>
                    <w:spacing w:before="0" w:beforeAutospacing="0" w:after="0" w:afterAutospacing="0"/>
                    <w:ind w:left="0" w:right="0"/>
                    <w:rPr>
                      <w:rFonts w:hint="eastAsia"/>
                      <w:lang w:val="en-US" w:eastAsia="zh-CN"/>
                    </w:rPr>
                  </w:pPr>
                </w:p>
              </w:tc>
            </w:tr>
            <w:tr w14:paraId="72334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trPr>
              <w:tc>
                <w:tcPr>
                  <w:tcW w:w="413" w:type="pct"/>
                  <w:vMerge w:val="restart"/>
                  <w:tcBorders>
                    <w:tl2br w:val="nil"/>
                    <w:tr2bl w:val="nil"/>
                  </w:tcBorders>
                  <w:shd w:val="clear" w:color="auto" w:fill="auto"/>
                  <w:noWrap w:val="0"/>
                  <w:vAlign w:val="center"/>
                </w:tcPr>
                <w:p w14:paraId="09EEE081">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运营期</w:t>
                  </w:r>
                </w:p>
              </w:tc>
              <w:tc>
                <w:tcPr>
                  <w:tcW w:w="493" w:type="pct"/>
                  <w:vMerge w:val="restart"/>
                  <w:tcBorders>
                    <w:tl2br w:val="nil"/>
                    <w:tr2bl w:val="nil"/>
                  </w:tcBorders>
                  <w:shd w:val="clear" w:color="auto" w:fill="auto"/>
                  <w:noWrap w:val="0"/>
                  <w:vAlign w:val="center"/>
                </w:tcPr>
                <w:p w14:paraId="1F7ABCEA">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废气治理</w:t>
                  </w:r>
                </w:p>
              </w:tc>
              <w:tc>
                <w:tcPr>
                  <w:tcW w:w="2899" w:type="pct"/>
                  <w:gridSpan w:val="2"/>
                  <w:tcBorders>
                    <w:tl2br w:val="nil"/>
                    <w:tr2bl w:val="nil"/>
                  </w:tcBorders>
                  <w:shd w:val="clear" w:color="auto" w:fill="auto"/>
                  <w:noWrap w:val="0"/>
                  <w:vAlign w:val="center"/>
                </w:tcPr>
                <w:p w14:paraId="7112E6FE">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旋风除尘器（4个）+布袋除尘器、标识标牌</w:t>
                  </w:r>
                </w:p>
              </w:tc>
              <w:tc>
                <w:tcPr>
                  <w:tcW w:w="536" w:type="pct"/>
                  <w:tcBorders>
                    <w:tl2br w:val="nil"/>
                    <w:tr2bl w:val="nil"/>
                  </w:tcBorders>
                  <w:shd w:val="clear" w:color="auto" w:fill="auto"/>
                  <w:noWrap w:val="0"/>
                  <w:vAlign w:val="center"/>
                </w:tcPr>
                <w:p w14:paraId="6CA5CA5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656" w:type="pct"/>
                  <w:tcBorders>
                    <w:tl2br w:val="nil"/>
                    <w:tr2bl w:val="nil"/>
                  </w:tcBorders>
                  <w:shd w:val="clear" w:color="auto" w:fill="auto"/>
                  <w:noWrap w:val="0"/>
                  <w:vAlign w:val="center"/>
                </w:tcPr>
                <w:p w14:paraId="6C8A6801">
                  <w:pPr>
                    <w:pStyle w:val="8"/>
                    <w:keepNext w:val="0"/>
                    <w:keepLines w:val="0"/>
                    <w:suppressLineNumbers w:val="0"/>
                    <w:bidi w:val="0"/>
                    <w:spacing w:before="0" w:beforeAutospacing="0" w:after="0" w:afterAutospacing="0"/>
                    <w:ind w:left="0" w:right="0"/>
                    <w:rPr>
                      <w:rFonts w:hint="eastAsia"/>
                      <w:lang w:val="en-US" w:eastAsia="zh-CN"/>
                    </w:rPr>
                  </w:pPr>
                </w:p>
              </w:tc>
            </w:tr>
            <w:tr w14:paraId="303E7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 w:hRule="atLeast"/>
              </w:trPr>
              <w:tc>
                <w:tcPr>
                  <w:tcW w:w="413" w:type="pct"/>
                  <w:vMerge w:val="continue"/>
                  <w:tcBorders>
                    <w:tl2br w:val="nil"/>
                    <w:tr2bl w:val="nil"/>
                  </w:tcBorders>
                  <w:shd w:val="clear" w:color="auto" w:fill="auto"/>
                  <w:noWrap w:val="0"/>
                  <w:vAlign w:val="center"/>
                </w:tcPr>
                <w:p w14:paraId="6C31475F">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vMerge w:val="continue"/>
                  <w:tcBorders>
                    <w:tl2br w:val="nil"/>
                    <w:tr2bl w:val="nil"/>
                  </w:tcBorders>
                  <w:shd w:val="clear" w:color="auto" w:fill="auto"/>
                  <w:noWrap w:val="0"/>
                  <w:vAlign w:val="center"/>
                </w:tcPr>
                <w:p w14:paraId="5E361027">
                  <w:pPr>
                    <w:pStyle w:val="8"/>
                    <w:keepNext w:val="0"/>
                    <w:keepLines w:val="0"/>
                    <w:suppressLineNumbers w:val="0"/>
                    <w:bidi w:val="0"/>
                    <w:spacing w:before="0" w:beforeAutospacing="0" w:after="0" w:afterAutospacing="0"/>
                    <w:ind w:left="0" w:right="0"/>
                    <w:rPr>
                      <w:rFonts w:hint="eastAsia"/>
                      <w:lang w:val="en-US" w:eastAsia="zh-CN"/>
                    </w:rPr>
                  </w:pPr>
                </w:p>
              </w:tc>
              <w:tc>
                <w:tcPr>
                  <w:tcW w:w="2899" w:type="pct"/>
                  <w:gridSpan w:val="2"/>
                  <w:tcBorders>
                    <w:tl2br w:val="nil"/>
                    <w:tr2bl w:val="nil"/>
                  </w:tcBorders>
                  <w:shd w:val="clear" w:color="auto" w:fill="auto"/>
                  <w:noWrap w:val="0"/>
                  <w:vAlign w:val="center"/>
                </w:tcPr>
                <w:p w14:paraId="37AAC9AF">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封闭车间、全封闭车间</w:t>
                  </w:r>
                </w:p>
              </w:tc>
              <w:tc>
                <w:tcPr>
                  <w:tcW w:w="536" w:type="pct"/>
                  <w:tcBorders>
                    <w:tl2br w:val="nil"/>
                    <w:tr2bl w:val="nil"/>
                  </w:tcBorders>
                  <w:shd w:val="clear" w:color="auto" w:fill="auto"/>
                  <w:noWrap w:val="0"/>
                  <w:vAlign w:val="center"/>
                </w:tcPr>
                <w:p w14:paraId="4DB7033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c>
                <w:tcPr>
                  <w:tcW w:w="656" w:type="pct"/>
                  <w:tcBorders>
                    <w:tl2br w:val="nil"/>
                    <w:tr2bl w:val="nil"/>
                  </w:tcBorders>
                  <w:shd w:val="clear" w:color="auto" w:fill="auto"/>
                  <w:noWrap w:val="0"/>
                  <w:vAlign w:val="center"/>
                </w:tcPr>
                <w:p w14:paraId="52FAD70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纳入工程投资</w:t>
                  </w:r>
                </w:p>
              </w:tc>
            </w:tr>
            <w:tr w14:paraId="3A49E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5013BB53">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vMerge w:val="continue"/>
                  <w:tcBorders>
                    <w:tl2br w:val="nil"/>
                    <w:tr2bl w:val="nil"/>
                  </w:tcBorders>
                  <w:shd w:val="clear" w:color="auto" w:fill="auto"/>
                  <w:noWrap w:val="0"/>
                  <w:vAlign w:val="center"/>
                </w:tcPr>
                <w:p w14:paraId="6C03085F">
                  <w:pPr>
                    <w:pStyle w:val="8"/>
                    <w:keepNext w:val="0"/>
                    <w:keepLines w:val="0"/>
                    <w:suppressLineNumbers w:val="0"/>
                    <w:bidi w:val="0"/>
                    <w:spacing w:before="0" w:beforeAutospacing="0" w:after="0" w:afterAutospacing="0"/>
                    <w:ind w:left="0" w:right="0"/>
                    <w:rPr>
                      <w:rFonts w:hint="eastAsia"/>
                      <w:lang w:val="en-US" w:eastAsia="zh-CN"/>
                    </w:rPr>
                  </w:pPr>
                </w:p>
              </w:tc>
              <w:tc>
                <w:tcPr>
                  <w:tcW w:w="2899" w:type="pct"/>
                  <w:gridSpan w:val="2"/>
                  <w:tcBorders>
                    <w:tl2br w:val="nil"/>
                    <w:tr2bl w:val="nil"/>
                  </w:tcBorders>
                  <w:shd w:val="clear" w:color="auto" w:fill="auto"/>
                  <w:noWrap w:val="0"/>
                  <w:vAlign w:val="center"/>
                </w:tcPr>
                <w:p w14:paraId="7BA0319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三级冷却水循环+冷冻</w:t>
                  </w:r>
                </w:p>
              </w:tc>
              <w:tc>
                <w:tcPr>
                  <w:tcW w:w="536" w:type="pct"/>
                  <w:tcBorders>
                    <w:tl2br w:val="nil"/>
                    <w:tr2bl w:val="nil"/>
                  </w:tcBorders>
                  <w:shd w:val="clear" w:color="auto" w:fill="auto"/>
                  <w:noWrap w:val="0"/>
                  <w:vAlign w:val="center"/>
                </w:tcPr>
                <w:p w14:paraId="53F4F524">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80</w:t>
                  </w:r>
                </w:p>
              </w:tc>
              <w:tc>
                <w:tcPr>
                  <w:tcW w:w="656" w:type="pct"/>
                  <w:tcBorders>
                    <w:tl2br w:val="nil"/>
                    <w:tr2bl w:val="nil"/>
                  </w:tcBorders>
                  <w:shd w:val="clear" w:color="auto" w:fill="auto"/>
                  <w:noWrap w:val="0"/>
                  <w:vAlign w:val="center"/>
                </w:tcPr>
                <w:p w14:paraId="0BCCB5BE">
                  <w:pPr>
                    <w:pStyle w:val="8"/>
                    <w:keepNext w:val="0"/>
                    <w:keepLines w:val="0"/>
                    <w:suppressLineNumbers w:val="0"/>
                    <w:bidi w:val="0"/>
                    <w:spacing w:before="0" w:beforeAutospacing="0" w:after="0" w:afterAutospacing="0"/>
                    <w:ind w:left="0" w:right="0"/>
                    <w:rPr>
                      <w:rFonts w:hint="eastAsia"/>
                      <w:lang w:val="en-US" w:eastAsia="zh-CN"/>
                    </w:rPr>
                  </w:pPr>
                </w:p>
              </w:tc>
            </w:tr>
            <w:tr w14:paraId="07F25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3B688399">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tcBorders>
                    <w:tl2br w:val="nil"/>
                    <w:tr2bl w:val="nil"/>
                  </w:tcBorders>
                  <w:shd w:val="clear" w:color="auto" w:fill="auto"/>
                  <w:noWrap w:val="0"/>
                  <w:vAlign w:val="center"/>
                </w:tcPr>
                <w:p w14:paraId="74EC7C11">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废水治理</w:t>
                  </w:r>
                </w:p>
              </w:tc>
              <w:tc>
                <w:tcPr>
                  <w:tcW w:w="2899" w:type="pct"/>
                  <w:gridSpan w:val="2"/>
                  <w:tcBorders>
                    <w:tl2br w:val="nil"/>
                    <w:tr2bl w:val="nil"/>
                  </w:tcBorders>
                  <w:shd w:val="clear" w:color="auto" w:fill="auto"/>
                  <w:noWrap w:val="0"/>
                  <w:vAlign w:val="center"/>
                </w:tcPr>
                <w:p w14:paraId="11B5B3DB">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进入冷却水循环系统</w:t>
                  </w:r>
                </w:p>
              </w:tc>
              <w:tc>
                <w:tcPr>
                  <w:tcW w:w="536" w:type="pct"/>
                  <w:tcBorders>
                    <w:tl2br w:val="nil"/>
                    <w:tr2bl w:val="nil"/>
                  </w:tcBorders>
                  <w:shd w:val="clear" w:color="auto" w:fill="auto"/>
                  <w:noWrap w:val="0"/>
                  <w:vAlign w:val="center"/>
                </w:tcPr>
                <w:p w14:paraId="2E655A68">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656" w:type="pct"/>
                  <w:tcBorders>
                    <w:tl2br w:val="nil"/>
                    <w:tr2bl w:val="nil"/>
                  </w:tcBorders>
                  <w:shd w:val="clear" w:color="auto" w:fill="auto"/>
                  <w:noWrap w:val="0"/>
                  <w:vAlign w:val="center"/>
                </w:tcPr>
                <w:p w14:paraId="6D191B98">
                  <w:pPr>
                    <w:pStyle w:val="8"/>
                    <w:keepNext w:val="0"/>
                    <w:keepLines w:val="0"/>
                    <w:suppressLineNumbers w:val="0"/>
                    <w:bidi w:val="0"/>
                    <w:spacing w:before="0" w:beforeAutospacing="0" w:after="0" w:afterAutospacing="0"/>
                    <w:ind w:left="0" w:right="0"/>
                    <w:rPr>
                      <w:rFonts w:hint="eastAsia"/>
                      <w:lang w:val="en-US" w:eastAsia="zh-CN"/>
                    </w:rPr>
                  </w:pPr>
                </w:p>
              </w:tc>
            </w:tr>
            <w:tr w14:paraId="2052D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5FE63090">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tcBorders>
                    <w:tl2br w:val="nil"/>
                    <w:tr2bl w:val="nil"/>
                  </w:tcBorders>
                  <w:shd w:val="clear" w:color="auto" w:fill="auto"/>
                  <w:noWrap w:val="0"/>
                  <w:vAlign w:val="center"/>
                </w:tcPr>
                <w:p w14:paraId="4ADA7E8E">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噪声治理</w:t>
                  </w:r>
                </w:p>
              </w:tc>
              <w:tc>
                <w:tcPr>
                  <w:tcW w:w="2899" w:type="pct"/>
                  <w:gridSpan w:val="2"/>
                  <w:tcBorders>
                    <w:tl2br w:val="nil"/>
                    <w:tr2bl w:val="nil"/>
                  </w:tcBorders>
                  <w:shd w:val="clear" w:color="auto" w:fill="auto"/>
                  <w:noWrap w:val="0"/>
                  <w:vAlign w:val="center"/>
                </w:tcPr>
                <w:p w14:paraId="06280F95">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基础减振、消音、隔音罩</w:t>
                  </w:r>
                </w:p>
              </w:tc>
              <w:tc>
                <w:tcPr>
                  <w:tcW w:w="536" w:type="pct"/>
                  <w:tcBorders>
                    <w:tl2br w:val="nil"/>
                    <w:tr2bl w:val="nil"/>
                  </w:tcBorders>
                  <w:shd w:val="clear" w:color="auto" w:fill="auto"/>
                  <w:noWrap w:val="0"/>
                  <w:vAlign w:val="center"/>
                </w:tcPr>
                <w:p w14:paraId="245CD24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656" w:type="pct"/>
                  <w:tcBorders>
                    <w:tl2br w:val="nil"/>
                    <w:tr2bl w:val="nil"/>
                  </w:tcBorders>
                  <w:shd w:val="clear" w:color="auto" w:fill="auto"/>
                  <w:noWrap w:val="0"/>
                  <w:vAlign w:val="center"/>
                </w:tcPr>
                <w:p w14:paraId="51F46839">
                  <w:pPr>
                    <w:pStyle w:val="8"/>
                    <w:keepNext w:val="0"/>
                    <w:keepLines w:val="0"/>
                    <w:suppressLineNumbers w:val="0"/>
                    <w:bidi w:val="0"/>
                    <w:spacing w:before="0" w:beforeAutospacing="0" w:after="0" w:afterAutospacing="0"/>
                    <w:ind w:left="0" w:right="0"/>
                    <w:rPr>
                      <w:rFonts w:hint="eastAsia"/>
                      <w:lang w:val="en-US" w:eastAsia="zh-CN"/>
                    </w:rPr>
                  </w:pPr>
                </w:p>
              </w:tc>
            </w:tr>
            <w:tr w14:paraId="49BC0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0" w:hRule="atLeast"/>
              </w:trPr>
              <w:tc>
                <w:tcPr>
                  <w:tcW w:w="413" w:type="pct"/>
                  <w:vMerge w:val="continue"/>
                  <w:tcBorders>
                    <w:tl2br w:val="nil"/>
                    <w:tr2bl w:val="nil"/>
                  </w:tcBorders>
                  <w:shd w:val="clear" w:color="auto" w:fill="auto"/>
                  <w:noWrap w:val="0"/>
                  <w:vAlign w:val="center"/>
                </w:tcPr>
                <w:p w14:paraId="72746644">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vMerge w:val="restart"/>
                  <w:tcBorders>
                    <w:tl2br w:val="nil"/>
                    <w:tr2bl w:val="nil"/>
                  </w:tcBorders>
                  <w:shd w:val="clear" w:color="auto" w:fill="auto"/>
                  <w:noWrap w:val="0"/>
                  <w:vAlign w:val="center"/>
                </w:tcPr>
                <w:p w14:paraId="1F5AAB5E">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固废治理</w:t>
                  </w:r>
                </w:p>
              </w:tc>
              <w:tc>
                <w:tcPr>
                  <w:tcW w:w="2899" w:type="pct"/>
                  <w:gridSpan w:val="2"/>
                  <w:tcBorders>
                    <w:tl2br w:val="nil"/>
                    <w:tr2bl w:val="nil"/>
                  </w:tcBorders>
                  <w:shd w:val="clear" w:color="auto" w:fill="auto"/>
                  <w:noWrap w:val="0"/>
                  <w:vAlign w:val="center"/>
                </w:tcPr>
                <w:p w14:paraId="0D9D2BED">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一般工业固废堆场、标识标牌</w:t>
                  </w:r>
                </w:p>
              </w:tc>
              <w:tc>
                <w:tcPr>
                  <w:tcW w:w="536" w:type="pct"/>
                  <w:tcBorders>
                    <w:tl2br w:val="nil"/>
                    <w:tr2bl w:val="nil"/>
                  </w:tcBorders>
                  <w:shd w:val="clear" w:color="auto" w:fill="auto"/>
                  <w:noWrap w:val="0"/>
                  <w:vAlign w:val="center"/>
                </w:tcPr>
                <w:p w14:paraId="6BA3073A">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656" w:type="pct"/>
                  <w:tcBorders>
                    <w:tl2br w:val="nil"/>
                    <w:tr2bl w:val="nil"/>
                  </w:tcBorders>
                  <w:shd w:val="clear" w:color="auto" w:fill="auto"/>
                  <w:noWrap w:val="0"/>
                  <w:vAlign w:val="center"/>
                </w:tcPr>
                <w:p w14:paraId="06B31423">
                  <w:pPr>
                    <w:pStyle w:val="8"/>
                    <w:keepNext w:val="0"/>
                    <w:keepLines w:val="0"/>
                    <w:suppressLineNumbers w:val="0"/>
                    <w:bidi w:val="0"/>
                    <w:spacing w:before="0" w:beforeAutospacing="0" w:after="0" w:afterAutospacing="0"/>
                    <w:ind w:left="0" w:right="0"/>
                    <w:rPr>
                      <w:rFonts w:hint="eastAsia"/>
                      <w:lang w:val="en-US" w:eastAsia="zh-CN"/>
                    </w:rPr>
                  </w:pPr>
                </w:p>
              </w:tc>
            </w:tr>
            <w:tr w14:paraId="05FD6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44B949F9">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vMerge w:val="continue"/>
                  <w:tcBorders>
                    <w:tl2br w:val="nil"/>
                    <w:tr2bl w:val="nil"/>
                  </w:tcBorders>
                  <w:shd w:val="clear" w:color="auto" w:fill="auto"/>
                  <w:noWrap w:val="0"/>
                  <w:vAlign w:val="center"/>
                </w:tcPr>
                <w:p w14:paraId="14371ECC">
                  <w:pPr>
                    <w:pStyle w:val="8"/>
                    <w:keepNext w:val="0"/>
                    <w:keepLines w:val="0"/>
                    <w:suppressLineNumbers w:val="0"/>
                    <w:bidi w:val="0"/>
                    <w:spacing w:before="0" w:beforeAutospacing="0" w:after="0" w:afterAutospacing="0"/>
                    <w:ind w:left="0" w:right="0"/>
                    <w:rPr>
                      <w:rFonts w:hint="eastAsia"/>
                      <w:lang w:val="en-US" w:eastAsia="zh-CN"/>
                    </w:rPr>
                  </w:pPr>
                </w:p>
              </w:tc>
              <w:tc>
                <w:tcPr>
                  <w:tcW w:w="2899" w:type="pct"/>
                  <w:gridSpan w:val="2"/>
                  <w:tcBorders>
                    <w:tl2br w:val="nil"/>
                    <w:tr2bl w:val="nil"/>
                  </w:tcBorders>
                  <w:shd w:val="clear" w:color="auto" w:fill="auto"/>
                  <w:noWrap w:val="0"/>
                  <w:vAlign w:val="center"/>
                </w:tcPr>
                <w:p w14:paraId="6CC74C10">
                  <w:pPr>
                    <w:pStyle w:val="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危废间</w:t>
                  </w:r>
                  <w:r>
                    <w:rPr>
                      <w:rFonts w:hint="eastAsia"/>
                      <w:lang w:eastAsia="zh-CN"/>
                    </w:rPr>
                    <w:t>整改</w:t>
                  </w:r>
                  <w:r>
                    <w:rPr>
                      <w:rFonts w:hint="eastAsia"/>
                      <w:lang w:val="en-US" w:eastAsia="zh-CN"/>
                    </w:rPr>
                    <w:t>、清运协议、处置费用、标识标牌</w:t>
                  </w:r>
                </w:p>
              </w:tc>
              <w:tc>
                <w:tcPr>
                  <w:tcW w:w="536" w:type="pct"/>
                  <w:tcBorders>
                    <w:tl2br w:val="nil"/>
                    <w:tr2bl w:val="nil"/>
                  </w:tcBorders>
                  <w:shd w:val="clear" w:color="auto" w:fill="auto"/>
                  <w:noWrap w:val="0"/>
                  <w:vAlign w:val="center"/>
                </w:tcPr>
                <w:p w14:paraId="053C4CEE">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656" w:type="pct"/>
                  <w:tcBorders>
                    <w:tl2br w:val="nil"/>
                    <w:tr2bl w:val="nil"/>
                  </w:tcBorders>
                  <w:shd w:val="clear" w:color="auto" w:fill="auto"/>
                  <w:noWrap w:val="0"/>
                  <w:vAlign w:val="center"/>
                </w:tcPr>
                <w:p w14:paraId="514761D0">
                  <w:pPr>
                    <w:pStyle w:val="8"/>
                    <w:keepNext w:val="0"/>
                    <w:keepLines w:val="0"/>
                    <w:suppressLineNumbers w:val="0"/>
                    <w:bidi w:val="0"/>
                    <w:spacing w:before="0" w:beforeAutospacing="0" w:after="0" w:afterAutospacing="0"/>
                    <w:ind w:left="0" w:right="0"/>
                    <w:rPr>
                      <w:rFonts w:hint="eastAsia"/>
                      <w:lang w:val="en-US" w:eastAsia="zh-CN"/>
                    </w:rPr>
                  </w:pPr>
                </w:p>
              </w:tc>
            </w:tr>
            <w:tr w14:paraId="2FCD0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413" w:type="pct"/>
                  <w:vMerge w:val="continue"/>
                  <w:tcBorders>
                    <w:tl2br w:val="nil"/>
                    <w:tr2bl w:val="nil"/>
                  </w:tcBorders>
                  <w:shd w:val="clear" w:color="auto" w:fill="auto"/>
                  <w:noWrap w:val="0"/>
                  <w:vAlign w:val="center"/>
                </w:tcPr>
                <w:p w14:paraId="58EC7CCF">
                  <w:pPr>
                    <w:pStyle w:val="8"/>
                    <w:keepNext w:val="0"/>
                    <w:keepLines w:val="0"/>
                    <w:suppressLineNumbers w:val="0"/>
                    <w:bidi w:val="0"/>
                    <w:spacing w:before="0" w:beforeAutospacing="0" w:after="0" w:afterAutospacing="0"/>
                    <w:ind w:left="0" w:right="0"/>
                    <w:rPr>
                      <w:rFonts w:hint="eastAsia"/>
                      <w:lang w:val="en-US" w:eastAsia="zh-CN"/>
                    </w:rPr>
                  </w:pPr>
                </w:p>
              </w:tc>
              <w:tc>
                <w:tcPr>
                  <w:tcW w:w="493" w:type="pct"/>
                  <w:tcBorders>
                    <w:tl2br w:val="nil"/>
                    <w:tr2bl w:val="nil"/>
                  </w:tcBorders>
                  <w:shd w:val="clear" w:color="auto" w:fill="auto"/>
                  <w:noWrap w:val="0"/>
                  <w:vAlign w:val="center"/>
                </w:tcPr>
                <w:p w14:paraId="634C998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风险</w:t>
                  </w:r>
                </w:p>
              </w:tc>
              <w:tc>
                <w:tcPr>
                  <w:tcW w:w="2899" w:type="pct"/>
                  <w:gridSpan w:val="2"/>
                  <w:tcBorders>
                    <w:tl2br w:val="nil"/>
                    <w:tr2bl w:val="nil"/>
                  </w:tcBorders>
                  <w:shd w:val="clear" w:color="auto" w:fill="auto"/>
                  <w:noWrap w:val="0"/>
                  <w:vAlign w:val="center"/>
                </w:tcPr>
                <w:p w14:paraId="6D43FEB7">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围堰、防渗层、应急物资</w:t>
                  </w:r>
                </w:p>
              </w:tc>
              <w:tc>
                <w:tcPr>
                  <w:tcW w:w="536" w:type="pct"/>
                  <w:tcBorders>
                    <w:tl2br w:val="nil"/>
                    <w:tr2bl w:val="nil"/>
                  </w:tcBorders>
                  <w:shd w:val="clear" w:color="auto" w:fill="auto"/>
                  <w:noWrap w:val="0"/>
                  <w:vAlign w:val="center"/>
                </w:tcPr>
                <w:p w14:paraId="1B2A1772">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10</w:t>
                  </w:r>
                </w:p>
              </w:tc>
              <w:tc>
                <w:tcPr>
                  <w:tcW w:w="656" w:type="pct"/>
                  <w:tcBorders>
                    <w:tl2br w:val="nil"/>
                    <w:tr2bl w:val="nil"/>
                  </w:tcBorders>
                  <w:shd w:val="clear" w:color="auto" w:fill="auto"/>
                  <w:noWrap w:val="0"/>
                  <w:vAlign w:val="center"/>
                </w:tcPr>
                <w:p w14:paraId="55CCDFB3">
                  <w:pPr>
                    <w:pStyle w:val="8"/>
                    <w:keepNext w:val="0"/>
                    <w:keepLines w:val="0"/>
                    <w:suppressLineNumbers w:val="0"/>
                    <w:bidi w:val="0"/>
                    <w:spacing w:before="0" w:beforeAutospacing="0" w:after="0" w:afterAutospacing="0"/>
                    <w:ind w:left="0" w:right="0"/>
                    <w:rPr>
                      <w:rFonts w:hint="eastAsia"/>
                      <w:lang w:val="en-US" w:eastAsia="zh-CN"/>
                    </w:rPr>
                  </w:pPr>
                </w:p>
              </w:tc>
            </w:tr>
            <w:tr w14:paraId="003EF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0" w:hRule="atLeast"/>
              </w:trPr>
              <w:tc>
                <w:tcPr>
                  <w:tcW w:w="3807" w:type="pct"/>
                  <w:gridSpan w:val="4"/>
                  <w:tcBorders>
                    <w:right w:val="single" w:color="000000" w:sz="4" w:space="0"/>
                    <w:tl2br w:val="nil"/>
                    <w:tr2bl w:val="nil"/>
                  </w:tcBorders>
                  <w:shd w:val="clear" w:color="auto" w:fill="auto"/>
                  <w:noWrap w:val="0"/>
                  <w:vAlign w:val="center"/>
                </w:tcPr>
                <w:p w14:paraId="660EB2B6">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总计</w:t>
                  </w:r>
                </w:p>
              </w:tc>
              <w:tc>
                <w:tcPr>
                  <w:tcW w:w="536" w:type="pct"/>
                  <w:tcBorders>
                    <w:left w:val="single" w:color="000000" w:sz="4" w:space="0"/>
                    <w:tl2br w:val="nil"/>
                    <w:tr2bl w:val="nil"/>
                  </w:tcBorders>
                  <w:shd w:val="clear" w:color="auto" w:fill="auto"/>
                  <w:noWrap w:val="0"/>
                  <w:vAlign w:val="center"/>
                </w:tcPr>
                <w:p w14:paraId="312C7AF9">
                  <w:pPr>
                    <w:pStyle w:val="8"/>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135</w:t>
                  </w:r>
                </w:p>
              </w:tc>
              <w:tc>
                <w:tcPr>
                  <w:tcW w:w="656" w:type="pct"/>
                  <w:tcBorders>
                    <w:left w:val="single" w:color="000000" w:sz="4" w:space="0"/>
                    <w:tl2br w:val="nil"/>
                    <w:tr2bl w:val="nil"/>
                  </w:tcBorders>
                  <w:shd w:val="clear" w:color="auto" w:fill="auto"/>
                  <w:noWrap w:val="0"/>
                  <w:vAlign w:val="center"/>
                </w:tcPr>
                <w:p w14:paraId="3E2D70F9">
                  <w:pPr>
                    <w:pStyle w:val="8"/>
                    <w:keepNext w:val="0"/>
                    <w:keepLines w:val="0"/>
                    <w:suppressLineNumbers w:val="0"/>
                    <w:bidi w:val="0"/>
                    <w:spacing w:before="0" w:beforeAutospacing="0" w:after="0" w:afterAutospacing="0"/>
                    <w:ind w:left="0" w:right="0"/>
                    <w:rPr>
                      <w:rFonts w:hint="eastAsia"/>
                      <w:lang w:val="en-US" w:eastAsia="zh-CN"/>
                    </w:rPr>
                  </w:pPr>
                </w:p>
              </w:tc>
            </w:tr>
          </w:tbl>
          <w:p w14:paraId="53671A76">
            <w:pPr>
              <w:keepNext w:val="0"/>
              <w:keepLines w:val="0"/>
              <w:suppressLineNumbers w:val="0"/>
              <w:bidi w:val="0"/>
              <w:spacing w:before="0" w:beforeAutospacing="0" w:after="0" w:afterAutospacing="0"/>
              <w:ind w:left="0" w:leftChars="0" w:right="0" w:firstLine="0" w:firstLineChars="0"/>
              <w:rPr>
                <w:rFonts w:hint="eastAsia"/>
                <w:lang w:val="en-US" w:eastAsia="zh-CN"/>
              </w:rPr>
            </w:pPr>
            <w:r>
              <w:rPr>
                <w:rFonts w:hint="eastAsia"/>
                <w:lang w:val="en-US" w:eastAsia="zh-CN"/>
              </w:rPr>
              <w:t xml:space="preserve"> </w:t>
            </w:r>
          </w:p>
          <w:p w14:paraId="04C3FB50">
            <w:pPr>
              <w:keepNext w:val="0"/>
              <w:keepLines w:val="0"/>
              <w:suppressLineNumbers w:val="0"/>
              <w:bidi w:val="0"/>
              <w:spacing w:before="0" w:beforeAutospacing="0" w:after="0" w:afterAutospacing="0"/>
              <w:ind w:left="0" w:leftChars="0" w:right="0" w:firstLine="0" w:firstLineChars="0"/>
              <w:rPr>
                <w:rFonts w:hint="eastAsia"/>
                <w:lang w:val="en-US" w:eastAsia="zh-CN"/>
              </w:rPr>
            </w:pPr>
          </w:p>
          <w:p w14:paraId="1B5A16F6">
            <w:pPr>
              <w:keepNext w:val="0"/>
              <w:keepLines w:val="0"/>
              <w:suppressLineNumbers w:val="0"/>
              <w:bidi w:val="0"/>
              <w:spacing w:before="0" w:beforeAutospacing="0" w:after="0" w:afterAutospacing="0"/>
              <w:ind w:left="0" w:leftChars="0" w:right="0" w:firstLine="0" w:firstLineChars="0"/>
              <w:rPr>
                <w:rFonts w:hint="default" w:eastAsia="宋体"/>
                <w:lang w:val="en-US" w:eastAsia="zh-CN"/>
              </w:rPr>
            </w:pPr>
          </w:p>
        </w:tc>
      </w:tr>
    </w:tbl>
    <w:p w14:paraId="6E4547C7">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2FA8164E">
      <w:pPr>
        <w:numPr>
          <w:ilvl w:val="0"/>
          <w:numId w:val="8"/>
        </w:numPr>
        <w:ind w:right="0" w:rightChars="0"/>
        <w:jc w:val="center"/>
        <w:outlineLvl w:val="0"/>
        <w:rPr>
          <w:rFonts w:hint="default" w:ascii="黑体" w:hAnsi="黑体" w:eastAsia="黑体" w:cs="Times New Roman"/>
          <w:snapToGrid w:val="0"/>
          <w:color w:val="000000" w:themeColor="text1"/>
          <w:kern w:val="0"/>
          <w:sz w:val="30"/>
          <w:szCs w:val="30"/>
          <w:lang w:val="en-US" w:eastAsia="zh-CN" w:bidi="ar-SA"/>
          <w14:textFill>
            <w14:solidFill>
              <w14:schemeClr w14:val="tx1"/>
            </w14:solidFill>
          </w14:textFill>
        </w:rPr>
      </w:pPr>
      <w:r>
        <w:rPr>
          <w:rFonts w:hint="default" w:ascii="黑体" w:hAnsi="黑体" w:eastAsia="黑体" w:cs="Times New Roman"/>
          <w:snapToGrid w:val="0"/>
          <w:color w:val="000000" w:themeColor="text1"/>
          <w:kern w:val="0"/>
          <w:sz w:val="30"/>
          <w:szCs w:val="30"/>
          <w:lang w:val="en-US" w:eastAsia="zh-CN" w:bidi="ar-SA"/>
          <w14:textFill>
            <w14:solidFill>
              <w14:schemeClr w14:val="tx1"/>
            </w14:solidFill>
          </w14:textFill>
        </w:rPr>
        <w:t>环境保护措施监督检查清单</w:t>
      </w:r>
    </w:p>
    <w:tbl>
      <w:tblPr>
        <w:tblStyle w:val="31"/>
        <w:tblW w:w="0" w:type="auto"/>
        <w:tblInd w:w="12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585"/>
        <w:gridCol w:w="1397"/>
        <w:gridCol w:w="2191"/>
        <w:gridCol w:w="2969"/>
      </w:tblGrid>
      <w:tr w14:paraId="4E20D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5228475F">
            <w:pPr>
              <w:pStyle w:val="12"/>
              <w:keepNext w:val="0"/>
              <w:keepLines w:val="0"/>
              <w:suppressLineNumbers w:val="0"/>
              <w:bidi w:val="0"/>
              <w:spacing w:before="0" w:beforeAutospacing="0" w:after="0" w:afterAutospacing="0"/>
              <w:ind w:left="0"/>
              <mc:AlternateContent>
                <mc:Choice Requires="wpsCustomData">
                  <wpsCustomData:diagonalParaType/>
                </mc:Choice>
              </mc:AlternateContent>
              <w:rPr>
                <w:rFonts w:hint="default"/>
                <w:sz w:val="24"/>
                <w:szCs w:val="24"/>
                <w:lang w:val="en-US" w:eastAsia="zh-CN"/>
              </w:rPr>
            </w:pPr>
            <w:r>
              <w:rPr>
                <w:rFonts w:hint="default"/>
                <w:sz w:val="24"/>
                <w:szCs w:val="24"/>
                <w:lang w:val="en-US" w:eastAsia="zh-CN"/>
              </w:rPr>
              <w:t>要素</w:t>
            </w:r>
          </w:p>
          <w:p w14:paraId="65DEA10C">
            <w:pPr>
              <w:pStyle w:val="12"/>
              <w:keepNext w:val="0"/>
              <w:keepLines w:val="0"/>
              <w:suppressLineNumbers w:val="0"/>
              <w:bidi w:val="0"/>
              <w:spacing w:before="0" w:beforeAutospacing="0" w:after="0" w:afterAutospacing="0"/>
              <w:ind w:left="0"/>
              <w:rPr>
                <w:rFonts w:hint="default"/>
                <w:sz w:val="24"/>
                <w:szCs w:val="24"/>
                <w:lang w:val="en-US" w:eastAsia="zh-CN"/>
              </w:rPr>
            </w:pPr>
            <w:r>
              <w:rPr>
                <w:rFonts w:hint="default"/>
                <w:sz w:val="24"/>
                <w:szCs w:val="24"/>
                <w:lang w:val="en-US" w:eastAsia="zh-CN"/>
              </w:rPr>
              <w:t>内容</w:t>
            </w:r>
          </w:p>
        </w:tc>
        <w:tc>
          <w:tcPr>
            <w:tcW w:w="1585" w:type="dxa"/>
            <w:tcBorders>
              <w:tl2br w:val="nil"/>
              <w:tr2bl w:val="nil"/>
            </w:tcBorders>
            <w:vAlign w:val="center"/>
          </w:tcPr>
          <w:p w14:paraId="09ED460F">
            <w:pPr>
              <w:pStyle w:val="12"/>
              <w:keepNext w:val="0"/>
              <w:keepLines w:val="0"/>
              <w:suppressLineNumbers w:val="0"/>
              <w:bidi w:val="0"/>
              <w:spacing w:before="0" w:beforeAutospacing="0" w:after="0" w:afterAutospacing="0"/>
              <w:ind w:left="0"/>
              <w:rPr>
                <w:rFonts w:hint="default"/>
                <w:sz w:val="24"/>
                <w:szCs w:val="24"/>
              </w:rPr>
            </w:pPr>
            <w:r>
              <w:rPr>
                <w:rFonts w:hint="eastAsia"/>
                <w:sz w:val="24"/>
                <w:szCs w:val="24"/>
                <w:lang w:eastAsia="zh-CN"/>
              </w:rPr>
              <w:t>排放口（编号、名称）</w:t>
            </w:r>
            <w:r>
              <w:rPr>
                <w:rFonts w:hint="default"/>
                <w:sz w:val="24"/>
                <w:szCs w:val="24"/>
              </w:rPr>
              <w:t>污染源</w:t>
            </w:r>
          </w:p>
        </w:tc>
        <w:tc>
          <w:tcPr>
            <w:tcW w:w="1397" w:type="dxa"/>
            <w:tcBorders>
              <w:tl2br w:val="nil"/>
              <w:tr2bl w:val="nil"/>
            </w:tcBorders>
            <w:vAlign w:val="center"/>
          </w:tcPr>
          <w:p w14:paraId="089E6F69">
            <w:pPr>
              <w:pStyle w:val="12"/>
              <w:keepNext w:val="0"/>
              <w:keepLines w:val="0"/>
              <w:suppressLineNumbers w:val="0"/>
              <w:bidi w:val="0"/>
              <w:spacing w:before="0" w:beforeAutospacing="0" w:after="0" w:afterAutospacing="0"/>
              <w:ind w:left="0"/>
              <w:rPr>
                <w:rFonts w:hint="default"/>
                <w:sz w:val="24"/>
                <w:szCs w:val="24"/>
                <w:lang w:val="en-US" w:eastAsia="zh-CN"/>
              </w:rPr>
            </w:pPr>
            <w:r>
              <w:rPr>
                <w:rFonts w:hint="default"/>
                <w:sz w:val="24"/>
                <w:szCs w:val="24"/>
                <w:lang w:val="en-US" w:eastAsia="zh-CN"/>
              </w:rPr>
              <w:t>污染物</w:t>
            </w:r>
          </w:p>
          <w:p w14:paraId="7BDC6929">
            <w:pPr>
              <w:pStyle w:val="12"/>
              <w:keepNext w:val="0"/>
              <w:keepLines w:val="0"/>
              <w:suppressLineNumbers w:val="0"/>
              <w:bidi w:val="0"/>
              <w:spacing w:before="0" w:beforeAutospacing="0" w:after="0" w:afterAutospacing="0"/>
              <w:ind w:left="0"/>
              <w:rPr>
                <w:rFonts w:hint="default"/>
                <w:sz w:val="24"/>
                <w:szCs w:val="24"/>
                <w:lang w:val="en-US" w:eastAsia="zh-CN"/>
              </w:rPr>
            </w:pPr>
            <w:r>
              <w:rPr>
                <w:rFonts w:hint="default"/>
                <w:sz w:val="24"/>
                <w:szCs w:val="24"/>
                <w:lang w:val="en-US" w:eastAsia="zh-CN"/>
              </w:rPr>
              <w:t>项目</w:t>
            </w:r>
          </w:p>
        </w:tc>
        <w:tc>
          <w:tcPr>
            <w:tcW w:w="2191" w:type="dxa"/>
            <w:tcBorders>
              <w:tl2br w:val="nil"/>
              <w:tr2bl w:val="nil"/>
            </w:tcBorders>
            <w:vAlign w:val="center"/>
          </w:tcPr>
          <w:p w14:paraId="7C72C373">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环境保护</w:t>
            </w:r>
          </w:p>
          <w:p w14:paraId="791F121A">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措施</w:t>
            </w:r>
          </w:p>
        </w:tc>
        <w:tc>
          <w:tcPr>
            <w:tcW w:w="2969" w:type="dxa"/>
            <w:tcBorders>
              <w:tl2br w:val="nil"/>
              <w:tr2bl w:val="nil"/>
            </w:tcBorders>
            <w:vAlign w:val="center"/>
          </w:tcPr>
          <w:p w14:paraId="673F6B0D">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执行标准</w:t>
            </w:r>
          </w:p>
        </w:tc>
      </w:tr>
      <w:tr w14:paraId="39764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vMerge w:val="restart"/>
            <w:tcBorders>
              <w:tl2br w:val="nil"/>
              <w:tr2bl w:val="nil"/>
            </w:tcBorders>
            <w:vAlign w:val="center"/>
          </w:tcPr>
          <w:p w14:paraId="44C08536">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大气环境</w:t>
            </w:r>
          </w:p>
        </w:tc>
        <w:tc>
          <w:tcPr>
            <w:tcW w:w="1585" w:type="dxa"/>
            <w:tcBorders>
              <w:tl2br w:val="nil"/>
              <w:tr2bl w:val="nil"/>
            </w:tcBorders>
            <w:shd w:val="clear" w:color="auto" w:fill="auto"/>
            <w:vAlign w:val="center"/>
          </w:tcPr>
          <w:p w14:paraId="598B1F37">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default" w:ascii="Times New Roman" w:hAnsi="Times New Roman" w:eastAsia="宋体" w:cs="Times New Roman"/>
                <w:kern w:val="2"/>
                <w:sz w:val="21"/>
                <w:szCs w:val="21"/>
                <w:lang w:val="en-US" w:eastAsia="zh-CN" w:bidi="ar-SA"/>
              </w:rPr>
            </w:pPr>
            <w:r>
              <w:rPr>
                <w:rFonts w:hint="eastAsia" w:eastAsia="宋体"/>
                <w:lang w:val="en-US" w:eastAsia="zh-CN"/>
              </w:rPr>
              <w:t>DA00</w:t>
            </w:r>
            <w:r>
              <w:rPr>
                <w:rFonts w:hint="eastAsia"/>
                <w:lang w:val="en-US" w:eastAsia="zh-CN"/>
              </w:rPr>
              <w:t>1</w:t>
            </w:r>
          </w:p>
        </w:tc>
        <w:tc>
          <w:tcPr>
            <w:tcW w:w="1397" w:type="dxa"/>
            <w:tcBorders>
              <w:tl2br w:val="nil"/>
              <w:tr2bl w:val="nil"/>
            </w:tcBorders>
            <w:shd w:val="clear" w:color="auto" w:fill="auto"/>
            <w:vAlign w:val="center"/>
          </w:tcPr>
          <w:p w14:paraId="6200C2F1">
            <w:pPr>
              <w:pStyle w:val="1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0"/>
                <w:sz w:val="24"/>
                <w:szCs w:val="24"/>
                <w:lang w:val="en-US" w:eastAsia="zh-CN" w:bidi="ar-SA"/>
              </w:rPr>
            </w:pPr>
            <w:r>
              <w:rPr>
                <w:rFonts w:hint="eastAsia" w:cs="Times New Roman"/>
                <w:sz w:val="24"/>
                <w:szCs w:val="24"/>
                <w:lang w:val="en-US" w:eastAsia="zh-CN"/>
              </w:rPr>
              <w:t>颗粒物</w:t>
            </w:r>
          </w:p>
        </w:tc>
        <w:tc>
          <w:tcPr>
            <w:tcW w:w="2191" w:type="dxa"/>
            <w:tcBorders>
              <w:tl2br w:val="nil"/>
              <w:tr2bl w:val="nil"/>
            </w:tcBorders>
            <w:shd w:val="clear" w:color="auto" w:fill="auto"/>
            <w:vAlign w:val="center"/>
          </w:tcPr>
          <w:p w14:paraId="4D0FCFB3">
            <w:pPr>
              <w:pStyle w:val="1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0"/>
                <w:sz w:val="24"/>
                <w:szCs w:val="24"/>
                <w:lang w:val="en-US" w:eastAsia="zh-CN" w:bidi="ar-SA"/>
              </w:rPr>
            </w:pPr>
            <w:r>
              <w:rPr>
                <w:rFonts w:hint="eastAsia" w:cs="Times New Roman"/>
                <w:sz w:val="24"/>
                <w:szCs w:val="24"/>
                <w:lang w:val="en-US" w:eastAsia="zh-CN"/>
              </w:rPr>
              <w:t>二级旋风除尘+布袋除尘</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15</w:t>
            </w:r>
            <w:r>
              <w:rPr>
                <w:rFonts w:hint="eastAsia" w:ascii="Times New Roman" w:hAnsi="Times New Roman" w:eastAsia="宋体" w:cs="Times New Roman"/>
                <w:sz w:val="24"/>
                <w:szCs w:val="24"/>
                <w:lang w:val="en-US" w:eastAsia="zh-CN"/>
              </w:rPr>
              <w:t>m排气筒</w:t>
            </w:r>
          </w:p>
        </w:tc>
        <w:tc>
          <w:tcPr>
            <w:tcW w:w="2969" w:type="dxa"/>
            <w:tcBorders>
              <w:tl2br w:val="nil"/>
              <w:tr2bl w:val="nil"/>
            </w:tcBorders>
            <w:shd w:val="clear" w:color="auto" w:fill="auto"/>
            <w:vAlign w:val="center"/>
          </w:tcPr>
          <w:p w14:paraId="0BC68927">
            <w:pPr>
              <w:pStyle w:val="1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color w:val="auto"/>
                <w:sz w:val="24"/>
                <w:szCs w:val="24"/>
                <w:lang w:val="en-US" w:eastAsia="zh-CN"/>
              </w:rPr>
              <w:t>《大气污染物综合排放标准》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GB16297- 1996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表2</w:t>
            </w:r>
            <w:r>
              <w:rPr>
                <w:rFonts w:hint="eastAsia" w:ascii="Times New Roman" w:hAnsi="Times New Roman" w:eastAsia="宋体" w:cs="Times New Roman"/>
                <w:color w:val="auto"/>
                <w:sz w:val="24"/>
                <w:szCs w:val="24"/>
                <w:lang w:val="en-US" w:eastAsia="zh-CN"/>
              </w:rPr>
              <w:t>限值要求</w:t>
            </w:r>
          </w:p>
        </w:tc>
      </w:tr>
      <w:tr w14:paraId="78EE6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vMerge w:val="continue"/>
            <w:tcBorders>
              <w:tl2br w:val="nil"/>
              <w:tr2bl w:val="nil"/>
            </w:tcBorders>
            <w:vAlign w:val="center"/>
          </w:tcPr>
          <w:p w14:paraId="44141330">
            <w:pPr>
              <w:pStyle w:val="12"/>
              <w:keepNext w:val="0"/>
              <w:keepLines w:val="0"/>
              <w:suppressLineNumbers w:val="0"/>
              <w:bidi w:val="0"/>
              <w:spacing w:before="0" w:beforeAutospacing="0" w:after="0" w:afterAutospacing="0"/>
              <w:ind w:left="0"/>
              <w:rPr>
                <w:rFonts w:hint="default"/>
                <w:sz w:val="24"/>
                <w:szCs w:val="24"/>
              </w:rPr>
            </w:pPr>
          </w:p>
        </w:tc>
        <w:tc>
          <w:tcPr>
            <w:tcW w:w="1585" w:type="dxa"/>
            <w:tcBorders>
              <w:tl2br w:val="nil"/>
              <w:tr2bl w:val="nil"/>
            </w:tcBorders>
            <w:shd w:val="clear" w:color="auto" w:fill="auto"/>
            <w:vAlign w:val="center"/>
          </w:tcPr>
          <w:p w14:paraId="6F6225A6">
            <w:pPr>
              <w:pStyle w:val="53"/>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textAlignment w:val="center"/>
              <w:rPr>
                <w:rFonts w:hint="eastAsia" w:ascii="Times New Roman" w:hAnsi="Times New Roman" w:eastAsia="宋体" w:cs="Times New Roman"/>
                <w:kern w:val="2"/>
                <w:sz w:val="21"/>
                <w:szCs w:val="21"/>
                <w:lang w:val="en-US" w:eastAsia="zh-CN" w:bidi="ar-SA"/>
              </w:rPr>
            </w:pPr>
            <w:r>
              <w:rPr>
                <w:rFonts w:hint="eastAsia" w:eastAsia="宋体"/>
                <w:lang w:val="en-US" w:eastAsia="zh-CN"/>
              </w:rPr>
              <w:t>DA00</w:t>
            </w:r>
            <w:r>
              <w:rPr>
                <w:rFonts w:hint="eastAsia"/>
                <w:lang w:val="en-US" w:eastAsia="zh-CN"/>
              </w:rPr>
              <w:t>2</w:t>
            </w:r>
          </w:p>
        </w:tc>
        <w:tc>
          <w:tcPr>
            <w:tcW w:w="1397" w:type="dxa"/>
            <w:tcBorders>
              <w:tl2br w:val="nil"/>
              <w:tr2bl w:val="nil"/>
            </w:tcBorders>
            <w:shd w:val="clear" w:color="auto" w:fill="auto"/>
            <w:vAlign w:val="center"/>
          </w:tcPr>
          <w:p w14:paraId="40804DF8">
            <w:pPr>
              <w:pStyle w:val="1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0"/>
                <w:sz w:val="24"/>
                <w:szCs w:val="24"/>
                <w:lang w:val="en-US" w:eastAsia="zh-CN" w:bidi="ar-SA"/>
              </w:rPr>
            </w:pPr>
            <w:r>
              <w:rPr>
                <w:rFonts w:hint="eastAsia" w:cs="Times New Roman"/>
                <w:sz w:val="24"/>
                <w:szCs w:val="24"/>
                <w:lang w:val="en-US" w:eastAsia="zh-CN"/>
              </w:rPr>
              <w:t>非甲烷总烃</w:t>
            </w:r>
          </w:p>
        </w:tc>
        <w:tc>
          <w:tcPr>
            <w:tcW w:w="2191" w:type="dxa"/>
            <w:tcBorders>
              <w:tl2br w:val="nil"/>
              <w:tr2bl w:val="nil"/>
            </w:tcBorders>
            <w:shd w:val="clear" w:color="auto" w:fill="auto"/>
            <w:vAlign w:val="center"/>
          </w:tcPr>
          <w:p w14:paraId="6FBFDEF8">
            <w:pPr>
              <w:pStyle w:val="12"/>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sz w:val="24"/>
                <w:szCs w:val="24"/>
                <w:lang w:val="en-US" w:eastAsia="zh-CN"/>
              </w:rPr>
              <w:t>三级循环水冷凝+冷冻回收+15m排气筒</w:t>
            </w:r>
          </w:p>
        </w:tc>
        <w:tc>
          <w:tcPr>
            <w:tcW w:w="2969" w:type="dxa"/>
            <w:tcBorders>
              <w:tl2br w:val="nil"/>
              <w:tr2bl w:val="nil"/>
            </w:tcBorders>
            <w:shd w:val="clear" w:color="auto" w:fill="auto"/>
            <w:vAlign w:val="center"/>
          </w:tcPr>
          <w:p w14:paraId="21CB58EB">
            <w:pPr>
              <w:pStyle w:val="12"/>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sz w:val="24"/>
                <w:szCs w:val="24"/>
                <w:lang w:val="en-US" w:eastAsia="zh-CN"/>
              </w:rPr>
              <w:t>《大气污染物综合排放标准》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GB16297- 1996</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表2</w:t>
            </w:r>
            <w:r>
              <w:rPr>
                <w:rFonts w:hint="eastAsia" w:ascii="Times New Roman" w:hAnsi="Times New Roman" w:eastAsia="宋体" w:cs="Times New Roman"/>
                <w:sz w:val="24"/>
                <w:szCs w:val="24"/>
                <w:lang w:val="en-US" w:eastAsia="zh-CN"/>
              </w:rPr>
              <w:t>限值要求；</w:t>
            </w:r>
          </w:p>
        </w:tc>
      </w:tr>
      <w:tr w14:paraId="2F385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vMerge w:val="continue"/>
            <w:tcBorders>
              <w:tl2br w:val="nil"/>
              <w:tr2bl w:val="nil"/>
            </w:tcBorders>
            <w:vAlign w:val="center"/>
          </w:tcPr>
          <w:p w14:paraId="344BCD01">
            <w:pPr>
              <w:pStyle w:val="12"/>
              <w:keepNext w:val="0"/>
              <w:keepLines w:val="0"/>
              <w:suppressLineNumbers w:val="0"/>
              <w:bidi w:val="0"/>
              <w:spacing w:before="0" w:beforeAutospacing="0" w:after="0" w:afterAutospacing="0"/>
              <w:ind w:left="0"/>
              <w:rPr>
                <w:rFonts w:hint="default"/>
                <w:sz w:val="24"/>
                <w:szCs w:val="24"/>
              </w:rPr>
            </w:pPr>
          </w:p>
        </w:tc>
        <w:tc>
          <w:tcPr>
            <w:tcW w:w="1585" w:type="dxa"/>
            <w:tcBorders>
              <w:tl2br w:val="nil"/>
              <w:tr2bl w:val="nil"/>
            </w:tcBorders>
            <w:vAlign w:val="center"/>
          </w:tcPr>
          <w:p w14:paraId="412B2D27">
            <w:pPr>
              <w:pStyle w:val="12"/>
              <w:keepNext w:val="0"/>
              <w:keepLines w:val="0"/>
              <w:suppressLineNumbers w:val="0"/>
              <w:bidi w:val="0"/>
              <w:spacing w:before="0" w:beforeAutospacing="0" w:after="0" w:afterAutospacing="0"/>
              <w:ind w:left="0"/>
              <w:rPr>
                <w:rFonts w:hint="eastAsia" w:cs="Times New Roman"/>
                <w:sz w:val="24"/>
                <w:szCs w:val="24"/>
                <w:lang w:val="en-US" w:eastAsia="zh-CN"/>
              </w:rPr>
            </w:pPr>
            <w:r>
              <w:rPr>
                <w:rFonts w:hint="eastAsia" w:cs="Times New Roman"/>
                <w:sz w:val="24"/>
                <w:szCs w:val="24"/>
                <w:lang w:val="en-US" w:eastAsia="zh-CN"/>
              </w:rPr>
              <w:t>厂界</w:t>
            </w:r>
          </w:p>
        </w:tc>
        <w:tc>
          <w:tcPr>
            <w:tcW w:w="1397" w:type="dxa"/>
            <w:tcBorders>
              <w:tl2br w:val="nil"/>
              <w:tr2bl w:val="nil"/>
            </w:tcBorders>
            <w:vAlign w:val="center"/>
          </w:tcPr>
          <w:p w14:paraId="28CCF695">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颗粒物</w:t>
            </w:r>
            <w:r>
              <w:rPr>
                <w:rFonts w:hint="eastAsia" w:cs="Times New Roman"/>
                <w:sz w:val="24"/>
                <w:szCs w:val="24"/>
                <w:lang w:val="en-US" w:eastAsia="zh-CN"/>
              </w:rPr>
              <w:t>、非甲烷总烃</w:t>
            </w:r>
          </w:p>
        </w:tc>
        <w:tc>
          <w:tcPr>
            <w:tcW w:w="2191" w:type="dxa"/>
            <w:tcBorders>
              <w:tl2br w:val="nil"/>
              <w:tr2bl w:val="nil"/>
            </w:tcBorders>
            <w:vAlign w:val="center"/>
          </w:tcPr>
          <w:p w14:paraId="22372E73">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封闭车间</w:t>
            </w:r>
          </w:p>
        </w:tc>
        <w:tc>
          <w:tcPr>
            <w:tcW w:w="2969" w:type="dxa"/>
            <w:tcBorders>
              <w:tl2br w:val="nil"/>
              <w:tr2bl w:val="nil"/>
            </w:tcBorders>
            <w:vAlign w:val="center"/>
          </w:tcPr>
          <w:p w14:paraId="4CB1715C">
            <w:pPr>
              <w:pStyle w:val="12"/>
              <w:keepNext w:val="0"/>
              <w:keepLines w:val="0"/>
              <w:suppressLineNumbers w:val="0"/>
              <w:bidi w:val="0"/>
              <w:spacing w:before="0" w:beforeAutospacing="0" w:after="0" w:afterAutospacing="0"/>
              <w:ind w:left="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GB16297- 1996</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表2</w:t>
            </w:r>
            <w:r>
              <w:rPr>
                <w:rFonts w:hint="eastAsia" w:ascii="Times New Roman" w:hAnsi="Times New Roman" w:eastAsia="宋体" w:cs="Times New Roman"/>
                <w:color w:val="auto"/>
                <w:sz w:val="24"/>
                <w:szCs w:val="24"/>
                <w:lang w:val="en-US" w:eastAsia="zh-CN"/>
              </w:rPr>
              <w:t>限值要求；</w:t>
            </w:r>
          </w:p>
        </w:tc>
      </w:tr>
      <w:tr w14:paraId="0238D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vMerge w:val="continue"/>
            <w:tcBorders>
              <w:tl2br w:val="nil"/>
              <w:tr2bl w:val="nil"/>
            </w:tcBorders>
            <w:vAlign w:val="center"/>
          </w:tcPr>
          <w:p w14:paraId="06AF7FB2">
            <w:pPr>
              <w:pStyle w:val="12"/>
              <w:keepNext w:val="0"/>
              <w:keepLines w:val="0"/>
              <w:suppressLineNumbers w:val="0"/>
              <w:bidi w:val="0"/>
              <w:spacing w:before="0" w:beforeAutospacing="0" w:after="0" w:afterAutospacing="0"/>
              <w:ind w:left="0"/>
              <w:rPr>
                <w:rFonts w:hint="default"/>
                <w:sz w:val="24"/>
                <w:szCs w:val="24"/>
              </w:rPr>
            </w:pPr>
          </w:p>
        </w:tc>
        <w:tc>
          <w:tcPr>
            <w:tcW w:w="1585" w:type="dxa"/>
            <w:tcBorders>
              <w:tl2br w:val="nil"/>
              <w:tr2bl w:val="nil"/>
            </w:tcBorders>
            <w:vAlign w:val="center"/>
          </w:tcPr>
          <w:p w14:paraId="59B85551">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车间外</w:t>
            </w:r>
          </w:p>
        </w:tc>
        <w:tc>
          <w:tcPr>
            <w:tcW w:w="1397" w:type="dxa"/>
            <w:tcBorders>
              <w:tl2br w:val="nil"/>
              <w:tr2bl w:val="nil"/>
            </w:tcBorders>
            <w:vAlign w:val="center"/>
          </w:tcPr>
          <w:p w14:paraId="2A95F4FD">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非甲烷总烃</w:t>
            </w:r>
          </w:p>
        </w:tc>
        <w:tc>
          <w:tcPr>
            <w:tcW w:w="2191" w:type="dxa"/>
            <w:tcBorders>
              <w:tl2br w:val="nil"/>
              <w:tr2bl w:val="nil"/>
            </w:tcBorders>
            <w:vAlign w:val="center"/>
          </w:tcPr>
          <w:p w14:paraId="127238F7">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2969" w:type="dxa"/>
            <w:tcBorders>
              <w:tl2br w:val="nil"/>
              <w:tr2bl w:val="nil"/>
            </w:tcBorders>
            <w:vAlign w:val="center"/>
          </w:tcPr>
          <w:p w14:paraId="42490182">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车间外</w:t>
            </w:r>
            <w:r>
              <w:rPr>
                <w:rFonts w:hint="default" w:ascii="Times New Roman" w:hAnsi="Times New Roman" w:eastAsia="宋体" w:cs="Times New Roman"/>
                <w:sz w:val="24"/>
                <w:szCs w:val="24"/>
                <w:lang w:val="en-US" w:eastAsia="zh-CN"/>
              </w:rPr>
              <w:t>非甲烷总烃排放浓度</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lang w:val="en-US" w:eastAsia="zh-CN"/>
              </w:rPr>
              <w:t>《挥发性有机物无组织排放控制标准》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GB 37822-2019</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中表A. 1厂区内VOCs无组织排放限值中特别排放限值</w:t>
            </w:r>
            <w:r>
              <w:rPr>
                <w:rFonts w:hint="eastAsia" w:ascii="Times New Roman" w:hAnsi="Times New Roman" w:eastAsia="宋体" w:cs="Times New Roman"/>
                <w:sz w:val="24"/>
                <w:szCs w:val="24"/>
                <w:lang w:val="en-US" w:eastAsia="zh-CN"/>
              </w:rPr>
              <w:t>要求</w:t>
            </w:r>
          </w:p>
        </w:tc>
      </w:tr>
      <w:tr w14:paraId="14118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75382B5B">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地表</w:t>
            </w:r>
          </w:p>
          <w:p w14:paraId="6213FAEA">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水环境</w:t>
            </w:r>
          </w:p>
        </w:tc>
        <w:tc>
          <w:tcPr>
            <w:tcW w:w="1585" w:type="dxa"/>
            <w:tcBorders>
              <w:tl2br w:val="nil"/>
              <w:tr2bl w:val="nil"/>
            </w:tcBorders>
            <w:vAlign w:val="center"/>
          </w:tcPr>
          <w:p w14:paraId="2DFAD067">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sz w:val="24"/>
                <w:szCs w:val="24"/>
                <w:lang w:eastAsia="zh-CN"/>
              </w:rPr>
              <w:t>冷凝</w:t>
            </w:r>
            <w:r>
              <w:rPr>
                <w:rFonts w:hint="eastAsia"/>
                <w:sz w:val="24"/>
                <w:szCs w:val="24"/>
                <w:lang w:val="en-US" w:eastAsia="zh-CN"/>
              </w:rPr>
              <w:t>循环水</w:t>
            </w:r>
          </w:p>
        </w:tc>
        <w:tc>
          <w:tcPr>
            <w:tcW w:w="1397" w:type="dxa"/>
            <w:tcBorders>
              <w:tl2br w:val="nil"/>
              <w:tr2bl w:val="nil"/>
            </w:tcBorders>
            <w:vAlign w:val="center"/>
          </w:tcPr>
          <w:p w14:paraId="3A9185EB">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2191" w:type="dxa"/>
            <w:tcBorders>
              <w:tl2br w:val="nil"/>
              <w:tr2bl w:val="nil"/>
            </w:tcBorders>
            <w:vAlign w:val="center"/>
          </w:tcPr>
          <w:p w14:paraId="09A2CB2E">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sz w:val="24"/>
                <w:szCs w:val="24"/>
                <w:lang w:eastAsia="zh-CN"/>
              </w:rPr>
              <w:t>循环冷却工序，不外排</w:t>
            </w:r>
          </w:p>
        </w:tc>
        <w:tc>
          <w:tcPr>
            <w:tcW w:w="2969" w:type="dxa"/>
            <w:tcBorders>
              <w:tl2br w:val="nil"/>
              <w:tr2bl w:val="nil"/>
            </w:tcBorders>
            <w:vAlign w:val="center"/>
          </w:tcPr>
          <w:p w14:paraId="4B45A09D">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回用于生产，不外排</w:t>
            </w:r>
          </w:p>
        </w:tc>
      </w:tr>
      <w:tr w14:paraId="214B5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4BBE67CC">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声环境</w:t>
            </w:r>
          </w:p>
        </w:tc>
        <w:tc>
          <w:tcPr>
            <w:tcW w:w="1585" w:type="dxa"/>
            <w:tcBorders>
              <w:tl2br w:val="nil"/>
              <w:tr2bl w:val="nil"/>
            </w:tcBorders>
            <w:vAlign w:val="center"/>
          </w:tcPr>
          <w:p w14:paraId="5D785771">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生产设备</w:t>
            </w:r>
          </w:p>
        </w:tc>
        <w:tc>
          <w:tcPr>
            <w:tcW w:w="1397" w:type="dxa"/>
            <w:tcBorders>
              <w:tl2br w:val="nil"/>
              <w:tr2bl w:val="nil"/>
            </w:tcBorders>
            <w:vAlign w:val="center"/>
          </w:tcPr>
          <w:p w14:paraId="10E2F1F9">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设备噪声声级dB（A）</w:t>
            </w:r>
          </w:p>
        </w:tc>
        <w:tc>
          <w:tcPr>
            <w:tcW w:w="2191" w:type="dxa"/>
            <w:tcBorders>
              <w:tl2br w:val="nil"/>
              <w:tr2bl w:val="nil"/>
            </w:tcBorders>
            <w:vAlign w:val="center"/>
          </w:tcPr>
          <w:p w14:paraId="570C9B7B">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选用低噪声设备，配置基础减振，厂房隔声，加强设备维护</w:t>
            </w:r>
          </w:p>
        </w:tc>
        <w:tc>
          <w:tcPr>
            <w:tcW w:w="2969" w:type="dxa"/>
            <w:tcBorders>
              <w:tl2br w:val="nil"/>
              <w:tr2bl w:val="nil"/>
            </w:tcBorders>
            <w:vAlign w:val="center"/>
          </w:tcPr>
          <w:p w14:paraId="71EE14A3">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《工业企业厂界环境噪声排放标准》(GB12348-2008)</w:t>
            </w:r>
          </w:p>
          <w:p w14:paraId="4CAC4C47">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类</w:t>
            </w:r>
            <w:r>
              <w:rPr>
                <w:rFonts w:hint="eastAsia" w:ascii="Times New Roman" w:hAnsi="Times New Roman" w:eastAsia="宋体" w:cs="Times New Roman"/>
                <w:sz w:val="24"/>
                <w:szCs w:val="24"/>
                <w:lang w:val="en-US" w:eastAsia="zh-CN"/>
              </w:rPr>
              <w:t>区</w:t>
            </w:r>
            <w:r>
              <w:rPr>
                <w:rFonts w:hint="default" w:ascii="Times New Roman" w:hAnsi="Times New Roman" w:eastAsia="宋体" w:cs="Times New Roman"/>
                <w:sz w:val="24"/>
                <w:szCs w:val="24"/>
                <w:lang w:val="en-US" w:eastAsia="zh-CN"/>
              </w:rPr>
              <w:t>标准</w:t>
            </w:r>
            <w:r>
              <w:rPr>
                <w:rFonts w:hint="eastAsia" w:cs="Times New Roman"/>
                <w:sz w:val="24"/>
                <w:szCs w:val="24"/>
                <w:lang w:val="en-US" w:eastAsia="zh-CN"/>
              </w:rPr>
              <w:t>；</w:t>
            </w:r>
          </w:p>
        </w:tc>
      </w:tr>
      <w:tr w14:paraId="65A1F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278E6EC1">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电磁辐射</w:t>
            </w:r>
          </w:p>
        </w:tc>
        <w:tc>
          <w:tcPr>
            <w:tcW w:w="1585" w:type="dxa"/>
            <w:tcBorders>
              <w:tl2br w:val="nil"/>
              <w:tr2bl w:val="nil"/>
            </w:tcBorders>
            <w:vAlign w:val="center"/>
          </w:tcPr>
          <w:p w14:paraId="6C502BDF">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397" w:type="dxa"/>
            <w:tcBorders>
              <w:tl2br w:val="nil"/>
              <w:tr2bl w:val="nil"/>
            </w:tcBorders>
            <w:vAlign w:val="center"/>
          </w:tcPr>
          <w:p w14:paraId="2613F6BB">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2191" w:type="dxa"/>
            <w:tcBorders>
              <w:tl2br w:val="nil"/>
              <w:tr2bl w:val="nil"/>
            </w:tcBorders>
            <w:vAlign w:val="center"/>
          </w:tcPr>
          <w:p w14:paraId="5C80EC22">
            <w:pPr>
              <w:pStyle w:val="12"/>
              <w:keepNext w:val="0"/>
              <w:keepLines w:val="0"/>
              <w:suppressLineNumbers w:val="0"/>
              <w:bidi w:val="0"/>
              <w:spacing w:before="0" w:beforeAutospacing="0" w:after="0" w:afterAutospacing="0"/>
              <w:ind w:left="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2969" w:type="dxa"/>
            <w:tcBorders>
              <w:tl2br w:val="nil"/>
              <w:tr2bl w:val="nil"/>
            </w:tcBorders>
            <w:vAlign w:val="center"/>
          </w:tcPr>
          <w:p w14:paraId="3234504F">
            <w:pPr>
              <w:pStyle w:val="12"/>
              <w:keepNext w:val="0"/>
              <w:keepLines w:val="0"/>
              <w:suppressLineNumbers w:val="0"/>
              <w:bidi w:val="0"/>
              <w:spacing w:before="0" w:beforeAutospacing="0" w:after="0" w:afterAutospacing="0"/>
              <w:ind w:left="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r>
      <w:tr w14:paraId="362EF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69D3AE9C">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固体废物</w:t>
            </w:r>
          </w:p>
        </w:tc>
        <w:tc>
          <w:tcPr>
            <w:tcW w:w="8142" w:type="dxa"/>
            <w:gridSpan w:val="4"/>
            <w:tcBorders>
              <w:tl2br w:val="nil"/>
              <w:tr2bl w:val="nil"/>
            </w:tcBorders>
            <w:vAlign w:val="top"/>
          </w:tcPr>
          <w:p w14:paraId="7D9D82E5">
            <w:pPr>
              <w:keepNext w:val="0"/>
              <w:keepLines w:val="0"/>
              <w:suppressLineNumbers w:val="0"/>
              <w:bidi w:val="0"/>
              <w:spacing w:before="0" w:beforeAutospacing="0" w:after="0" w:afterAutospacing="0"/>
              <w:ind w:left="0" w:right="0"/>
              <w:rPr>
                <w:rFonts w:hint="eastAsia" w:ascii="Times New Roman" w:hAnsi="Times New Roman" w:eastAsia="宋体" w:cs="Times New Roman"/>
                <w:sz w:val="24"/>
                <w:szCs w:val="24"/>
                <w:lang w:val="en-US" w:eastAsia="zh-CN"/>
              </w:rPr>
            </w:pPr>
            <w:r>
              <w:rPr>
                <w:rFonts w:hint="eastAsia"/>
                <w:sz w:val="24"/>
                <w:szCs w:val="24"/>
                <w:lang w:val="en-US" w:eastAsia="zh-CN"/>
              </w:rPr>
              <w:t>辣椒粕收集后外售</w:t>
            </w:r>
            <w:r>
              <w:rPr>
                <w:rFonts w:hint="eastAsia" w:ascii="Times New Roman" w:hAnsi="Times New Roman" w:eastAsia="宋体" w:cs="Times New Roman"/>
                <w:kern w:val="0"/>
                <w:sz w:val="24"/>
                <w:szCs w:val="24"/>
                <w:lang w:val="en-US" w:eastAsia="zh-CN" w:bidi="ar-SA"/>
              </w:rPr>
              <w:t>；危险废物集中收集至</w:t>
            </w:r>
            <w:r>
              <w:rPr>
                <w:rFonts w:hint="eastAsia" w:cs="Times New Roman"/>
                <w:kern w:val="0"/>
                <w:sz w:val="24"/>
                <w:szCs w:val="24"/>
                <w:lang w:val="en-US" w:eastAsia="zh-CN" w:bidi="ar-SA"/>
              </w:rPr>
              <w:t>危险废物贮存库</w:t>
            </w:r>
            <w:r>
              <w:rPr>
                <w:rFonts w:hint="eastAsia" w:ascii="Times New Roman" w:hAnsi="Times New Roman" w:eastAsia="宋体" w:cs="Times New Roman"/>
                <w:kern w:val="0"/>
                <w:sz w:val="24"/>
                <w:szCs w:val="24"/>
                <w:lang w:val="en-US" w:eastAsia="zh-CN" w:bidi="ar-SA"/>
              </w:rPr>
              <w:t>，委托有资质单位处置。</w:t>
            </w:r>
          </w:p>
        </w:tc>
      </w:tr>
      <w:tr w14:paraId="1A0A0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07B0CBC0">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土壤及地下水污染防治措施</w:t>
            </w:r>
          </w:p>
        </w:tc>
        <w:tc>
          <w:tcPr>
            <w:tcW w:w="8142" w:type="dxa"/>
            <w:gridSpan w:val="4"/>
            <w:tcBorders>
              <w:tl2br w:val="nil"/>
              <w:tr2bl w:val="nil"/>
            </w:tcBorders>
          </w:tcPr>
          <w:p w14:paraId="111D8BDA">
            <w:pPr>
              <w:keepNext w:val="0"/>
              <w:keepLines w:val="0"/>
              <w:suppressLineNumbers w:val="0"/>
              <w:bidi w:val="0"/>
              <w:spacing w:before="0" w:beforeAutospacing="0" w:after="0" w:afterAutospacing="0"/>
              <w:ind w:left="0" w:right="0"/>
              <w:rPr>
                <w:rFonts w:hint="default"/>
                <w:sz w:val="24"/>
                <w:szCs w:val="24"/>
                <w:lang w:val="en-US" w:eastAsia="zh-CN"/>
              </w:rPr>
            </w:pPr>
            <w:r>
              <w:rPr>
                <w:rFonts w:hint="eastAsia" w:cs="Times New Roman"/>
                <w:sz w:val="24"/>
                <w:szCs w:val="24"/>
                <w:lang w:val="en-US" w:eastAsia="zh-CN"/>
              </w:rPr>
              <w:t>采取分区防渗措施：危险废物贮存库</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溶剂储罐区</w:t>
            </w:r>
            <w:r>
              <w:rPr>
                <w:rFonts w:hint="eastAsia"/>
                <w:sz w:val="24"/>
                <w:szCs w:val="24"/>
                <w:lang w:val="en-US" w:eastAsia="zh-CN"/>
              </w:rPr>
              <w:t>采用重点防渗；生产车间采取一般防渗，其他生产设施采取简单防渗。</w:t>
            </w:r>
          </w:p>
        </w:tc>
      </w:tr>
      <w:tr w14:paraId="09714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7E0ED1F0">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生态保护措施</w:t>
            </w:r>
          </w:p>
        </w:tc>
        <w:tc>
          <w:tcPr>
            <w:tcW w:w="8142" w:type="dxa"/>
            <w:gridSpan w:val="4"/>
            <w:tcBorders>
              <w:tl2br w:val="nil"/>
              <w:tr2bl w:val="nil"/>
            </w:tcBorders>
            <w:vAlign w:val="center"/>
          </w:tcPr>
          <w:p w14:paraId="632FE6F0">
            <w:pPr>
              <w:keepNext w:val="0"/>
              <w:keepLines w:val="0"/>
              <w:suppressLineNumbers w:val="0"/>
              <w:bidi w:val="0"/>
              <w:spacing w:before="0" w:beforeAutospacing="0" w:after="0" w:afterAutospacing="0"/>
              <w:ind w:left="0" w:right="0"/>
              <w:rPr>
                <w:rFonts w:hint="eastAsia"/>
                <w:sz w:val="24"/>
                <w:szCs w:val="24"/>
                <w:lang w:val="en-US" w:eastAsia="zh-CN"/>
              </w:rPr>
            </w:pPr>
            <w:r>
              <w:rPr>
                <w:rFonts w:hint="eastAsia"/>
                <w:sz w:val="24"/>
                <w:szCs w:val="24"/>
                <w:lang w:val="en-US" w:eastAsia="zh-CN"/>
              </w:rPr>
              <w:t>/</w:t>
            </w:r>
          </w:p>
        </w:tc>
      </w:tr>
      <w:tr w14:paraId="465F9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68A869B3">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环境风险防范措施</w:t>
            </w:r>
          </w:p>
        </w:tc>
        <w:tc>
          <w:tcPr>
            <w:tcW w:w="8142" w:type="dxa"/>
            <w:gridSpan w:val="4"/>
            <w:tcBorders>
              <w:tl2br w:val="nil"/>
              <w:tr2bl w:val="nil"/>
            </w:tcBorders>
            <w:vAlign w:val="center"/>
          </w:tcPr>
          <w:p w14:paraId="5E2E422E">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1</w:t>
            </w:r>
            <w:r>
              <w:rPr>
                <w:rFonts w:hint="eastAsia"/>
                <w:lang w:val="en-US" w:eastAsia="zh-CN"/>
              </w:rPr>
              <w:t>）总平面布置严格执行《建筑设计防火规范》，厂房和建筑物按规定划分等级，保证各建筑物之间留有足够的安全距离。</w:t>
            </w:r>
          </w:p>
          <w:p w14:paraId="30B351E6">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2</w:t>
            </w:r>
            <w:r>
              <w:rPr>
                <w:rFonts w:hint="eastAsia"/>
                <w:lang w:val="en-US" w:eastAsia="zh-CN"/>
              </w:rPr>
              <w:t>）储罐区应设围堰，地面应设防渗措施，一旦发生物料泄漏，泄漏物可收集并处理。</w:t>
            </w:r>
          </w:p>
          <w:p w14:paraId="33107F01">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3</w:t>
            </w:r>
            <w:r>
              <w:rPr>
                <w:rFonts w:hint="eastAsia"/>
                <w:lang w:val="en-US" w:eastAsia="zh-CN"/>
              </w:rPr>
              <w:t>）罐区设有可燃气体报警仪，一旦出现正己烷等物质泄漏易被发现。</w:t>
            </w:r>
          </w:p>
          <w:p w14:paraId="4E110DE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4</w:t>
            </w:r>
            <w:r>
              <w:rPr>
                <w:rFonts w:hint="eastAsia"/>
                <w:lang w:val="en-US" w:eastAsia="zh-CN"/>
              </w:rPr>
              <w:t>）选购的设备必须具有完备的检验手续（生产许可证、产品合格证、产品检验证等），并应符合国家现行的技术标准的要求；加工设备均应由有相应资质的单位承担设计、制造。</w:t>
            </w:r>
          </w:p>
          <w:p w14:paraId="3AE3B0CD">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5</w:t>
            </w:r>
            <w:r>
              <w:rPr>
                <w:rFonts w:hint="eastAsia"/>
                <w:lang w:val="en-US" w:eastAsia="zh-CN"/>
              </w:rPr>
              <w:t>）提高生产的自动化控制水平，加强设备维护，消除跑冒滴漏，减少生产系统的操作偏差，确保项目的生产安全。</w:t>
            </w:r>
          </w:p>
          <w:p w14:paraId="0155E79C">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w:t>
            </w:r>
            <w:r>
              <w:rPr>
                <w:rFonts w:hint="default"/>
                <w:lang w:val="en-US" w:eastAsia="zh-CN"/>
              </w:rPr>
              <w:t>6</w:t>
            </w:r>
            <w:r>
              <w:rPr>
                <w:rFonts w:hint="eastAsia"/>
                <w:lang w:val="en-US" w:eastAsia="zh-CN"/>
              </w:rPr>
              <w:t>）建立健全全厂消防系统，并按规定设置室内室外消防栓。贮存区和生产区应设置移动式灭火系统和消防冷却用水系统，并按《建筑灭火器配置设计规范》配置灭火器。</w:t>
            </w:r>
          </w:p>
          <w:p w14:paraId="29D6AF60">
            <w:pPr>
              <w:keepNext w:val="0"/>
              <w:keepLines w:val="0"/>
              <w:suppressLineNumbers w:val="0"/>
              <w:bidi w:val="0"/>
              <w:spacing w:before="0" w:beforeAutospacing="0" w:after="0" w:afterAutospacing="0"/>
              <w:ind w:left="0" w:right="0"/>
              <w:rPr>
                <w:rFonts w:hint="default"/>
                <w:szCs w:val="24"/>
              </w:rPr>
            </w:pPr>
            <w:r>
              <w:rPr>
                <w:rFonts w:hint="eastAsia"/>
                <w:lang w:val="en-US" w:eastAsia="zh-CN"/>
              </w:rPr>
              <w:t>（7）制定定期评估企业环境风险制度，制定突发环境事件应急预案，严格落实风险防控措施。</w:t>
            </w:r>
          </w:p>
        </w:tc>
      </w:tr>
      <w:tr w14:paraId="5A603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04" w:type="dxa"/>
            <w:tcBorders>
              <w:tl2br w:val="nil"/>
              <w:tr2bl w:val="nil"/>
            </w:tcBorders>
            <w:vAlign w:val="center"/>
          </w:tcPr>
          <w:p w14:paraId="074D58E1">
            <w:pPr>
              <w:pStyle w:val="12"/>
              <w:keepNext w:val="0"/>
              <w:keepLines w:val="0"/>
              <w:suppressLineNumbers w:val="0"/>
              <w:bidi w:val="0"/>
              <w:spacing w:before="0" w:beforeAutospacing="0" w:after="0" w:afterAutospacing="0"/>
              <w:ind w:left="0"/>
              <w:rPr>
                <w:rFonts w:hint="default"/>
                <w:sz w:val="24"/>
                <w:szCs w:val="24"/>
              </w:rPr>
            </w:pPr>
            <w:r>
              <w:rPr>
                <w:rFonts w:hint="default"/>
                <w:sz w:val="24"/>
                <w:szCs w:val="24"/>
              </w:rPr>
              <w:t>其他环境管理要求</w:t>
            </w:r>
          </w:p>
        </w:tc>
        <w:tc>
          <w:tcPr>
            <w:tcW w:w="8142" w:type="dxa"/>
            <w:gridSpan w:val="4"/>
            <w:tcBorders>
              <w:tl2br w:val="nil"/>
              <w:tr2bl w:val="nil"/>
            </w:tcBorders>
          </w:tcPr>
          <w:p w14:paraId="0C68B956">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1</w:t>
            </w:r>
            <w:r>
              <w:rPr>
                <w:rFonts w:hint="eastAsia"/>
                <w:lang w:eastAsia="zh-CN"/>
              </w:rPr>
              <w:t>）</w:t>
            </w:r>
            <w:r>
              <w:rPr>
                <w:rFonts w:hint="eastAsia"/>
              </w:rPr>
              <w:t>根据国家和地方相关环保政策和法规，制定企业环境保护计划的环保方针目标。并建立相应的管理监督制度。</w:t>
            </w:r>
          </w:p>
          <w:p w14:paraId="62C24AAB">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本项目建成后重新修订企业突发环境事件应急预案，并报送有关部门进行备案</w:t>
            </w:r>
            <w:r>
              <w:rPr>
                <w:rFonts w:hint="eastAsia"/>
                <w:lang w:eastAsia="zh-CN"/>
              </w:rPr>
              <w:t>。</w:t>
            </w:r>
          </w:p>
          <w:p w14:paraId="06DA19F0">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落实“三同时”制度</w:t>
            </w:r>
            <w:r>
              <w:rPr>
                <w:rFonts w:hint="default"/>
                <w:lang w:val="en-US" w:eastAsia="zh-CN"/>
              </w:rPr>
              <w:t>，按照要求开展竣工环境保护验收。</w:t>
            </w:r>
          </w:p>
          <w:p w14:paraId="713DAEB1">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4</w:t>
            </w:r>
            <w:r>
              <w:rPr>
                <w:rFonts w:hint="eastAsia"/>
                <w:lang w:eastAsia="zh-CN"/>
              </w:rPr>
              <w:t>）</w:t>
            </w:r>
            <w:r>
              <w:rPr>
                <w:rFonts w:hint="eastAsia"/>
              </w:rPr>
              <w:t>维护环保措施的正常运行和安全生产，对各种环保设施进行定期检查和维修，确保污染物达标排放，同时要推广及应用先进的环保技术和经验，最大限度降低污染物的排放量。</w:t>
            </w:r>
          </w:p>
          <w:p w14:paraId="7848BD55">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5</w:t>
            </w:r>
            <w:r>
              <w:rPr>
                <w:rFonts w:hint="eastAsia"/>
                <w:lang w:eastAsia="zh-CN"/>
              </w:rPr>
              <w:t>）</w:t>
            </w:r>
            <w:r>
              <w:rPr>
                <w:rFonts w:hint="default"/>
              </w:rPr>
              <w:t>排污单位应当按照国家环境保护相关法律法规以及排污许可证申请与核发技术规范要求</w:t>
            </w:r>
            <w:r>
              <w:rPr>
                <w:rFonts w:hint="eastAsia"/>
                <w:lang w:val="en-US" w:eastAsia="zh-CN"/>
              </w:rPr>
              <w:t>申请</w:t>
            </w:r>
            <w:r>
              <w:rPr>
                <w:rFonts w:hint="default"/>
              </w:rPr>
              <w:t>排污许可证，</w:t>
            </w:r>
            <w:r>
              <w:rPr>
                <w:rFonts w:hint="eastAsia"/>
                <w:lang w:eastAsia="zh-CN"/>
              </w:rPr>
              <w:t>保证按证排污。</w:t>
            </w:r>
          </w:p>
          <w:p w14:paraId="0712FC6A">
            <w:pPr>
              <w:pStyle w:val="12"/>
              <w:keepNext w:val="0"/>
              <w:keepLines w:val="0"/>
              <w:suppressLineNumbers w:val="0"/>
              <w:bidi w:val="0"/>
              <w:spacing w:before="0" w:beforeAutospacing="0" w:after="0" w:afterAutospacing="0"/>
              <w:ind w:left="0"/>
              <w:rPr>
                <w:rFonts w:hint="eastAsia"/>
                <w:sz w:val="24"/>
                <w:szCs w:val="24"/>
                <w:lang w:eastAsia="zh-CN"/>
              </w:rPr>
            </w:pPr>
          </w:p>
          <w:p w14:paraId="7AA1F307">
            <w:pPr>
              <w:pStyle w:val="12"/>
              <w:keepNext w:val="0"/>
              <w:keepLines w:val="0"/>
              <w:suppressLineNumbers w:val="0"/>
              <w:bidi w:val="0"/>
              <w:spacing w:before="0" w:beforeAutospacing="0" w:after="0" w:afterAutospacing="0"/>
              <w:ind w:left="0"/>
              <w:rPr>
                <w:rFonts w:hint="eastAsia"/>
                <w:sz w:val="24"/>
                <w:szCs w:val="24"/>
                <w:lang w:eastAsia="zh-CN"/>
              </w:rPr>
            </w:pPr>
          </w:p>
          <w:p w14:paraId="55028FF4">
            <w:pPr>
              <w:pStyle w:val="12"/>
              <w:keepNext w:val="0"/>
              <w:keepLines w:val="0"/>
              <w:suppressLineNumbers w:val="0"/>
              <w:bidi w:val="0"/>
              <w:spacing w:before="0" w:beforeAutospacing="0" w:after="0" w:afterAutospacing="0"/>
              <w:ind w:left="0"/>
              <w:rPr>
                <w:rFonts w:hint="eastAsia"/>
                <w:sz w:val="24"/>
                <w:szCs w:val="24"/>
                <w:lang w:eastAsia="zh-CN"/>
              </w:rPr>
            </w:pPr>
          </w:p>
          <w:p w14:paraId="437FECBE">
            <w:pPr>
              <w:pStyle w:val="24"/>
              <w:keepNext w:val="0"/>
              <w:keepLines w:val="0"/>
              <w:suppressLineNumbers w:val="0"/>
              <w:spacing w:before="0" w:beforeAutospacing="0" w:afterAutospacing="0"/>
              <w:ind w:left="0" w:right="0"/>
              <w:rPr>
                <w:rFonts w:hint="eastAsia"/>
                <w:sz w:val="24"/>
                <w:szCs w:val="24"/>
                <w:lang w:eastAsia="zh-CN"/>
              </w:rPr>
            </w:pPr>
          </w:p>
          <w:p w14:paraId="7B4D3229">
            <w:pPr>
              <w:pStyle w:val="24"/>
              <w:keepNext w:val="0"/>
              <w:keepLines w:val="0"/>
              <w:suppressLineNumbers w:val="0"/>
              <w:spacing w:before="0" w:beforeAutospacing="0" w:afterAutospacing="0"/>
              <w:ind w:left="0" w:right="0"/>
              <w:rPr>
                <w:rFonts w:hint="eastAsia"/>
                <w:sz w:val="24"/>
                <w:szCs w:val="24"/>
                <w:lang w:eastAsia="zh-CN"/>
              </w:rPr>
            </w:pPr>
          </w:p>
          <w:p w14:paraId="3AE29BE4">
            <w:pPr>
              <w:pStyle w:val="24"/>
              <w:keepNext w:val="0"/>
              <w:keepLines w:val="0"/>
              <w:suppressLineNumbers w:val="0"/>
              <w:spacing w:before="0" w:beforeAutospacing="0" w:afterAutospacing="0"/>
              <w:ind w:left="0" w:leftChars="0" w:right="0" w:firstLine="0" w:firstLineChars="0"/>
              <w:rPr>
                <w:rFonts w:hint="eastAsia"/>
                <w:sz w:val="24"/>
                <w:szCs w:val="24"/>
                <w:lang w:eastAsia="zh-CN"/>
              </w:rPr>
            </w:pPr>
          </w:p>
          <w:p w14:paraId="32673670">
            <w:pPr>
              <w:pStyle w:val="24"/>
              <w:keepNext w:val="0"/>
              <w:keepLines w:val="0"/>
              <w:suppressLineNumbers w:val="0"/>
              <w:spacing w:before="0" w:beforeAutospacing="0" w:afterAutospacing="0"/>
              <w:ind w:left="0" w:right="0"/>
              <w:rPr>
                <w:rFonts w:hint="eastAsia"/>
                <w:sz w:val="24"/>
                <w:szCs w:val="24"/>
                <w:lang w:eastAsia="zh-CN"/>
              </w:rPr>
            </w:pPr>
          </w:p>
          <w:p w14:paraId="62E07C6F">
            <w:pPr>
              <w:pStyle w:val="24"/>
              <w:keepNext w:val="0"/>
              <w:keepLines w:val="0"/>
              <w:suppressLineNumbers w:val="0"/>
              <w:spacing w:before="0" w:beforeAutospacing="0" w:afterAutospacing="0"/>
              <w:ind w:left="0" w:leftChars="0" w:right="0" w:firstLine="0" w:firstLineChars="0"/>
              <w:rPr>
                <w:rFonts w:hint="eastAsia"/>
                <w:sz w:val="24"/>
                <w:szCs w:val="24"/>
                <w:lang w:eastAsia="zh-CN"/>
              </w:rPr>
            </w:pPr>
          </w:p>
          <w:p w14:paraId="134BB75B">
            <w:pPr>
              <w:pStyle w:val="16"/>
              <w:keepNext w:val="0"/>
              <w:keepLines w:val="0"/>
              <w:widowControl w:val="0"/>
              <w:numPr>
                <w:ilvl w:val="0"/>
                <w:numId w:val="0"/>
              </w:numPr>
              <w:suppressLineNumbers w:val="0"/>
              <w:adjustRightInd w:val="0"/>
              <w:snapToGrid w:val="0"/>
              <w:spacing w:before="0" w:beforeAutospacing="0" w:after="0" w:afterAutospacing="0" w:line="360" w:lineRule="auto"/>
              <w:ind w:left="0" w:right="0"/>
              <w:jc w:val="both"/>
              <w:rPr>
                <w:rFonts w:hint="eastAsia"/>
                <w:sz w:val="24"/>
                <w:szCs w:val="24"/>
                <w:lang w:eastAsia="zh-CN"/>
              </w:rPr>
            </w:pPr>
          </w:p>
        </w:tc>
      </w:tr>
    </w:tbl>
    <w:p w14:paraId="567B0CEC">
      <w:pPr>
        <w:sectPr>
          <w:pgSz w:w="11910" w:h="16840"/>
          <w:pgMar w:top="1580" w:right="1320" w:bottom="1000" w:left="1340" w:header="0" w:footer="817" w:gutter="0"/>
          <w:pgBorders>
            <w:top w:val="none" w:sz="0" w:space="0"/>
            <w:left w:val="none" w:sz="0" w:space="0"/>
            <w:bottom w:val="none" w:sz="0" w:space="0"/>
            <w:right w:val="none" w:sz="0" w:space="0"/>
          </w:pgBorders>
          <w:pgNumType w:fmt="decimal"/>
          <w:cols w:equalWidth="0" w:num="1">
            <w:col w:w="9250"/>
          </w:cols>
        </w:sectPr>
      </w:pPr>
    </w:p>
    <w:p w14:paraId="30811A5C">
      <w:pPr>
        <w:pStyle w:val="25"/>
        <w:jc w:val="center"/>
        <w:outlineLvl w:val="0"/>
        <w:rPr>
          <w:rFonts w:hint="eastAsia"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六、结论</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AB7D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3A7A70E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该项目只要切实落实报告表中提出的各项防治措施要求，严格执行各项污染物的排放标准，积极有效地进行治理和防范，并使各项污染物达标排放，从环境保护角度考虑，该项目的</w:t>
            </w:r>
            <w:r>
              <w:rPr>
                <w:rFonts w:hint="eastAsia"/>
                <w:color w:val="000000" w:themeColor="text1"/>
                <w:sz w:val="24"/>
                <w:lang w:eastAsia="zh-CN"/>
                <w14:textFill>
                  <w14:solidFill>
                    <w14:schemeClr w14:val="tx1"/>
                  </w14:solidFill>
                </w14:textFill>
              </w:rPr>
              <w:t>环境影响</w:t>
            </w:r>
            <w:r>
              <w:rPr>
                <w:rFonts w:hint="default"/>
                <w:color w:val="000000" w:themeColor="text1"/>
                <w:sz w:val="24"/>
                <w14:textFill>
                  <w14:solidFill>
                    <w14:schemeClr w14:val="tx1"/>
                  </w14:solidFill>
                </w14:textFill>
              </w:rPr>
              <w:t>是可行的。</w:t>
            </w:r>
          </w:p>
          <w:p w14:paraId="3C74119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14:textFill>
                  <w14:solidFill>
                    <w14:schemeClr w14:val="tx1"/>
                  </w14:solidFill>
                </w14:textFill>
              </w:rPr>
            </w:pPr>
          </w:p>
          <w:p w14:paraId="5305FAC1">
            <w:pPr>
              <w:keepNext w:val="0"/>
              <w:keepLines w:val="0"/>
              <w:suppressLineNumbers w:val="0"/>
              <w:spacing w:before="0" w:beforeAutospacing="0" w:after="0" w:afterAutospacing="0" w:line="360" w:lineRule="auto"/>
              <w:ind w:left="0" w:right="0"/>
              <w:rPr>
                <w:rFonts w:hint="default" w:ascii="宋体" w:cs="宋体"/>
                <w:color w:val="000000" w:themeColor="text1"/>
                <w:sz w:val="24"/>
                <w14:textFill>
                  <w14:solidFill>
                    <w14:schemeClr w14:val="tx1"/>
                  </w14:solidFill>
                </w14:textFill>
              </w:rPr>
            </w:pPr>
          </w:p>
        </w:tc>
      </w:tr>
    </w:tbl>
    <w:p w14:paraId="7F8DD92A">
      <w:pPr>
        <w:rPr>
          <w:rFonts w:ascii="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0B87684">
      <w:pPr>
        <w:pStyle w:val="25"/>
        <w:adjustRightInd w:val="0"/>
        <w:snapToGrid w:val="0"/>
        <w:spacing w:before="0" w:beforeAutospacing="0" w:after="0" w:afterAutospacing="0" w:line="360" w:lineRule="auto"/>
        <w:jc w:val="both"/>
        <w:outlineLvl w:val="0"/>
        <w:rPr>
          <w:rFonts w:ascii="黑体" w:hAnsi="黑体" w:eastAsia="黑体"/>
          <w:snapToGrid w:val="0"/>
          <w:color w:val="000000" w:themeColor="text1"/>
          <w:sz w:val="32"/>
          <w:szCs w:val="32"/>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14:paraId="4411ECA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华文中宋" w:hAnsi="华文中宋" w:eastAsia="华文中宋" w:cs="华文中宋"/>
          <w:b/>
          <w:bCs/>
          <w:snapToGrid w:val="0"/>
          <w:color w:val="000000" w:themeColor="text1"/>
          <w:sz w:val="38"/>
          <w:szCs w:val="38"/>
          <w14:textFill>
            <w14:solidFill>
              <w14:schemeClr w14:val="tx1"/>
            </w14:solidFill>
          </w14:textFill>
        </w:rPr>
      </w:pPr>
      <w:r>
        <w:rPr>
          <w:rFonts w:hint="eastAsia" w:ascii="华文中宋" w:hAnsi="华文中宋" w:eastAsia="华文中宋" w:cs="华文中宋"/>
          <w:b/>
          <w:bCs/>
          <w:snapToGrid w:val="0"/>
          <w:color w:val="000000" w:themeColor="text1"/>
          <w:sz w:val="38"/>
          <w:szCs w:val="38"/>
          <w14:textFill>
            <w14:solidFill>
              <w14:schemeClr w14:val="tx1"/>
            </w14:solidFill>
          </w14:textFill>
        </w:rPr>
        <w:t>建设项目污染物排放量汇总表</w:t>
      </w:r>
    </w:p>
    <w:tbl>
      <w:tblPr>
        <w:tblStyle w:val="31"/>
        <w:tblW w:w="141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984"/>
        <w:gridCol w:w="1740"/>
        <w:gridCol w:w="1176"/>
        <w:gridCol w:w="1595"/>
        <w:gridCol w:w="1812"/>
        <w:gridCol w:w="1855"/>
        <w:gridCol w:w="1569"/>
        <w:gridCol w:w="1250"/>
      </w:tblGrid>
      <w:tr w14:paraId="29FF6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1153" w:type="dxa"/>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06EA2E40">
            <w:pPr>
              <w:pStyle w:val="12"/>
              <w:keepNext w:val="0"/>
              <w:keepLines w:val="0"/>
              <w:suppressLineNumbers w:val="0"/>
              <w:bidi w:val="0"/>
              <w:spacing w:before="0" w:beforeAutospacing="0" w:after="0" w:afterAutospacing="0"/>
              <w:ind w:left="0"/>
              <mc:AlternateContent>
                <mc:Choice Requires="wpsCustomData">
                  <wpsCustomData:diagonalParaType/>
                </mc:Choice>
              </mc:AlternateContent>
              <w:rPr>
                <w:rFonts w:hint="default"/>
                <w:b/>
                <w:bCs/>
                <w:lang w:val="en-US" w:eastAsia="zh-CN"/>
              </w:rPr>
            </w:pPr>
            <w:r>
              <w:rPr>
                <w:rFonts w:hint="default"/>
                <w:b/>
                <w:bCs/>
                <w:lang w:val="en-US" w:eastAsia="zh-CN"/>
              </w:rPr>
              <w:t>分类</w:t>
            </w:r>
          </w:p>
          <w:p w14:paraId="337ACB8E">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lang w:val="en-US" w:eastAsia="zh-CN"/>
              </w:rPr>
              <w:t>项目</w:t>
            </w:r>
          </w:p>
          <w:p w14:paraId="3A16435A">
            <w:pPr>
              <w:pStyle w:val="12"/>
              <w:keepNext w:val="0"/>
              <w:keepLines w:val="0"/>
              <w:suppressLineNumbers w:val="0"/>
              <w:bidi w:val="0"/>
              <w:spacing w:before="0" w:beforeAutospacing="0" w:after="0" w:afterAutospacing="0"/>
              <w:ind w:left="0"/>
              <w:rPr>
                <w:rFonts w:hint="default"/>
                <w:b/>
                <w:bCs/>
                <w:lang w:val="en-US" w:eastAsia="zh-CN"/>
              </w:rPr>
            </w:pPr>
          </w:p>
        </w:tc>
        <w:tc>
          <w:tcPr>
            <w:tcW w:w="1984" w:type="dxa"/>
            <w:tcBorders>
              <w:tl2br w:val="nil"/>
              <w:tr2bl w:val="nil"/>
            </w:tcBorders>
            <w:vAlign w:val="center"/>
          </w:tcPr>
          <w:p w14:paraId="51FCE09F">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污染物名称</w:t>
            </w:r>
          </w:p>
        </w:tc>
        <w:tc>
          <w:tcPr>
            <w:tcW w:w="1740" w:type="dxa"/>
            <w:tcBorders>
              <w:tl2br w:val="nil"/>
              <w:tr2bl w:val="nil"/>
            </w:tcBorders>
            <w:vAlign w:val="center"/>
          </w:tcPr>
          <w:p w14:paraId="07ECA2E2">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textAlignment w:val="auto"/>
              <w:rPr>
                <w:rFonts w:hint="default"/>
                <w:b/>
                <w:bCs/>
              </w:rPr>
            </w:pPr>
            <w:r>
              <w:rPr>
                <w:rFonts w:hint="default"/>
                <w:b/>
                <w:bCs/>
              </w:rPr>
              <w:t>现有工程</w:t>
            </w:r>
          </w:p>
          <w:p w14:paraId="5DD750AD">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排放量（固体废物产生量）</w:t>
            </w:r>
            <w:r>
              <w:rPr>
                <w:rFonts w:hint="eastAsia"/>
                <w:b/>
                <w:bCs/>
                <w:lang w:val="en-US" w:eastAsia="zh-CN"/>
              </w:rPr>
              <w:t>t/a</w:t>
            </w:r>
            <w:r>
              <w:rPr>
                <w:rFonts w:hint="default"/>
                <w:b/>
                <w:bCs/>
              </w:rPr>
              <w:t>①</w:t>
            </w:r>
          </w:p>
        </w:tc>
        <w:tc>
          <w:tcPr>
            <w:tcW w:w="1176" w:type="dxa"/>
            <w:tcBorders>
              <w:tl2br w:val="nil"/>
              <w:tr2bl w:val="nil"/>
            </w:tcBorders>
            <w:vAlign w:val="center"/>
          </w:tcPr>
          <w:p w14:paraId="05E68E3E">
            <w:pPr>
              <w:pStyle w:val="12"/>
              <w:keepNext w:val="0"/>
              <w:keepLines w:val="0"/>
              <w:suppressLineNumbers w:val="0"/>
              <w:bidi w:val="0"/>
              <w:spacing w:before="0" w:beforeAutospacing="0" w:after="0" w:afterAutospacing="0"/>
              <w:ind w:left="0"/>
              <w:rPr>
                <w:rFonts w:hint="default"/>
                <w:b/>
                <w:bCs/>
              </w:rPr>
            </w:pPr>
            <w:r>
              <w:rPr>
                <w:rFonts w:hint="default"/>
                <w:b/>
                <w:bCs/>
              </w:rPr>
              <w:t>现有工程</w:t>
            </w:r>
          </w:p>
          <w:p w14:paraId="4646D9F2">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许可排放量</w:t>
            </w:r>
            <w:r>
              <w:rPr>
                <w:rFonts w:hint="eastAsia"/>
                <w:b/>
                <w:bCs/>
                <w:lang w:val="en-US" w:eastAsia="zh-CN"/>
              </w:rPr>
              <w:t>t/a</w:t>
            </w:r>
            <w:r>
              <w:rPr>
                <w:rFonts w:hint="default"/>
                <w:b/>
                <w:bCs/>
              </w:rPr>
              <w:t>②</w:t>
            </w:r>
          </w:p>
        </w:tc>
        <w:tc>
          <w:tcPr>
            <w:tcW w:w="1595" w:type="dxa"/>
            <w:tcBorders>
              <w:tl2br w:val="nil"/>
              <w:tr2bl w:val="nil"/>
            </w:tcBorders>
            <w:vAlign w:val="center"/>
          </w:tcPr>
          <w:p w14:paraId="48C8211A">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在建工程排放量（固体废物产生量）</w:t>
            </w:r>
            <w:r>
              <w:rPr>
                <w:rFonts w:hint="eastAsia"/>
                <w:b/>
                <w:bCs/>
                <w:lang w:val="en-US" w:eastAsia="zh-CN"/>
              </w:rPr>
              <w:t>t/a</w:t>
            </w:r>
            <w:r>
              <w:rPr>
                <w:rFonts w:hint="default"/>
                <w:b/>
                <w:bCs/>
              </w:rPr>
              <w:t>③</w:t>
            </w:r>
          </w:p>
        </w:tc>
        <w:tc>
          <w:tcPr>
            <w:tcW w:w="1812" w:type="dxa"/>
            <w:tcBorders>
              <w:tl2br w:val="nil"/>
              <w:tr2bl w:val="nil"/>
            </w:tcBorders>
            <w:vAlign w:val="center"/>
          </w:tcPr>
          <w:p w14:paraId="0FA918AE">
            <w:pPr>
              <w:pStyle w:val="12"/>
              <w:keepNext w:val="0"/>
              <w:keepLines w:val="0"/>
              <w:suppressLineNumbers w:val="0"/>
              <w:bidi w:val="0"/>
              <w:spacing w:before="0" w:beforeAutospacing="0" w:after="0" w:afterAutospacing="0"/>
              <w:ind w:left="0"/>
              <w:rPr>
                <w:rFonts w:hint="default"/>
                <w:b/>
                <w:bCs/>
              </w:rPr>
            </w:pPr>
            <w:r>
              <w:rPr>
                <w:rFonts w:hint="default"/>
                <w:b/>
                <w:bCs/>
              </w:rPr>
              <w:t>本项目排放量</w:t>
            </w:r>
          </w:p>
          <w:p w14:paraId="0BFA1A79">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（固体废物产生量）</w:t>
            </w:r>
            <w:r>
              <w:rPr>
                <w:rFonts w:hint="eastAsia"/>
                <w:b/>
                <w:bCs/>
                <w:lang w:val="en-US" w:eastAsia="zh-CN"/>
              </w:rPr>
              <w:t>t/a</w:t>
            </w:r>
            <w:r>
              <w:rPr>
                <w:rFonts w:hint="default"/>
                <w:b/>
                <w:bCs/>
              </w:rPr>
              <w:t>④</w:t>
            </w:r>
          </w:p>
        </w:tc>
        <w:tc>
          <w:tcPr>
            <w:tcW w:w="1855" w:type="dxa"/>
            <w:tcBorders>
              <w:tl2br w:val="nil"/>
              <w:tr2bl w:val="nil"/>
            </w:tcBorders>
            <w:vAlign w:val="center"/>
          </w:tcPr>
          <w:p w14:paraId="0E1BEB21">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以新带老削减量（新建项目不填）</w:t>
            </w:r>
            <w:r>
              <w:rPr>
                <w:rFonts w:hint="eastAsia"/>
                <w:b/>
                <w:bCs/>
                <w:lang w:val="en-US" w:eastAsia="zh-CN"/>
              </w:rPr>
              <w:t>t/a</w:t>
            </w:r>
            <w:r>
              <w:rPr>
                <w:rFonts w:hint="default"/>
                <w:b/>
                <w:bCs/>
              </w:rPr>
              <w:t>⑤</w:t>
            </w:r>
          </w:p>
        </w:tc>
        <w:tc>
          <w:tcPr>
            <w:tcW w:w="1569" w:type="dxa"/>
            <w:tcBorders>
              <w:tl2br w:val="nil"/>
              <w:tr2bl w:val="nil"/>
            </w:tcBorders>
            <w:vAlign w:val="center"/>
          </w:tcPr>
          <w:p w14:paraId="26CEB1DC">
            <w:pPr>
              <w:pStyle w:val="12"/>
              <w:keepNext w:val="0"/>
              <w:keepLines w:val="0"/>
              <w:suppressLineNumbers w:val="0"/>
              <w:bidi w:val="0"/>
              <w:spacing w:before="0" w:beforeAutospacing="0" w:after="0" w:afterAutospacing="0"/>
              <w:ind w:left="0"/>
              <w:rPr>
                <w:rFonts w:hint="default"/>
                <w:b/>
                <w:bCs/>
                <w:lang w:val="en-US" w:eastAsia="zh-CN"/>
              </w:rPr>
            </w:pPr>
            <w:r>
              <w:rPr>
                <w:rFonts w:hint="default"/>
                <w:b/>
                <w:bCs/>
              </w:rPr>
              <w:t>本项目建成后全厂排放量（固体废物产生量）</w:t>
            </w:r>
            <w:r>
              <w:rPr>
                <w:rFonts w:hint="eastAsia"/>
                <w:b/>
                <w:bCs/>
                <w:lang w:val="en-US" w:eastAsia="zh-CN"/>
              </w:rPr>
              <w:t>t/a</w:t>
            </w:r>
            <w:r>
              <w:rPr>
                <w:rFonts w:hint="default"/>
                <w:b/>
                <w:bCs/>
              </w:rPr>
              <w:t>⑥</w:t>
            </w:r>
          </w:p>
        </w:tc>
        <w:tc>
          <w:tcPr>
            <w:tcW w:w="1250" w:type="dxa"/>
            <w:tcBorders>
              <w:tl2br w:val="nil"/>
              <w:tr2bl w:val="nil"/>
            </w:tcBorders>
            <w:vAlign w:val="center"/>
          </w:tcPr>
          <w:p w14:paraId="3C58EF58">
            <w:pPr>
              <w:pStyle w:val="12"/>
              <w:keepNext w:val="0"/>
              <w:keepLines w:val="0"/>
              <w:suppressLineNumbers w:val="0"/>
              <w:bidi w:val="0"/>
              <w:spacing w:before="0" w:beforeAutospacing="0" w:after="0" w:afterAutospacing="0"/>
              <w:ind w:left="0"/>
              <w:rPr>
                <w:rFonts w:hint="default"/>
                <w:b/>
                <w:bCs/>
              </w:rPr>
            </w:pPr>
            <w:r>
              <w:rPr>
                <w:rFonts w:hint="default"/>
                <w:b/>
                <w:bCs/>
              </w:rPr>
              <w:t>变化量</w:t>
            </w:r>
          </w:p>
          <w:p w14:paraId="57D27B5F">
            <w:pPr>
              <w:pStyle w:val="12"/>
              <w:keepNext w:val="0"/>
              <w:keepLines w:val="0"/>
              <w:suppressLineNumbers w:val="0"/>
              <w:bidi w:val="0"/>
              <w:spacing w:before="0" w:beforeAutospacing="0" w:after="0" w:afterAutospacing="0"/>
              <w:ind w:left="0"/>
              <w:rPr>
                <w:rFonts w:hint="default"/>
                <w:b/>
                <w:bCs/>
                <w:lang w:val="en-US" w:eastAsia="zh-CN"/>
              </w:rPr>
            </w:pPr>
            <w:r>
              <w:rPr>
                <w:rFonts w:hint="eastAsia"/>
                <w:b/>
                <w:bCs/>
                <w:lang w:val="en-US" w:eastAsia="zh-CN"/>
              </w:rPr>
              <w:t>t/a</w:t>
            </w:r>
            <w:r>
              <w:rPr>
                <w:rFonts w:hint="default"/>
                <w:b/>
                <w:bCs/>
              </w:rPr>
              <w:t>⑦</w:t>
            </w:r>
          </w:p>
        </w:tc>
      </w:tr>
      <w:tr w14:paraId="4064E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3" w:type="dxa"/>
            <w:vMerge w:val="restart"/>
            <w:tcBorders>
              <w:tl2br w:val="nil"/>
              <w:tr2bl w:val="nil"/>
            </w:tcBorders>
            <w:vAlign w:val="center"/>
          </w:tcPr>
          <w:p w14:paraId="1507BB3E">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lang w:val="en-US" w:eastAsia="zh-CN"/>
              </w:rPr>
            </w:pPr>
            <w:r>
              <w:rPr>
                <w:rFonts w:hint="default" w:cs="Times New Roman"/>
                <w:lang w:val="en-US" w:eastAsia="zh-CN"/>
              </w:rPr>
              <w:t>废气</w:t>
            </w:r>
          </w:p>
        </w:tc>
        <w:tc>
          <w:tcPr>
            <w:tcW w:w="1984" w:type="dxa"/>
            <w:tcBorders>
              <w:tl2br w:val="nil"/>
              <w:tr2bl w:val="nil"/>
            </w:tcBorders>
            <w:vAlign w:val="center"/>
          </w:tcPr>
          <w:p w14:paraId="59F5233B">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lang w:val="en-US" w:eastAsia="zh-CN"/>
              </w:rPr>
              <w:t>颗粒物</w:t>
            </w:r>
          </w:p>
        </w:tc>
        <w:tc>
          <w:tcPr>
            <w:tcW w:w="1740" w:type="dxa"/>
            <w:tcBorders>
              <w:tl2br w:val="nil"/>
              <w:tr2bl w:val="nil"/>
            </w:tcBorders>
            <w:vAlign w:val="center"/>
          </w:tcPr>
          <w:p w14:paraId="16150EAD">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1176" w:type="dxa"/>
            <w:tcBorders>
              <w:tl2br w:val="nil"/>
              <w:tr2bl w:val="nil"/>
            </w:tcBorders>
            <w:vAlign w:val="center"/>
          </w:tcPr>
          <w:p w14:paraId="4EBB40FE">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lang w:val="en-US" w:eastAsia="zh-CN"/>
              </w:rPr>
              <w:t>0</w:t>
            </w:r>
          </w:p>
        </w:tc>
        <w:tc>
          <w:tcPr>
            <w:tcW w:w="1595" w:type="dxa"/>
            <w:tcBorders>
              <w:tl2br w:val="nil"/>
              <w:tr2bl w:val="nil"/>
            </w:tcBorders>
            <w:vAlign w:val="center"/>
          </w:tcPr>
          <w:p w14:paraId="3075451A">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812" w:type="dxa"/>
            <w:tcBorders>
              <w:tl2br w:val="nil"/>
              <w:tr2bl w:val="nil"/>
            </w:tcBorders>
            <w:shd w:val="clear" w:color="auto" w:fill="auto"/>
            <w:vAlign w:val="center"/>
          </w:tcPr>
          <w:p w14:paraId="7680FDEE">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1.776</w:t>
            </w:r>
          </w:p>
        </w:tc>
        <w:tc>
          <w:tcPr>
            <w:tcW w:w="1855" w:type="dxa"/>
            <w:tcBorders>
              <w:tl2br w:val="nil"/>
              <w:tr2bl w:val="nil"/>
            </w:tcBorders>
            <w:vAlign w:val="center"/>
          </w:tcPr>
          <w:p w14:paraId="014C8DCA">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1569" w:type="dxa"/>
            <w:tcBorders>
              <w:tl2br w:val="nil"/>
              <w:tr2bl w:val="nil"/>
            </w:tcBorders>
            <w:vAlign w:val="center"/>
          </w:tcPr>
          <w:p w14:paraId="0F5A007E">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1.776</w:t>
            </w:r>
          </w:p>
        </w:tc>
        <w:tc>
          <w:tcPr>
            <w:tcW w:w="1250" w:type="dxa"/>
            <w:tcBorders>
              <w:tl2br w:val="nil"/>
              <w:tr2bl w:val="nil"/>
            </w:tcBorders>
            <w:vAlign w:val="center"/>
          </w:tcPr>
          <w:p w14:paraId="1C8887EE">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1.776</w:t>
            </w:r>
          </w:p>
        </w:tc>
      </w:tr>
      <w:tr w14:paraId="4C173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53" w:type="dxa"/>
            <w:vMerge w:val="continue"/>
            <w:tcBorders>
              <w:tl2br w:val="nil"/>
              <w:tr2bl w:val="nil"/>
            </w:tcBorders>
            <w:vAlign w:val="center"/>
          </w:tcPr>
          <w:p w14:paraId="18D270B8">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lang w:val="en-US" w:eastAsia="zh-CN"/>
              </w:rPr>
            </w:pPr>
          </w:p>
        </w:tc>
        <w:tc>
          <w:tcPr>
            <w:tcW w:w="1984" w:type="dxa"/>
            <w:tcBorders>
              <w:tl2br w:val="nil"/>
              <w:tr2bl w:val="nil"/>
            </w:tcBorders>
            <w:vAlign w:val="center"/>
          </w:tcPr>
          <w:p w14:paraId="631E15D7">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非甲烷总烃</w:t>
            </w:r>
          </w:p>
        </w:tc>
        <w:tc>
          <w:tcPr>
            <w:tcW w:w="1740" w:type="dxa"/>
            <w:tcBorders>
              <w:tl2br w:val="nil"/>
              <w:tr2bl w:val="nil"/>
            </w:tcBorders>
            <w:vAlign w:val="center"/>
          </w:tcPr>
          <w:p w14:paraId="57FECC3C">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1176" w:type="dxa"/>
            <w:tcBorders>
              <w:tl2br w:val="nil"/>
              <w:tr2bl w:val="nil"/>
            </w:tcBorders>
            <w:vAlign w:val="center"/>
          </w:tcPr>
          <w:p w14:paraId="69006209">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0</w:t>
            </w:r>
          </w:p>
        </w:tc>
        <w:tc>
          <w:tcPr>
            <w:tcW w:w="1595" w:type="dxa"/>
            <w:tcBorders>
              <w:tl2br w:val="nil"/>
              <w:tr2bl w:val="nil"/>
            </w:tcBorders>
            <w:vAlign w:val="center"/>
          </w:tcPr>
          <w:p w14:paraId="65120B1C">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0</w:t>
            </w:r>
          </w:p>
        </w:tc>
        <w:tc>
          <w:tcPr>
            <w:tcW w:w="1812" w:type="dxa"/>
            <w:tcBorders>
              <w:tl2br w:val="nil"/>
              <w:tr2bl w:val="nil"/>
            </w:tcBorders>
            <w:shd w:val="clear" w:color="auto" w:fill="auto"/>
            <w:vAlign w:val="center"/>
          </w:tcPr>
          <w:p w14:paraId="65B709A3">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0.038</w:t>
            </w:r>
          </w:p>
        </w:tc>
        <w:tc>
          <w:tcPr>
            <w:tcW w:w="1855" w:type="dxa"/>
            <w:tcBorders>
              <w:tl2br w:val="nil"/>
              <w:tr2bl w:val="nil"/>
            </w:tcBorders>
            <w:vAlign w:val="center"/>
          </w:tcPr>
          <w:p w14:paraId="7736E9E3">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w:t>
            </w:r>
          </w:p>
        </w:tc>
        <w:tc>
          <w:tcPr>
            <w:tcW w:w="1569" w:type="dxa"/>
            <w:tcBorders>
              <w:tl2br w:val="nil"/>
              <w:tr2bl w:val="nil"/>
            </w:tcBorders>
            <w:vAlign w:val="center"/>
          </w:tcPr>
          <w:p w14:paraId="4AFC9B86">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0.038</w:t>
            </w:r>
          </w:p>
        </w:tc>
        <w:tc>
          <w:tcPr>
            <w:tcW w:w="1250" w:type="dxa"/>
            <w:tcBorders>
              <w:tl2br w:val="nil"/>
              <w:tr2bl w:val="nil"/>
            </w:tcBorders>
            <w:vAlign w:val="center"/>
          </w:tcPr>
          <w:p w14:paraId="19F8B3E5">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0.038</w:t>
            </w:r>
          </w:p>
        </w:tc>
      </w:tr>
      <w:tr w14:paraId="6C090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153" w:type="dxa"/>
            <w:tcBorders>
              <w:tl2br w:val="nil"/>
              <w:tr2bl w:val="nil"/>
            </w:tcBorders>
            <w:vAlign w:val="center"/>
          </w:tcPr>
          <w:p w14:paraId="157A7624">
            <w:pPr>
              <w:pStyle w:val="8"/>
              <w:keepNext w:val="0"/>
              <w:keepLines w:val="0"/>
              <w:suppressLineNumbers w:val="0"/>
              <w:bidi w:val="0"/>
              <w:spacing w:before="0" w:beforeAutospacing="0" w:after="0" w:afterAutospacing="0"/>
              <w:ind w:left="0" w:leftChars="0" w:right="0" w:rightChars="0" w:firstLine="0" w:firstLineChars="0"/>
              <w:jc w:val="center"/>
              <w:rPr>
                <w:rFonts w:hint="default" w:cs="Times New Roman"/>
                <w:lang w:val="en-US" w:eastAsia="zh-CN"/>
              </w:rPr>
            </w:pPr>
            <w:r>
              <w:rPr>
                <w:rFonts w:hint="default" w:cs="Times New Roman"/>
                <w:lang w:val="en-US" w:eastAsia="zh-CN"/>
              </w:rPr>
              <w:t>一般工业固体废物</w:t>
            </w:r>
          </w:p>
        </w:tc>
        <w:tc>
          <w:tcPr>
            <w:tcW w:w="1984" w:type="dxa"/>
            <w:tcBorders>
              <w:bottom w:val="single" w:color="000000" w:sz="4" w:space="0"/>
              <w:tl2br w:val="nil"/>
              <w:tr2bl w:val="nil"/>
            </w:tcBorders>
            <w:vAlign w:val="center"/>
          </w:tcPr>
          <w:p w14:paraId="6FA2623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辣椒粕</w:t>
            </w:r>
          </w:p>
        </w:tc>
        <w:tc>
          <w:tcPr>
            <w:tcW w:w="1740" w:type="dxa"/>
            <w:tcBorders>
              <w:bottom w:val="single" w:color="000000" w:sz="4" w:space="0"/>
              <w:tl2br w:val="nil"/>
              <w:tr2bl w:val="nil"/>
            </w:tcBorders>
            <w:vAlign w:val="center"/>
          </w:tcPr>
          <w:p w14:paraId="5DCAAA8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w:t>
            </w:r>
          </w:p>
        </w:tc>
        <w:tc>
          <w:tcPr>
            <w:tcW w:w="1176" w:type="dxa"/>
            <w:tcBorders>
              <w:bottom w:val="single" w:color="000000" w:sz="4" w:space="0"/>
              <w:tl2br w:val="nil"/>
              <w:tr2bl w:val="nil"/>
            </w:tcBorders>
            <w:vAlign w:val="center"/>
          </w:tcPr>
          <w:p w14:paraId="36125EDD">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0</w:t>
            </w:r>
          </w:p>
        </w:tc>
        <w:tc>
          <w:tcPr>
            <w:tcW w:w="1595" w:type="dxa"/>
            <w:tcBorders>
              <w:bottom w:val="single" w:color="000000" w:sz="4" w:space="0"/>
              <w:tl2br w:val="nil"/>
              <w:tr2bl w:val="nil"/>
            </w:tcBorders>
            <w:vAlign w:val="center"/>
          </w:tcPr>
          <w:p w14:paraId="52E48C02">
            <w:pPr>
              <w:pStyle w:val="8"/>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0</w:t>
            </w:r>
          </w:p>
        </w:tc>
        <w:tc>
          <w:tcPr>
            <w:tcW w:w="1812" w:type="dxa"/>
            <w:tcBorders>
              <w:bottom w:val="single" w:color="000000" w:sz="4" w:space="0"/>
              <w:tl2br w:val="nil"/>
              <w:tr2bl w:val="nil"/>
            </w:tcBorders>
            <w:vAlign w:val="center"/>
          </w:tcPr>
          <w:p w14:paraId="0E1D892D">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39345.324</w:t>
            </w:r>
          </w:p>
        </w:tc>
        <w:tc>
          <w:tcPr>
            <w:tcW w:w="1855" w:type="dxa"/>
            <w:tcBorders>
              <w:bottom w:val="single" w:color="000000" w:sz="4" w:space="0"/>
              <w:tl2br w:val="nil"/>
              <w:tr2bl w:val="nil"/>
            </w:tcBorders>
            <w:vAlign w:val="center"/>
          </w:tcPr>
          <w:p w14:paraId="270D61DB">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569" w:type="dxa"/>
            <w:tcBorders>
              <w:bottom w:val="single" w:color="000000" w:sz="4" w:space="0"/>
              <w:tl2br w:val="nil"/>
              <w:tr2bl w:val="nil"/>
            </w:tcBorders>
            <w:vAlign w:val="center"/>
          </w:tcPr>
          <w:p w14:paraId="48782180">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default"/>
                <w:lang w:val="en-US" w:eastAsia="zh-CN"/>
              </w:rPr>
              <w:t>39345.324</w:t>
            </w:r>
          </w:p>
        </w:tc>
        <w:tc>
          <w:tcPr>
            <w:tcW w:w="1250" w:type="dxa"/>
            <w:tcBorders>
              <w:bottom w:val="single" w:color="000000" w:sz="4" w:space="0"/>
              <w:tl2br w:val="nil"/>
              <w:tr2bl w:val="nil"/>
            </w:tcBorders>
            <w:vAlign w:val="center"/>
          </w:tcPr>
          <w:p w14:paraId="4D17885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w:t>
            </w:r>
            <w:r>
              <w:rPr>
                <w:rFonts w:hint="default"/>
                <w:lang w:val="en-US" w:eastAsia="zh-CN"/>
              </w:rPr>
              <w:t>39345.324</w:t>
            </w:r>
          </w:p>
        </w:tc>
      </w:tr>
      <w:tr w14:paraId="4C6C5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53" w:type="dxa"/>
            <w:vMerge w:val="restart"/>
            <w:tcBorders>
              <w:tl2br w:val="nil"/>
              <w:tr2bl w:val="nil"/>
            </w:tcBorders>
            <w:vAlign w:val="center"/>
          </w:tcPr>
          <w:p w14:paraId="3D55B8C7">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r>
              <w:rPr>
                <w:rFonts w:hint="eastAsia" w:cs="Times New Roman"/>
                <w:lang w:val="en-US" w:eastAsia="zh-CN"/>
              </w:rPr>
              <w:t>危险废物</w:t>
            </w:r>
          </w:p>
        </w:tc>
        <w:tc>
          <w:tcPr>
            <w:tcW w:w="0" w:type="auto"/>
            <w:tcBorders>
              <w:tl2br w:val="nil"/>
              <w:tr2bl w:val="nil"/>
            </w:tcBorders>
            <w:vAlign w:val="center"/>
          </w:tcPr>
          <w:p w14:paraId="7CDC0EC9">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lang w:val="en-US" w:eastAsia="zh-CN"/>
              </w:rPr>
            </w:pPr>
            <w:r>
              <w:rPr>
                <w:rFonts w:hint="eastAsia" w:eastAsia="宋体" w:cs="Times New Roman"/>
                <w:lang w:val="en-US" w:eastAsia="zh-CN"/>
              </w:rPr>
              <w:t>废润滑油</w:t>
            </w:r>
          </w:p>
        </w:tc>
        <w:tc>
          <w:tcPr>
            <w:tcW w:w="0" w:type="auto"/>
            <w:tcBorders>
              <w:tl2br w:val="nil"/>
              <w:tr2bl w:val="nil"/>
            </w:tcBorders>
            <w:vAlign w:val="center"/>
          </w:tcPr>
          <w:p w14:paraId="3BCF9242">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176" w:type="dxa"/>
            <w:tcBorders>
              <w:tl2br w:val="nil"/>
              <w:tr2bl w:val="nil"/>
            </w:tcBorders>
            <w:vAlign w:val="center"/>
          </w:tcPr>
          <w:p w14:paraId="542DB9F1">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595" w:type="dxa"/>
            <w:tcBorders>
              <w:tl2br w:val="nil"/>
              <w:tr2bl w:val="nil"/>
            </w:tcBorders>
            <w:vAlign w:val="center"/>
          </w:tcPr>
          <w:p w14:paraId="4B546E53">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0" w:type="auto"/>
            <w:tcBorders>
              <w:tl2br w:val="nil"/>
              <w:tr2bl w:val="nil"/>
            </w:tcBorders>
            <w:shd w:val="clear" w:color="auto" w:fill="auto"/>
            <w:vAlign w:val="center"/>
          </w:tcPr>
          <w:p w14:paraId="6E6D9031">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w:t>
            </w:r>
          </w:p>
        </w:tc>
        <w:tc>
          <w:tcPr>
            <w:tcW w:w="0" w:type="auto"/>
            <w:tcBorders>
              <w:tl2br w:val="nil"/>
              <w:tr2bl w:val="nil"/>
            </w:tcBorders>
            <w:vAlign w:val="center"/>
          </w:tcPr>
          <w:p w14:paraId="7DE09ED3">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569" w:type="dxa"/>
            <w:tcBorders>
              <w:tl2br w:val="nil"/>
              <w:tr2bl w:val="nil"/>
            </w:tcBorders>
            <w:shd w:val="clear" w:color="auto" w:fill="auto"/>
            <w:vAlign w:val="center"/>
          </w:tcPr>
          <w:p w14:paraId="6733181E">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0.3</w:t>
            </w:r>
          </w:p>
        </w:tc>
        <w:tc>
          <w:tcPr>
            <w:tcW w:w="1250" w:type="dxa"/>
            <w:tcBorders>
              <w:tl2br w:val="nil"/>
              <w:tr2bl w:val="nil"/>
            </w:tcBorders>
            <w:shd w:val="clear" w:color="auto" w:fill="auto"/>
            <w:vAlign w:val="center"/>
          </w:tcPr>
          <w:p w14:paraId="2593F0E6">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+0.3</w:t>
            </w:r>
          </w:p>
        </w:tc>
      </w:tr>
      <w:tr w14:paraId="081DF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53" w:type="dxa"/>
            <w:vMerge w:val="continue"/>
            <w:tcBorders>
              <w:tl2br w:val="nil"/>
              <w:tr2bl w:val="nil"/>
            </w:tcBorders>
            <w:vAlign w:val="center"/>
          </w:tcPr>
          <w:p w14:paraId="3C89ED8D">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p>
        </w:tc>
        <w:tc>
          <w:tcPr>
            <w:tcW w:w="0" w:type="auto"/>
            <w:tcBorders>
              <w:tl2br w:val="nil"/>
              <w:tr2bl w:val="nil"/>
            </w:tcBorders>
            <w:vAlign w:val="center"/>
          </w:tcPr>
          <w:p w14:paraId="1E7D142F">
            <w:pPr>
              <w:pStyle w:val="8"/>
              <w:keepNext w:val="0"/>
              <w:keepLines w:val="0"/>
              <w:suppressLineNumbers w:val="0"/>
              <w:bidi w:val="0"/>
              <w:spacing w:before="0" w:beforeAutospacing="0" w:after="0" w:afterAutospacing="0"/>
              <w:ind w:left="0" w:leftChars="0" w:right="0" w:rightChars="0" w:firstLine="0" w:firstLineChars="0"/>
              <w:jc w:val="center"/>
              <w:rPr>
                <w:rFonts w:hint="default" w:eastAsia="宋体" w:cs="Times New Roman"/>
                <w:lang w:val="en-US" w:eastAsia="zh-CN"/>
              </w:rPr>
            </w:pPr>
            <w:r>
              <w:rPr>
                <w:rFonts w:hint="eastAsia" w:cs="Times New Roman"/>
                <w:lang w:val="en-US" w:eastAsia="zh-CN"/>
              </w:rPr>
              <w:t>废油桶</w:t>
            </w:r>
          </w:p>
        </w:tc>
        <w:tc>
          <w:tcPr>
            <w:tcW w:w="0" w:type="auto"/>
            <w:tcBorders>
              <w:tl2br w:val="nil"/>
              <w:tr2bl w:val="nil"/>
            </w:tcBorders>
            <w:shd w:val="clear" w:color="auto" w:fill="auto"/>
            <w:vAlign w:val="center"/>
          </w:tcPr>
          <w:p w14:paraId="75FC3BD8">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176" w:type="dxa"/>
            <w:tcBorders>
              <w:tl2br w:val="nil"/>
              <w:tr2bl w:val="nil"/>
            </w:tcBorders>
            <w:shd w:val="clear" w:color="auto" w:fill="auto"/>
            <w:vAlign w:val="center"/>
          </w:tcPr>
          <w:p w14:paraId="3D9C3B1C">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595" w:type="dxa"/>
            <w:tcBorders>
              <w:tl2br w:val="nil"/>
              <w:tr2bl w:val="nil"/>
            </w:tcBorders>
            <w:shd w:val="clear" w:color="auto" w:fill="auto"/>
            <w:vAlign w:val="center"/>
          </w:tcPr>
          <w:p w14:paraId="189C47AA">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0" w:type="auto"/>
            <w:tcBorders>
              <w:tl2br w:val="nil"/>
              <w:tr2bl w:val="nil"/>
            </w:tcBorders>
            <w:shd w:val="clear" w:color="auto" w:fill="auto"/>
            <w:vAlign w:val="center"/>
          </w:tcPr>
          <w:p w14:paraId="4D94AEB5">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0.01</w:t>
            </w:r>
          </w:p>
        </w:tc>
        <w:tc>
          <w:tcPr>
            <w:tcW w:w="0" w:type="auto"/>
            <w:tcBorders>
              <w:tl2br w:val="nil"/>
              <w:tr2bl w:val="nil"/>
            </w:tcBorders>
            <w:vAlign w:val="center"/>
          </w:tcPr>
          <w:p w14:paraId="3E807740">
            <w:pPr>
              <w:pStyle w:val="8"/>
              <w:keepNext w:val="0"/>
              <w:keepLines w:val="0"/>
              <w:suppressLineNumbers w:val="0"/>
              <w:bidi w:val="0"/>
              <w:spacing w:before="0" w:beforeAutospacing="0" w:after="0" w:afterAutospacing="0"/>
              <w:ind w:left="0" w:leftChars="0" w:right="0" w:rightChars="0" w:firstLine="0" w:firstLineChars="0"/>
              <w:rPr>
                <w:rFonts w:hint="eastAsia" w:eastAsia="宋体" w:cs="Times New Roman"/>
                <w:lang w:val="en-US" w:eastAsia="zh-CN"/>
              </w:rPr>
            </w:pPr>
            <w:r>
              <w:rPr>
                <w:rFonts w:hint="eastAsia" w:eastAsia="宋体" w:cs="Times New Roman"/>
                <w:lang w:val="en-US" w:eastAsia="zh-CN"/>
              </w:rPr>
              <w:t>0</w:t>
            </w:r>
          </w:p>
        </w:tc>
        <w:tc>
          <w:tcPr>
            <w:tcW w:w="1569" w:type="dxa"/>
            <w:tcBorders>
              <w:tl2br w:val="nil"/>
              <w:tr2bl w:val="nil"/>
            </w:tcBorders>
            <w:shd w:val="clear" w:color="auto" w:fill="auto"/>
            <w:vAlign w:val="center"/>
          </w:tcPr>
          <w:p w14:paraId="7F831949">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0.01</w:t>
            </w:r>
          </w:p>
        </w:tc>
        <w:tc>
          <w:tcPr>
            <w:tcW w:w="1250" w:type="dxa"/>
            <w:tcBorders>
              <w:tl2br w:val="nil"/>
              <w:tr2bl w:val="nil"/>
            </w:tcBorders>
            <w:shd w:val="clear" w:color="auto" w:fill="auto"/>
            <w:vAlign w:val="center"/>
          </w:tcPr>
          <w:p w14:paraId="25487C59">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+0.01</w:t>
            </w:r>
          </w:p>
        </w:tc>
      </w:tr>
      <w:tr w14:paraId="53DF8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153" w:type="dxa"/>
            <w:vMerge w:val="continue"/>
            <w:tcBorders>
              <w:tl2br w:val="nil"/>
              <w:tr2bl w:val="nil"/>
            </w:tcBorders>
            <w:vAlign w:val="center"/>
          </w:tcPr>
          <w:p w14:paraId="0F2B6989">
            <w:pPr>
              <w:pStyle w:val="8"/>
              <w:keepNext w:val="0"/>
              <w:keepLines w:val="0"/>
              <w:suppressLineNumbers w:val="0"/>
              <w:bidi w:val="0"/>
              <w:spacing w:before="0" w:beforeAutospacing="0" w:after="0" w:afterAutospacing="0"/>
              <w:ind w:left="0" w:leftChars="0" w:right="0" w:rightChars="0" w:firstLine="0" w:firstLineChars="0"/>
              <w:jc w:val="center"/>
              <w:rPr>
                <w:rFonts w:hint="eastAsia" w:cs="Times New Roman"/>
                <w:lang w:val="en-US" w:eastAsia="zh-CN"/>
              </w:rPr>
            </w:pPr>
          </w:p>
        </w:tc>
        <w:tc>
          <w:tcPr>
            <w:tcW w:w="0" w:type="auto"/>
            <w:tcBorders>
              <w:tl2br w:val="nil"/>
              <w:tr2bl w:val="nil"/>
            </w:tcBorders>
            <w:vAlign w:val="center"/>
          </w:tcPr>
          <w:p w14:paraId="1FB915D4">
            <w:pPr>
              <w:pStyle w:val="8"/>
              <w:keepNext w:val="0"/>
              <w:keepLines w:val="0"/>
              <w:suppressLineNumbers w:val="0"/>
              <w:bidi w:val="0"/>
              <w:spacing w:before="0" w:beforeAutospacing="0" w:after="0" w:afterAutospacing="0"/>
              <w:ind w:left="0" w:leftChars="0" w:right="0" w:rightChars="0" w:firstLine="0" w:firstLineChars="0"/>
              <w:jc w:val="center"/>
              <w:rPr>
                <w:rFonts w:hint="eastAsia" w:eastAsia="宋体" w:cs="Times New Roman"/>
                <w:lang w:val="en-US" w:eastAsia="zh-CN"/>
              </w:rPr>
            </w:pPr>
            <w:r>
              <w:rPr>
                <w:rFonts w:hint="eastAsia"/>
                <w:lang w:val="en-US" w:eastAsia="zh-CN"/>
              </w:rPr>
              <w:t>沾染矿物油的废弃包装物</w:t>
            </w:r>
          </w:p>
        </w:tc>
        <w:tc>
          <w:tcPr>
            <w:tcW w:w="0" w:type="auto"/>
            <w:tcBorders>
              <w:tl2br w:val="nil"/>
              <w:tr2bl w:val="nil"/>
            </w:tcBorders>
            <w:vAlign w:val="center"/>
          </w:tcPr>
          <w:p w14:paraId="3B4B8B79">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176" w:type="dxa"/>
            <w:tcBorders>
              <w:tl2br w:val="nil"/>
              <w:tr2bl w:val="nil"/>
            </w:tcBorders>
            <w:vAlign w:val="center"/>
          </w:tcPr>
          <w:p w14:paraId="78756A35">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1595" w:type="dxa"/>
            <w:tcBorders>
              <w:tl2br w:val="nil"/>
              <w:tr2bl w:val="nil"/>
            </w:tcBorders>
            <w:vAlign w:val="center"/>
          </w:tcPr>
          <w:p w14:paraId="60C130FF">
            <w:pPr>
              <w:pStyle w:val="8"/>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0</w:t>
            </w:r>
          </w:p>
        </w:tc>
        <w:tc>
          <w:tcPr>
            <w:tcW w:w="0" w:type="auto"/>
            <w:tcBorders>
              <w:tl2br w:val="nil"/>
              <w:tr2bl w:val="nil"/>
            </w:tcBorders>
            <w:shd w:val="clear" w:color="auto" w:fill="auto"/>
            <w:vAlign w:val="center"/>
          </w:tcPr>
          <w:p w14:paraId="72506305">
            <w:pPr>
              <w:pStyle w:val="8"/>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4"/>
                <w:lang w:val="en-US" w:eastAsia="zh-CN" w:bidi="ar-SA"/>
              </w:rPr>
            </w:pPr>
            <w:r>
              <w:rPr>
                <w:rFonts w:hint="eastAsia"/>
                <w:lang w:val="en-US" w:eastAsia="zh-CN"/>
              </w:rPr>
              <w:t>0.05</w:t>
            </w:r>
          </w:p>
        </w:tc>
        <w:tc>
          <w:tcPr>
            <w:tcW w:w="0" w:type="auto"/>
            <w:tcBorders>
              <w:tl2br w:val="nil"/>
              <w:tr2bl w:val="nil"/>
            </w:tcBorders>
            <w:vAlign w:val="center"/>
          </w:tcPr>
          <w:p w14:paraId="14704A16">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eastAsia="宋体" w:cs="Times New Roman"/>
                <w:lang w:val="en-US" w:eastAsia="zh-CN"/>
              </w:rPr>
              <w:t>0</w:t>
            </w:r>
          </w:p>
        </w:tc>
        <w:tc>
          <w:tcPr>
            <w:tcW w:w="1569" w:type="dxa"/>
            <w:tcBorders>
              <w:tl2br w:val="nil"/>
              <w:tr2bl w:val="nil"/>
            </w:tcBorders>
            <w:shd w:val="clear" w:color="auto" w:fill="auto"/>
            <w:vAlign w:val="center"/>
          </w:tcPr>
          <w:p w14:paraId="18A90FE4">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0.05</w:t>
            </w:r>
          </w:p>
        </w:tc>
        <w:tc>
          <w:tcPr>
            <w:tcW w:w="1250" w:type="dxa"/>
            <w:tcBorders>
              <w:tl2br w:val="nil"/>
              <w:tr2bl w:val="nil"/>
            </w:tcBorders>
            <w:shd w:val="clear" w:color="auto" w:fill="auto"/>
            <w:vAlign w:val="center"/>
          </w:tcPr>
          <w:p w14:paraId="48B9D501">
            <w:pPr>
              <w:pStyle w:val="8"/>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imes New Roman"/>
                <w:kern w:val="2"/>
                <w:sz w:val="21"/>
                <w:szCs w:val="24"/>
                <w:lang w:val="en-US" w:eastAsia="zh-CN" w:bidi="ar-SA"/>
              </w:rPr>
            </w:pPr>
            <w:r>
              <w:rPr>
                <w:rFonts w:hint="eastAsia"/>
                <w:lang w:val="en-US" w:eastAsia="zh-CN"/>
              </w:rPr>
              <w:t>+0.05</w:t>
            </w:r>
          </w:p>
        </w:tc>
      </w:tr>
    </w:tbl>
    <w:p w14:paraId="35041D80">
      <w:pPr>
        <w:pStyle w:val="54"/>
        <w:spacing w:before="192" w:beforeLines="80" w:after="24"/>
        <w:jc w:val="left"/>
        <w:rPr>
          <w:lang w:val="en-US"/>
        </w:rPr>
        <w:sectPr>
          <w:footerReference r:id="rId8"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r>
        <w:rPr>
          <w:snapToGrid w:val="0"/>
          <w:color w:val="000000" w:themeColor="text1"/>
          <w:kern w:val="21"/>
          <w:szCs w:val="21"/>
          <w14:textFill>
            <w14:solidFill>
              <w14:schemeClr w14:val="tx1"/>
            </w14:solidFill>
          </w14:textFill>
        </w:rPr>
        <w:t>注</w:t>
      </w:r>
      <w:r>
        <w:rPr>
          <w:snapToGrid w:val="0"/>
          <w:color w:val="000000" w:themeColor="text1"/>
          <w:kern w:val="21"/>
          <w:szCs w:val="21"/>
          <w:lang w:val="en-US"/>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lang w:val="en-US"/>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lang w:val="en-US"/>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lang w:val="en-US"/>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lang w:val="en-US"/>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lang w:val="en-US"/>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lang w:val="en-US"/>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lang w:val="en-US"/>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lang w:val="en-US"/>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lang w:val="en-US"/>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lang w:val="en-US"/>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lang w:val="en-US"/>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lang w:val="en-US"/>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lang w:val="en-US"/>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lang w:val="en-US"/>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lang w:val="en-US"/>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color w:val="000000" w:themeColor="text1"/>
          <w:szCs w:val="21"/>
          <w:lang w:val="en-US"/>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p w14:paraId="1D7CA311">
      <w:pPr>
        <w:pStyle w:val="58"/>
        <w:ind w:left="0" w:leftChars="0" w:firstLine="0" w:firstLineChars="0"/>
        <w:rPr>
          <w:lang w:val="en-US"/>
        </w:rPr>
      </w:pPr>
    </w:p>
    <w:sectPr>
      <w:pgSz w:w="11906" w:h="16838"/>
      <w:pgMar w:top="1701" w:right="1531" w:bottom="1701" w:left="1531" w:header="851" w:footer="850"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2971E86-C003-4ED1-A480-5CB59811E381}"/>
  </w:font>
  <w:font w:name="Arial">
    <w:panose1 w:val="020B0604020202020204"/>
    <w:charset w:val="01"/>
    <w:family w:val="swiss"/>
    <w:pitch w:val="default"/>
    <w:sig w:usb0="E0002EFF" w:usb1="C000785B" w:usb2="00000009" w:usb3="00000000" w:csb0="400001FF" w:csb1="FFFF0000"/>
    <w:embedRegular r:id="rId2" w:fontKey="{3D29BB49-D69A-4C14-8F99-94C304F08142}"/>
  </w:font>
  <w:font w:name="黑体">
    <w:panose1 w:val="02010609060101010101"/>
    <w:charset w:val="86"/>
    <w:family w:val="auto"/>
    <w:pitch w:val="default"/>
    <w:sig w:usb0="800002BF" w:usb1="38CF7CFA" w:usb2="00000016" w:usb3="00000000" w:csb0="00040001" w:csb1="00000000"/>
    <w:embedRegular r:id="rId3" w:fontKey="{C4F2B047-F2F1-4672-A957-42C07BC5B6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4" w:fontKey="{85AB3879-9678-4FDB-B283-48C0CEB833CC}"/>
  </w:font>
  <w:font w:name="仿宋_GB2312">
    <w:panose1 w:val="02010609030101010101"/>
    <w:charset w:val="86"/>
    <w:family w:val="auto"/>
    <w:pitch w:val="default"/>
    <w:sig w:usb0="00000001" w:usb1="080E0000" w:usb2="00000000" w:usb3="00000000" w:csb0="00040000" w:csb1="00000000"/>
    <w:embedRegular r:id="rId5" w:fontKey="{1049E580-EE68-4F30-9697-AE6E754155FC}"/>
  </w:font>
  <w:font w:name="华文中宋">
    <w:panose1 w:val="02010600040101010101"/>
    <w:charset w:val="86"/>
    <w:family w:val="auto"/>
    <w:pitch w:val="default"/>
    <w:sig w:usb0="00000287" w:usb1="080F0000" w:usb2="00000000" w:usb3="00000000" w:csb0="0004009F" w:csb1="DFD70000"/>
    <w:embedRegular r:id="rId6" w:fontKey="{3CCBF0D1-97BF-44EC-8056-D03DD5B961E6}"/>
  </w:font>
  <w:font w:name="方正小标宋_GBK">
    <w:panose1 w:val="03000509000000000000"/>
    <w:charset w:val="86"/>
    <w:family w:val="script"/>
    <w:pitch w:val="default"/>
    <w:sig w:usb0="00000001" w:usb1="080E0000" w:usb2="00000000" w:usb3="00000000" w:csb0="00040000" w:csb1="00000000"/>
    <w:embedRegular r:id="rId7" w:fontKey="{F146AAE4-162A-4DFC-945A-6A9E972CDE6B}"/>
  </w:font>
  <w:font w:name="华文仿宋">
    <w:panose1 w:val="02010600040101010101"/>
    <w:charset w:val="86"/>
    <w:family w:val="auto"/>
    <w:pitch w:val="default"/>
    <w:sig w:usb0="00000287" w:usb1="080F0000" w:usb2="00000000" w:usb3="00000000" w:csb0="0004009F" w:csb1="DFD70000"/>
    <w:embedRegular r:id="rId8" w:fontKey="{C546176E-962F-4038-9C89-2C333643BDF3}"/>
  </w:font>
  <w:font w:name="仿宋">
    <w:panose1 w:val="02010609060101010101"/>
    <w:charset w:val="86"/>
    <w:family w:val="modern"/>
    <w:pitch w:val="default"/>
    <w:sig w:usb0="800002BF" w:usb1="38CF7CFA" w:usb2="00000016" w:usb3="00000000" w:csb0="00040001" w:csb1="00000000"/>
    <w:embedRegular r:id="rId9" w:fontKey="{4F4E7FF9-FD95-409E-B204-653C3598963A}"/>
  </w:font>
  <w:font w:name="Wingdings 2">
    <w:panose1 w:val="05020102010507070707"/>
    <w:charset w:val="02"/>
    <w:family w:val="roman"/>
    <w:pitch w:val="default"/>
    <w:sig w:usb0="00000000" w:usb1="00000000" w:usb2="00000000" w:usb3="00000000" w:csb0="80000000" w:csb1="00000000"/>
    <w:embedRegular r:id="rId10" w:fontKey="{3ED68CA2-ECAF-410C-A86C-721BCAE080DB}"/>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3">
    <w:panose1 w:val="02010600040101010101"/>
    <w:charset w:val="86"/>
    <w:family w:val="auto"/>
    <w:pitch w:val="default"/>
    <w:sig w:usb0="00000287" w:usb1="080F0000" w:usb2="00000000" w:usb3="00000000" w:csb0="0004009F" w:csb1="DFD70000"/>
  </w:font>
  <w:font w:name="WPSEMBED4">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7087D">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3587">
    <w:pPr>
      <w:pStyle w:val="20"/>
      <w:framePr w:wrap="around" w:vAnchor="text" w:hAnchor="margin" w:xAlign="center" w:y="1"/>
      <w:rPr>
        <w:rStyle w:val="34"/>
      </w:rPr>
    </w:pPr>
    <w:r>
      <w:fldChar w:fldCharType="begin"/>
    </w:r>
    <w:r>
      <w:rPr>
        <w:rStyle w:val="34"/>
      </w:rPr>
      <w:instrText xml:space="preserve">PAGE  </w:instrText>
    </w:r>
    <w:r>
      <w:fldChar w:fldCharType="end"/>
    </w:r>
  </w:p>
  <w:p w14:paraId="4D3CF078">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461D7">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D1BF25">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vert="horz" wrap="none" lIns="0" tIns="0" rIns="0" bIns="0" anchor="t" anchorCtr="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KjFzITaAQAAtQMAAA4AAAAAAAAAAQAg&#10;AAAAHgEAAGRycy9lMm9Eb2MueG1sUEsFBgAAAAAGAAYAWQEAAGoFAAAAAA==&#10;">
              <v:fill on="f" focussize="0,0"/>
              <v:stroke on="f"/>
              <v:imagedata o:title=""/>
              <o:lock v:ext="edit" aspectratio="f"/>
              <v:textbox inset="0mm,0mm,0mm,0mm" style="mso-fit-shape-to-text:t;">
                <w:txbxContent>
                  <w:p w14:paraId="69D1BF25">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1381">
    <w:pPr>
      <w:pStyle w:val="20"/>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9372C">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jcxVfNkBAAC1AwAADgAAAAAAAAABACAA&#10;AAAeAQAAZHJzL2Uyb0RvYy54bWxQSwUGAAAAAAYABgBZAQAAaQUAAAAA&#10;">
              <v:fill on="f" focussize="0,0"/>
              <v:stroke on="f"/>
              <v:imagedata o:title=""/>
              <o:lock v:ext="edit" aspectratio="f"/>
              <v:textbox inset="0mm,0mm,0mm,0mm" style="mso-fit-shape-to-text:t;">
                <w:txbxContent>
                  <w:p w14:paraId="0E79372C">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4D37F5"/>
    <w:multiLevelType w:val="singleLevel"/>
    <w:tmpl w:val="864D37F5"/>
    <w:lvl w:ilvl="0" w:tentative="0">
      <w:start w:val="1"/>
      <w:numFmt w:val="decimal"/>
      <w:suff w:val="nothing"/>
      <w:lvlText w:val="%1、"/>
      <w:lvlJc w:val="left"/>
    </w:lvl>
  </w:abstractNum>
  <w:abstractNum w:abstractNumId="1">
    <w:nsid w:val="BDAC6B9B"/>
    <w:multiLevelType w:val="singleLevel"/>
    <w:tmpl w:val="BDAC6B9B"/>
    <w:lvl w:ilvl="0" w:tentative="0">
      <w:start w:val="1"/>
      <w:numFmt w:val="decimal"/>
      <w:suff w:val="nothing"/>
      <w:lvlText w:val="（%1）"/>
      <w:lvlJc w:val="left"/>
    </w:lvl>
  </w:abstractNum>
  <w:abstractNum w:abstractNumId="2">
    <w:nsid w:val="E7D2DFBF"/>
    <w:multiLevelType w:val="singleLevel"/>
    <w:tmpl w:val="E7D2DFBF"/>
    <w:lvl w:ilvl="0" w:tentative="0">
      <w:start w:val="4"/>
      <w:numFmt w:val="decimal"/>
      <w:suff w:val="nothing"/>
      <w:lvlText w:val="%1、"/>
      <w:lvlJc w:val="left"/>
    </w:lvl>
  </w:abstractNum>
  <w:abstractNum w:abstractNumId="3">
    <w:nsid w:val="F0C3960F"/>
    <w:multiLevelType w:val="singleLevel"/>
    <w:tmpl w:val="F0C3960F"/>
    <w:lvl w:ilvl="0" w:tentative="0">
      <w:start w:val="2"/>
      <w:numFmt w:val="decimal"/>
      <w:suff w:val="nothing"/>
      <w:lvlText w:val="%1、"/>
      <w:lvlJc w:val="left"/>
    </w:lvl>
  </w:abstractNum>
  <w:abstractNum w:abstractNumId="4">
    <w:nsid w:val="F53C75F3"/>
    <w:multiLevelType w:val="singleLevel"/>
    <w:tmpl w:val="F53C75F3"/>
    <w:lvl w:ilvl="0" w:tentative="0">
      <w:start w:val="2"/>
      <w:numFmt w:val="decimal"/>
      <w:suff w:val="nothing"/>
      <w:lvlText w:val="（%1）"/>
      <w:lvlJc w:val="left"/>
    </w:lvl>
  </w:abstractNum>
  <w:abstractNum w:abstractNumId="5">
    <w:nsid w:val="F9927B3B"/>
    <w:multiLevelType w:val="singleLevel"/>
    <w:tmpl w:val="F9927B3B"/>
    <w:lvl w:ilvl="0" w:tentative="0">
      <w:start w:val="1"/>
      <w:numFmt w:val="decimal"/>
      <w:suff w:val="nothing"/>
      <w:lvlText w:val="%1、"/>
      <w:lvlJc w:val="left"/>
    </w:lvl>
  </w:abstractNum>
  <w:abstractNum w:abstractNumId="6">
    <w:nsid w:val="3B89C524"/>
    <w:multiLevelType w:val="singleLevel"/>
    <w:tmpl w:val="3B89C524"/>
    <w:lvl w:ilvl="0" w:tentative="0">
      <w:start w:val="5"/>
      <w:numFmt w:val="chineseCounting"/>
      <w:suff w:val="nothing"/>
      <w:lvlText w:val="%1、"/>
      <w:lvlJc w:val="left"/>
      <w:rPr>
        <w:rFonts w:hint="eastAsia"/>
      </w:rPr>
    </w:lvl>
  </w:abstractNum>
  <w:abstractNum w:abstractNumId="7">
    <w:nsid w:val="402F5A1A"/>
    <w:multiLevelType w:val="singleLevel"/>
    <w:tmpl w:val="402F5A1A"/>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7"/>
  </w:num>
  <w:num w:numId="2">
    <w:abstractNumId w:val="3"/>
  </w:num>
  <w:num w:numId="3">
    <w:abstractNumId w:val="2"/>
  </w:num>
  <w:num w:numId="4">
    <w:abstractNumId w:val="0"/>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xMGNkYzJhOWMyN2M5ODE4OTFiOGFlOTgzNDI5MTcifQ=="/>
  </w:docVars>
  <w:rsids>
    <w:rsidRoot w:val="00A14947"/>
    <w:rsid w:val="000060B3"/>
    <w:rsid w:val="00014CD0"/>
    <w:rsid w:val="00026DC9"/>
    <w:rsid w:val="00036155"/>
    <w:rsid w:val="0004364B"/>
    <w:rsid w:val="00043EAC"/>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68CB"/>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140B"/>
    <w:rsid w:val="001E2A17"/>
    <w:rsid w:val="001F0F17"/>
    <w:rsid w:val="001F3347"/>
    <w:rsid w:val="001F69E4"/>
    <w:rsid w:val="00205D9A"/>
    <w:rsid w:val="002125B4"/>
    <w:rsid w:val="002155B8"/>
    <w:rsid w:val="00216870"/>
    <w:rsid w:val="00224839"/>
    <w:rsid w:val="002249B2"/>
    <w:rsid w:val="00226574"/>
    <w:rsid w:val="002278EC"/>
    <w:rsid w:val="0023280E"/>
    <w:rsid w:val="002377D1"/>
    <w:rsid w:val="002506BC"/>
    <w:rsid w:val="00254345"/>
    <w:rsid w:val="00264557"/>
    <w:rsid w:val="00266143"/>
    <w:rsid w:val="002740B7"/>
    <w:rsid w:val="002805AB"/>
    <w:rsid w:val="00283F93"/>
    <w:rsid w:val="00284204"/>
    <w:rsid w:val="00291773"/>
    <w:rsid w:val="00292669"/>
    <w:rsid w:val="00292E7D"/>
    <w:rsid w:val="002A168C"/>
    <w:rsid w:val="002A3DC7"/>
    <w:rsid w:val="002B49E2"/>
    <w:rsid w:val="002B7B00"/>
    <w:rsid w:val="002B7C44"/>
    <w:rsid w:val="002C2B17"/>
    <w:rsid w:val="002D3DD0"/>
    <w:rsid w:val="002E1F3A"/>
    <w:rsid w:val="002E298A"/>
    <w:rsid w:val="002F3E4D"/>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B91"/>
    <w:rsid w:val="00420E6A"/>
    <w:rsid w:val="00425A9E"/>
    <w:rsid w:val="00426D6B"/>
    <w:rsid w:val="00431E6C"/>
    <w:rsid w:val="00433CE7"/>
    <w:rsid w:val="00452738"/>
    <w:rsid w:val="00456091"/>
    <w:rsid w:val="00466321"/>
    <w:rsid w:val="00484B9B"/>
    <w:rsid w:val="00484E20"/>
    <w:rsid w:val="004855F6"/>
    <w:rsid w:val="0048661E"/>
    <w:rsid w:val="00494670"/>
    <w:rsid w:val="004A3823"/>
    <w:rsid w:val="004A45DB"/>
    <w:rsid w:val="004E6946"/>
    <w:rsid w:val="004F1AD8"/>
    <w:rsid w:val="00500AE8"/>
    <w:rsid w:val="005039CB"/>
    <w:rsid w:val="0050558F"/>
    <w:rsid w:val="00506286"/>
    <w:rsid w:val="00510813"/>
    <w:rsid w:val="00511990"/>
    <w:rsid w:val="00511DE0"/>
    <w:rsid w:val="00514870"/>
    <w:rsid w:val="00514B9B"/>
    <w:rsid w:val="00517F02"/>
    <w:rsid w:val="00524303"/>
    <w:rsid w:val="005245B9"/>
    <w:rsid w:val="005258A2"/>
    <w:rsid w:val="005401AE"/>
    <w:rsid w:val="00542E07"/>
    <w:rsid w:val="00545424"/>
    <w:rsid w:val="00554A7B"/>
    <w:rsid w:val="0055572C"/>
    <w:rsid w:val="00560CBD"/>
    <w:rsid w:val="0056106A"/>
    <w:rsid w:val="005720AE"/>
    <w:rsid w:val="00594D77"/>
    <w:rsid w:val="005969E4"/>
    <w:rsid w:val="005A06B7"/>
    <w:rsid w:val="005A06F9"/>
    <w:rsid w:val="005A1759"/>
    <w:rsid w:val="005A68A7"/>
    <w:rsid w:val="005B5EB2"/>
    <w:rsid w:val="005D36AB"/>
    <w:rsid w:val="00610597"/>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5E66"/>
    <w:rsid w:val="006E607E"/>
    <w:rsid w:val="006F6046"/>
    <w:rsid w:val="00706C5D"/>
    <w:rsid w:val="00724584"/>
    <w:rsid w:val="00732922"/>
    <w:rsid w:val="0074264B"/>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4849"/>
    <w:rsid w:val="007B72B8"/>
    <w:rsid w:val="007B7A58"/>
    <w:rsid w:val="007C21B5"/>
    <w:rsid w:val="007D6967"/>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764"/>
    <w:rsid w:val="008F2D29"/>
    <w:rsid w:val="008F5187"/>
    <w:rsid w:val="008F60D8"/>
    <w:rsid w:val="00902727"/>
    <w:rsid w:val="0090312B"/>
    <w:rsid w:val="009059D8"/>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0D57"/>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12CD"/>
    <w:rsid w:val="00B1295A"/>
    <w:rsid w:val="00B20A45"/>
    <w:rsid w:val="00B22C5C"/>
    <w:rsid w:val="00B24F30"/>
    <w:rsid w:val="00B31ABF"/>
    <w:rsid w:val="00B33BE3"/>
    <w:rsid w:val="00B53B5D"/>
    <w:rsid w:val="00B6055E"/>
    <w:rsid w:val="00B6317D"/>
    <w:rsid w:val="00B7723F"/>
    <w:rsid w:val="00B80534"/>
    <w:rsid w:val="00B8433C"/>
    <w:rsid w:val="00B87491"/>
    <w:rsid w:val="00B9488B"/>
    <w:rsid w:val="00B95DED"/>
    <w:rsid w:val="00BA29E9"/>
    <w:rsid w:val="00BA7142"/>
    <w:rsid w:val="00BB237C"/>
    <w:rsid w:val="00BB41A3"/>
    <w:rsid w:val="00BC0FE4"/>
    <w:rsid w:val="00BC32DC"/>
    <w:rsid w:val="00BC3511"/>
    <w:rsid w:val="00BC35B6"/>
    <w:rsid w:val="00BD1B51"/>
    <w:rsid w:val="00BD4596"/>
    <w:rsid w:val="00BE1405"/>
    <w:rsid w:val="00BE312D"/>
    <w:rsid w:val="00BF1C20"/>
    <w:rsid w:val="00C10578"/>
    <w:rsid w:val="00C135BC"/>
    <w:rsid w:val="00C15C95"/>
    <w:rsid w:val="00C20F9F"/>
    <w:rsid w:val="00C2596A"/>
    <w:rsid w:val="00C27537"/>
    <w:rsid w:val="00C27FEB"/>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1E52"/>
    <w:rsid w:val="00CC489B"/>
    <w:rsid w:val="00CD2586"/>
    <w:rsid w:val="00CD2BCD"/>
    <w:rsid w:val="00CD3A4C"/>
    <w:rsid w:val="00CE10E9"/>
    <w:rsid w:val="00CE2910"/>
    <w:rsid w:val="00CE5393"/>
    <w:rsid w:val="00CF36BE"/>
    <w:rsid w:val="00CF6000"/>
    <w:rsid w:val="00D003F3"/>
    <w:rsid w:val="00D0364F"/>
    <w:rsid w:val="00D044EB"/>
    <w:rsid w:val="00D06834"/>
    <w:rsid w:val="00D308ED"/>
    <w:rsid w:val="00D33F8A"/>
    <w:rsid w:val="00D36D86"/>
    <w:rsid w:val="00D428AA"/>
    <w:rsid w:val="00D50A34"/>
    <w:rsid w:val="00D53EFA"/>
    <w:rsid w:val="00D61308"/>
    <w:rsid w:val="00D76A8B"/>
    <w:rsid w:val="00D94A7C"/>
    <w:rsid w:val="00D94CEA"/>
    <w:rsid w:val="00D95896"/>
    <w:rsid w:val="00DA30D5"/>
    <w:rsid w:val="00DB2983"/>
    <w:rsid w:val="00DC1257"/>
    <w:rsid w:val="00DC3DC0"/>
    <w:rsid w:val="00DC5B2B"/>
    <w:rsid w:val="00DD318D"/>
    <w:rsid w:val="00DD5EB7"/>
    <w:rsid w:val="00DF2E12"/>
    <w:rsid w:val="00DF514A"/>
    <w:rsid w:val="00DF6690"/>
    <w:rsid w:val="00DF6804"/>
    <w:rsid w:val="00E0358D"/>
    <w:rsid w:val="00E04323"/>
    <w:rsid w:val="00E070A2"/>
    <w:rsid w:val="00E2656A"/>
    <w:rsid w:val="00E412D0"/>
    <w:rsid w:val="00E53B9B"/>
    <w:rsid w:val="00E56322"/>
    <w:rsid w:val="00E60982"/>
    <w:rsid w:val="00E62C62"/>
    <w:rsid w:val="00E654C1"/>
    <w:rsid w:val="00E65D97"/>
    <w:rsid w:val="00E72A5A"/>
    <w:rsid w:val="00E73354"/>
    <w:rsid w:val="00E9242D"/>
    <w:rsid w:val="00E97C7C"/>
    <w:rsid w:val="00EB39D2"/>
    <w:rsid w:val="00EB5255"/>
    <w:rsid w:val="00EB5C47"/>
    <w:rsid w:val="00ED0639"/>
    <w:rsid w:val="00EF4755"/>
    <w:rsid w:val="00EF7135"/>
    <w:rsid w:val="00F027DB"/>
    <w:rsid w:val="00F14A7A"/>
    <w:rsid w:val="00F22985"/>
    <w:rsid w:val="00F24778"/>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C4B0E"/>
    <w:rsid w:val="01284C10"/>
    <w:rsid w:val="01290F7E"/>
    <w:rsid w:val="012A7087"/>
    <w:rsid w:val="01590FED"/>
    <w:rsid w:val="015D1E09"/>
    <w:rsid w:val="01866D1F"/>
    <w:rsid w:val="018771A5"/>
    <w:rsid w:val="01941499"/>
    <w:rsid w:val="01BC200A"/>
    <w:rsid w:val="01BE330D"/>
    <w:rsid w:val="01D27CC6"/>
    <w:rsid w:val="01D37272"/>
    <w:rsid w:val="01D91C84"/>
    <w:rsid w:val="01E53AAB"/>
    <w:rsid w:val="01FA7678"/>
    <w:rsid w:val="01FA76FB"/>
    <w:rsid w:val="01FB2235"/>
    <w:rsid w:val="02333CAA"/>
    <w:rsid w:val="02343457"/>
    <w:rsid w:val="023B4560"/>
    <w:rsid w:val="025B11F3"/>
    <w:rsid w:val="02697903"/>
    <w:rsid w:val="02713441"/>
    <w:rsid w:val="027253B2"/>
    <w:rsid w:val="02983666"/>
    <w:rsid w:val="02CE2DAD"/>
    <w:rsid w:val="02EC643A"/>
    <w:rsid w:val="02F96569"/>
    <w:rsid w:val="03101B74"/>
    <w:rsid w:val="032C3350"/>
    <w:rsid w:val="034A3D15"/>
    <w:rsid w:val="035837A7"/>
    <w:rsid w:val="035A4C0A"/>
    <w:rsid w:val="036567CA"/>
    <w:rsid w:val="0387364A"/>
    <w:rsid w:val="039D4DB5"/>
    <w:rsid w:val="03A10CAA"/>
    <w:rsid w:val="03BC74E0"/>
    <w:rsid w:val="03C82A00"/>
    <w:rsid w:val="03CE029A"/>
    <w:rsid w:val="03CE6E4F"/>
    <w:rsid w:val="03EA7B21"/>
    <w:rsid w:val="04297344"/>
    <w:rsid w:val="042B5143"/>
    <w:rsid w:val="043B42EE"/>
    <w:rsid w:val="043E5C1C"/>
    <w:rsid w:val="04491126"/>
    <w:rsid w:val="044B2C66"/>
    <w:rsid w:val="045525AB"/>
    <w:rsid w:val="046C173C"/>
    <w:rsid w:val="04783406"/>
    <w:rsid w:val="0497059B"/>
    <w:rsid w:val="04C130FF"/>
    <w:rsid w:val="04C66765"/>
    <w:rsid w:val="04EB5131"/>
    <w:rsid w:val="04F72944"/>
    <w:rsid w:val="05013CF7"/>
    <w:rsid w:val="05117B47"/>
    <w:rsid w:val="05127654"/>
    <w:rsid w:val="0517747A"/>
    <w:rsid w:val="052826AF"/>
    <w:rsid w:val="052D4C17"/>
    <w:rsid w:val="054D41F3"/>
    <w:rsid w:val="054F472D"/>
    <w:rsid w:val="05713651"/>
    <w:rsid w:val="057A2D95"/>
    <w:rsid w:val="05AD1B88"/>
    <w:rsid w:val="05CB087A"/>
    <w:rsid w:val="05CF4152"/>
    <w:rsid w:val="05DB6330"/>
    <w:rsid w:val="05E40B08"/>
    <w:rsid w:val="05F41D11"/>
    <w:rsid w:val="05F83EAE"/>
    <w:rsid w:val="05FD70E6"/>
    <w:rsid w:val="061E2023"/>
    <w:rsid w:val="063D3716"/>
    <w:rsid w:val="063E7D85"/>
    <w:rsid w:val="06826815"/>
    <w:rsid w:val="06993506"/>
    <w:rsid w:val="069A6383"/>
    <w:rsid w:val="06B73697"/>
    <w:rsid w:val="06CD5030"/>
    <w:rsid w:val="070677A2"/>
    <w:rsid w:val="070E49BA"/>
    <w:rsid w:val="070F303A"/>
    <w:rsid w:val="071D6009"/>
    <w:rsid w:val="07293586"/>
    <w:rsid w:val="07295285"/>
    <w:rsid w:val="072D1862"/>
    <w:rsid w:val="07306457"/>
    <w:rsid w:val="07370397"/>
    <w:rsid w:val="07527D8C"/>
    <w:rsid w:val="07636392"/>
    <w:rsid w:val="07636FC5"/>
    <w:rsid w:val="07746F10"/>
    <w:rsid w:val="07770C56"/>
    <w:rsid w:val="078669F9"/>
    <w:rsid w:val="07AA0C9F"/>
    <w:rsid w:val="07F7533D"/>
    <w:rsid w:val="080409E3"/>
    <w:rsid w:val="0816283A"/>
    <w:rsid w:val="08246990"/>
    <w:rsid w:val="08316608"/>
    <w:rsid w:val="083D0DD9"/>
    <w:rsid w:val="0848652F"/>
    <w:rsid w:val="085602B5"/>
    <w:rsid w:val="0886362F"/>
    <w:rsid w:val="08910623"/>
    <w:rsid w:val="08B86C12"/>
    <w:rsid w:val="08C61157"/>
    <w:rsid w:val="08EB6C4F"/>
    <w:rsid w:val="091C42D8"/>
    <w:rsid w:val="092217DD"/>
    <w:rsid w:val="092A21D5"/>
    <w:rsid w:val="092C3782"/>
    <w:rsid w:val="093727FC"/>
    <w:rsid w:val="093A7294"/>
    <w:rsid w:val="09537529"/>
    <w:rsid w:val="09564E6E"/>
    <w:rsid w:val="09635487"/>
    <w:rsid w:val="09770BBB"/>
    <w:rsid w:val="09925EFE"/>
    <w:rsid w:val="099A3140"/>
    <w:rsid w:val="09A61F2C"/>
    <w:rsid w:val="09BD2A2D"/>
    <w:rsid w:val="09C06F6A"/>
    <w:rsid w:val="09E4102D"/>
    <w:rsid w:val="0A220DD6"/>
    <w:rsid w:val="0A263993"/>
    <w:rsid w:val="0A2D3AC2"/>
    <w:rsid w:val="0A3926C9"/>
    <w:rsid w:val="0A3C7591"/>
    <w:rsid w:val="0A3D7005"/>
    <w:rsid w:val="0A8B3433"/>
    <w:rsid w:val="0AA755DF"/>
    <w:rsid w:val="0AAD1591"/>
    <w:rsid w:val="0AB060CA"/>
    <w:rsid w:val="0B120D44"/>
    <w:rsid w:val="0B340BFB"/>
    <w:rsid w:val="0B437755"/>
    <w:rsid w:val="0B5F75F1"/>
    <w:rsid w:val="0B6920C9"/>
    <w:rsid w:val="0B7A2D62"/>
    <w:rsid w:val="0B7C0D00"/>
    <w:rsid w:val="0BAE4863"/>
    <w:rsid w:val="0BB86D03"/>
    <w:rsid w:val="0BD27BF6"/>
    <w:rsid w:val="0BE40158"/>
    <w:rsid w:val="0BE83414"/>
    <w:rsid w:val="0C105441"/>
    <w:rsid w:val="0C28392B"/>
    <w:rsid w:val="0C2F3131"/>
    <w:rsid w:val="0C3B3C7D"/>
    <w:rsid w:val="0C4D51A1"/>
    <w:rsid w:val="0C6B78B4"/>
    <w:rsid w:val="0C6F649D"/>
    <w:rsid w:val="0C700761"/>
    <w:rsid w:val="0C784098"/>
    <w:rsid w:val="0C833643"/>
    <w:rsid w:val="0CAB2EAE"/>
    <w:rsid w:val="0CBA5A13"/>
    <w:rsid w:val="0CCB6D1E"/>
    <w:rsid w:val="0CDB17E1"/>
    <w:rsid w:val="0CE5440E"/>
    <w:rsid w:val="0CE9288B"/>
    <w:rsid w:val="0CF07607"/>
    <w:rsid w:val="0CF85923"/>
    <w:rsid w:val="0D0902D4"/>
    <w:rsid w:val="0D17074C"/>
    <w:rsid w:val="0D3859A2"/>
    <w:rsid w:val="0D5166E6"/>
    <w:rsid w:val="0D543401"/>
    <w:rsid w:val="0D597F09"/>
    <w:rsid w:val="0D5B1089"/>
    <w:rsid w:val="0D621C7D"/>
    <w:rsid w:val="0D774ACB"/>
    <w:rsid w:val="0D7A48A8"/>
    <w:rsid w:val="0D861C02"/>
    <w:rsid w:val="0D8E5022"/>
    <w:rsid w:val="0DA15B6C"/>
    <w:rsid w:val="0DBB5D95"/>
    <w:rsid w:val="0DDD387C"/>
    <w:rsid w:val="0DE46C29"/>
    <w:rsid w:val="0DEC2665"/>
    <w:rsid w:val="0E22587A"/>
    <w:rsid w:val="0E2962E0"/>
    <w:rsid w:val="0E2E47E5"/>
    <w:rsid w:val="0E5F75BB"/>
    <w:rsid w:val="0E73034D"/>
    <w:rsid w:val="0E883FB0"/>
    <w:rsid w:val="0E891EC0"/>
    <w:rsid w:val="0EA95AE9"/>
    <w:rsid w:val="0EBC32FA"/>
    <w:rsid w:val="0ED143A4"/>
    <w:rsid w:val="0ED71311"/>
    <w:rsid w:val="0EEA5D65"/>
    <w:rsid w:val="0EF232D3"/>
    <w:rsid w:val="0F13775A"/>
    <w:rsid w:val="0F1D39CF"/>
    <w:rsid w:val="0F225C57"/>
    <w:rsid w:val="0F322636"/>
    <w:rsid w:val="0F3426AB"/>
    <w:rsid w:val="0F3B72E3"/>
    <w:rsid w:val="0F444DA6"/>
    <w:rsid w:val="0F487A60"/>
    <w:rsid w:val="0F5F45FE"/>
    <w:rsid w:val="0F815E87"/>
    <w:rsid w:val="0F9365CB"/>
    <w:rsid w:val="0F961DD6"/>
    <w:rsid w:val="0F9A112B"/>
    <w:rsid w:val="0FB3172E"/>
    <w:rsid w:val="0FBA7FEB"/>
    <w:rsid w:val="0FEE2832"/>
    <w:rsid w:val="0FF0209C"/>
    <w:rsid w:val="0FF749BC"/>
    <w:rsid w:val="10051E18"/>
    <w:rsid w:val="1008257A"/>
    <w:rsid w:val="101805DC"/>
    <w:rsid w:val="10244899"/>
    <w:rsid w:val="102D6D71"/>
    <w:rsid w:val="1033153E"/>
    <w:rsid w:val="103F50C9"/>
    <w:rsid w:val="105041EB"/>
    <w:rsid w:val="10535872"/>
    <w:rsid w:val="10593038"/>
    <w:rsid w:val="106D2F64"/>
    <w:rsid w:val="109066D8"/>
    <w:rsid w:val="109F6DD2"/>
    <w:rsid w:val="10B63710"/>
    <w:rsid w:val="10C42D64"/>
    <w:rsid w:val="10D03DD3"/>
    <w:rsid w:val="10E45BD7"/>
    <w:rsid w:val="10ED52CC"/>
    <w:rsid w:val="10F10820"/>
    <w:rsid w:val="10FE6BB9"/>
    <w:rsid w:val="10FF5DF4"/>
    <w:rsid w:val="11093E79"/>
    <w:rsid w:val="111C2F7A"/>
    <w:rsid w:val="11293337"/>
    <w:rsid w:val="11490541"/>
    <w:rsid w:val="115171DF"/>
    <w:rsid w:val="115C3FEB"/>
    <w:rsid w:val="11665CA1"/>
    <w:rsid w:val="11763006"/>
    <w:rsid w:val="11862599"/>
    <w:rsid w:val="118A0FD0"/>
    <w:rsid w:val="118E2BF3"/>
    <w:rsid w:val="1197624C"/>
    <w:rsid w:val="11A463F1"/>
    <w:rsid w:val="11BD558D"/>
    <w:rsid w:val="11DC1953"/>
    <w:rsid w:val="11DF61FD"/>
    <w:rsid w:val="11FA1275"/>
    <w:rsid w:val="127A564B"/>
    <w:rsid w:val="12956715"/>
    <w:rsid w:val="12C64B90"/>
    <w:rsid w:val="12DE5996"/>
    <w:rsid w:val="12F26E2C"/>
    <w:rsid w:val="1300000F"/>
    <w:rsid w:val="13196BB0"/>
    <w:rsid w:val="132160C6"/>
    <w:rsid w:val="13346E88"/>
    <w:rsid w:val="13355543"/>
    <w:rsid w:val="133D027F"/>
    <w:rsid w:val="13951726"/>
    <w:rsid w:val="139F091B"/>
    <w:rsid w:val="13A66AEA"/>
    <w:rsid w:val="13B36C59"/>
    <w:rsid w:val="13BB0AC0"/>
    <w:rsid w:val="13D14701"/>
    <w:rsid w:val="13D70846"/>
    <w:rsid w:val="14306300"/>
    <w:rsid w:val="14396509"/>
    <w:rsid w:val="143F1847"/>
    <w:rsid w:val="144A702A"/>
    <w:rsid w:val="144B02B5"/>
    <w:rsid w:val="144D4C62"/>
    <w:rsid w:val="149D0971"/>
    <w:rsid w:val="14B41682"/>
    <w:rsid w:val="14C65F8C"/>
    <w:rsid w:val="14DD2C3C"/>
    <w:rsid w:val="14F81AE5"/>
    <w:rsid w:val="15136362"/>
    <w:rsid w:val="15137114"/>
    <w:rsid w:val="15162C23"/>
    <w:rsid w:val="153A76F2"/>
    <w:rsid w:val="154A2F50"/>
    <w:rsid w:val="154A3236"/>
    <w:rsid w:val="15595889"/>
    <w:rsid w:val="155B1193"/>
    <w:rsid w:val="157443AD"/>
    <w:rsid w:val="159C58DF"/>
    <w:rsid w:val="15A313CF"/>
    <w:rsid w:val="15D37FCE"/>
    <w:rsid w:val="15EC2FD8"/>
    <w:rsid w:val="16087E1D"/>
    <w:rsid w:val="161A0084"/>
    <w:rsid w:val="16332E52"/>
    <w:rsid w:val="16516740"/>
    <w:rsid w:val="169556A4"/>
    <w:rsid w:val="16A079BC"/>
    <w:rsid w:val="16AE6B03"/>
    <w:rsid w:val="16C5397F"/>
    <w:rsid w:val="16E028DA"/>
    <w:rsid w:val="16F50CA4"/>
    <w:rsid w:val="16FF4635"/>
    <w:rsid w:val="1703785A"/>
    <w:rsid w:val="17056884"/>
    <w:rsid w:val="175514A9"/>
    <w:rsid w:val="17701D14"/>
    <w:rsid w:val="17716D5F"/>
    <w:rsid w:val="17735226"/>
    <w:rsid w:val="17834A8A"/>
    <w:rsid w:val="178F2B93"/>
    <w:rsid w:val="17B45D56"/>
    <w:rsid w:val="17B62435"/>
    <w:rsid w:val="17C419D1"/>
    <w:rsid w:val="17C74D2B"/>
    <w:rsid w:val="17CE68ED"/>
    <w:rsid w:val="17F15DE2"/>
    <w:rsid w:val="17F46D7F"/>
    <w:rsid w:val="180660BE"/>
    <w:rsid w:val="181361DF"/>
    <w:rsid w:val="182345C4"/>
    <w:rsid w:val="18237E28"/>
    <w:rsid w:val="182E6DCF"/>
    <w:rsid w:val="18311B63"/>
    <w:rsid w:val="18457474"/>
    <w:rsid w:val="1853581F"/>
    <w:rsid w:val="189159BF"/>
    <w:rsid w:val="189F624C"/>
    <w:rsid w:val="18A77F31"/>
    <w:rsid w:val="18D80D3A"/>
    <w:rsid w:val="1917583F"/>
    <w:rsid w:val="1928523E"/>
    <w:rsid w:val="192D3A8F"/>
    <w:rsid w:val="193F38CB"/>
    <w:rsid w:val="194B6F9E"/>
    <w:rsid w:val="19686713"/>
    <w:rsid w:val="197B09C3"/>
    <w:rsid w:val="199F5572"/>
    <w:rsid w:val="19A62D4F"/>
    <w:rsid w:val="19AE3232"/>
    <w:rsid w:val="19B70C37"/>
    <w:rsid w:val="1A0D6013"/>
    <w:rsid w:val="1A0F5ADB"/>
    <w:rsid w:val="1A106C82"/>
    <w:rsid w:val="1A1A1AC6"/>
    <w:rsid w:val="1A1C66C0"/>
    <w:rsid w:val="1A2E430E"/>
    <w:rsid w:val="1A34568A"/>
    <w:rsid w:val="1A42393B"/>
    <w:rsid w:val="1A435CA4"/>
    <w:rsid w:val="1A522CD0"/>
    <w:rsid w:val="1A616877"/>
    <w:rsid w:val="1A646509"/>
    <w:rsid w:val="1A6B14F0"/>
    <w:rsid w:val="1A6E7FFD"/>
    <w:rsid w:val="1A845784"/>
    <w:rsid w:val="1AAD45DE"/>
    <w:rsid w:val="1AB239AD"/>
    <w:rsid w:val="1AE231ED"/>
    <w:rsid w:val="1AE9011E"/>
    <w:rsid w:val="1AFA3372"/>
    <w:rsid w:val="1B046F80"/>
    <w:rsid w:val="1B3267B5"/>
    <w:rsid w:val="1B3C441F"/>
    <w:rsid w:val="1B40161D"/>
    <w:rsid w:val="1B4403D6"/>
    <w:rsid w:val="1B441859"/>
    <w:rsid w:val="1B622538"/>
    <w:rsid w:val="1B6606B1"/>
    <w:rsid w:val="1B6B1E72"/>
    <w:rsid w:val="1B8F0AF7"/>
    <w:rsid w:val="1B9D493D"/>
    <w:rsid w:val="1BA35CFA"/>
    <w:rsid w:val="1BD9519A"/>
    <w:rsid w:val="1BE52E52"/>
    <w:rsid w:val="1BE808E2"/>
    <w:rsid w:val="1BEA177B"/>
    <w:rsid w:val="1C02221A"/>
    <w:rsid w:val="1C16002F"/>
    <w:rsid w:val="1C277941"/>
    <w:rsid w:val="1C310980"/>
    <w:rsid w:val="1C39706C"/>
    <w:rsid w:val="1C397D04"/>
    <w:rsid w:val="1C590F48"/>
    <w:rsid w:val="1C5E7925"/>
    <w:rsid w:val="1C8B457A"/>
    <w:rsid w:val="1C951971"/>
    <w:rsid w:val="1CA03375"/>
    <w:rsid w:val="1CB65729"/>
    <w:rsid w:val="1CB87339"/>
    <w:rsid w:val="1CCD3553"/>
    <w:rsid w:val="1CD64B5E"/>
    <w:rsid w:val="1CE0499C"/>
    <w:rsid w:val="1CF8056B"/>
    <w:rsid w:val="1CFD070F"/>
    <w:rsid w:val="1CFD5617"/>
    <w:rsid w:val="1D02552E"/>
    <w:rsid w:val="1D155116"/>
    <w:rsid w:val="1D2357F2"/>
    <w:rsid w:val="1D480563"/>
    <w:rsid w:val="1D51139B"/>
    <w:rsid w:val="1D5F6196"/>
    <w:rsid w:val="1D6132A5"/>
    <w:rsid w:val="1D8B44EB"/>
    <w:rsid w:val="1D8E56D5"/>
    <w:rsid w:val="1DB73488"/>
    <w:rsid w:val="1DCF0DA4"/>
    <w:rsid w:val="1DDA41D1"/>
    <w:rsid w:val="1DE347F2"/>
    <w:rsid w:val="1DEC326C"/>
    <w:rsid w:val="1DF32C46"/>
    <w:rsid w:val="1DF93765"/>
    <w:rsid w:val="1DFA1CEE"/>
    <w:rsid w:val="1E200CF1"/>
    <w:rsid w:val="1E42412A"/>
    <w:rsid w:val="1E447632"/>
    <w:rsid w:val="1E4E1CF7"/>
    <w:rsid w:val="1E6B3A74"/>
    <w:rsid w:val="1E77046A"/>
    <w:rsid w:val="1E7A43DA"/>
    <w:rsid w:val="1E8247D2"/>
    <w:rsid w:val="1E844911"/>
    <w:rsid w:val="1E950B0E"/>
    <w:rsid w:val="1ED55B31"/>
    <w:rsid w:val="1EDD7B7E"/>
    <w:rsid w:val="1EFD6E54"/>
    <w:rsid w:val="1F3D02AD"/>
    <w:rsid w:val="1F3D5DC5"/>
    <w:rsid w:val="1F6E51D3"/>
    <w:rsid w:val="1F824153"/>
    <w:rsid w:val="1FD85E14"/>
    <w:rsid w:val="1FE277E0"/>
    <w:rsid w:val="1FE7539E"/>
    <w:rsid w:val="1FFE1CDD"/>
    <w:rsid w:val="20040694"/>
    <w:rsid w:val="200B71E7"/>
    <w:rsid w:val="20195203"/>
    <w:rsid w:val="2025477C"/>
    <w:rsid w:val="20307F5E"/>
    <w:rsid w:val="20334F3E"/>
    <w:rsid w:val="20425900"/>
    <w:rsid w:val="206550E2"/>
    <w:rsid w:val="20671BE0"/>
    <w:rsid w:val="206A2B6F"/>
    <w:rsid w:val="207576B2"/>
    <w:rsid w:val="208E5E0B"/>
    <w:rsid w:val="20963CB8"/>
    <w:rsid w:val="20A63420"/>
    <w:rsid w:val="20A81A1B"/>
    <w:rsid w:val="20B07FB6"/>
    <w:rsid w:val="20B646FB"/>
    <w:rsid w:val="21135528"/>
    <w:rsid w:val="21186631"/>
    <w:rsid w:val="21357430"/>
    <w:rsid w:val="213B0816"/>
    <w:rsid w:val="213B3DFE"/>
    <w:rsid w:val="213B74B1"/>
    <w:rsid w:val="215A2310"/>
    <w:rsid w:val="21622815"/>
    <w:rsid w:val="21683709"/>
    <w:rsid w:val="21757D4F"/>
    <w:rsid w:val="2178613D"/>
    <w:rsid w:val="21834283"/>
    <w:rsid w:val="219F4F03"/>
    <w:rsid w:val="21AB744A"/>
    <w:rsid w:val="21B7325D"/>
    <w:rsid w:val="21C81DCC"/>
    <w:rsid w:val="21DE318A"/>
    <w:rsid w:val="21EC12A3"/>
    <w:rsid w:val="21EF5B80"/>
    <w:rsid w:val="21F54D1D"/>
    <w:rsid w:val="22054DD0"/>
    <w:rsid w:val="220D11B7"/>
    <w:rsid w:val="220D5A31"/>
    <w:rsid w:val="22115E4B"/>
    <w:rsid w:val="221729FA"/>
    <w:rsid w:val="2238734A"/>
    <w:rsid w:val="224B004F"/>
    <w:rsid w:val="225612DB"/>
    <w:rsid w:val="22576990"/>
    <w:rsid w:val="2270442A"/>
    <w:rsid w:val="227A274D"/>
    <w:rsid w:val="228D5B7D"/>
    <w:rsid w:val="22B85EFB"/>
    <w:rsid w:val="22EC2589"/>
    <w:rsid w:val="22F47480"/>
    <w:rsid w:val="22FB7864"/>
    <w:rsid w:val="230B739B"/>
    <w:rsid w:val="23171F20"/>
    <w:rsid w:val="23215CC3"/>
    <w:rsid w:val="23265870"/>
    <w:rsid w:val="2345625E"/>
    <w:rsid w:val="234870AA"/>
    <w:rsid w:val="23884092"/>
    <w:rsid w:val="239E2BE6"/>
    <w:rsid w:val="23B52C82"/>
    <w:rsid w:val="23C70A3F"/>
    <w:rsid w:val="23DC4383"/>
    <w:rsid w:val="23DE1C48"/>
    <w:rsid w:val="23E60DCA"/>
    <w:rsid w:val="23EE62DB"/>
    <w:rsid w:val="23F549CE"/>
    <w:rsid w:val="23FE4EC3"/>
    <w:rsid w:val="240210CD"/>
    <w:rsid w:val="24264B88"/>
    <w:rsid w:val="242E420B"/>
    <w:rsid w:val="243E4180"/>
    <w:rsid w:val="24417D04"/>
    <w:rsid w:val="2452763C"/>
    <w:rsid w:val="2483647E"/>
    <w:rsid w:val="24977269"/>
    <w:rsid w:val="24BF09F7"/>
    <w:rsid w:val="24F46581"/>
    <w:rsid w:val="24F5107B"/>
    <w:rsid w:val="24F96D10"/>
    <w:rsid w:val="250F794D"/>
    <w:rsid w:val="252D53FE"/>
    <w:rsid w:val="25305714"/>
    <w:rsid w:val="25535FDC"/>
    <w:rsid w:val="258B1809"/>
    <w:rsid w:val="259423F8"/>
    <w:rsid w:val="25B41523"/>
    <w:rsid w:val="25D13266"/>
    <w:rsid w:val="25E31F0B"/>
    <w:rsid w:val="25EC2D81"/>
    <w:rsid w:val="25FF1BED"/>
    <w:rsid w:val="2605179C"/>
    <w:rsid w:val="260820D4"/>
    <w:rsid w:val="26531794"/>
    <w:rsid w:val="26830793"/>
    <w:rsid w:val="26931905"/>
    <w:rsid w:val="269B236F"/>
    <w:rsid w:val="26B0201E"/>
    <w:rsid w:val="26B323CF"/>
    <w:rsid w:val="26BB3CAD"/>
    <w:rsid w:val="26BB53BB"/>
    <w:rsid w:val="26BC4A69"/>
    <w:rsid w:val="26D517AC"/>
    <w:rsid w:val="26D51EB0"/>
    <w:rsid w:val="26DA59FA"/>
    <w:rsid w:val="270F7B55"/>
    <w:rsid w:val="27166BAC"/>
    <w:rsid w:val="271F39BF"/>
    <w:rsid w:val="27280A7A"/>
    <w:rsid w:val="274533D0"/>
    <w:rsid w:val="27545D4B"/>
    <w:rsid w:val="2762702C"/>
    <w:rsid w:val="277057A2"/>
    <w:rsid w:val="279E6736"/>
    <w:rsid w:val="27A7522A"/>
    <w:rsid w:val="27AE3812"/>
    <w:rsid w:val="27B33149"/>
    <w:rsid w:val="27BF1E6D"/>
    <w:rsid w:val="27E044BB"/>
    <w:rsid w:val="280B6FD7"/>
    <w:rsid w:val="283C6103"/>
    <w:rsid w:val="28492DA6"/>
    <w:rsid w:val="287E51F8"/>
    <w:rsid w:val="2883338A"/>
    <w:rsid w:val="28A40C64"/>
    <w:rsid w:val="28A6044E"/>
    <w:rsid w:val="28CF0AED"/>
    <w:rsid w:val="29206EB8"/>
    <w:rsid w:val="29430740"/>
    <w:rsid w:val="294818AA"/>
    <w:rsid w:val="294D55A5"/>
    <w:rsid w:val="29595666"/>
    <w:rsid w:val="29664761"/>
    <w:rsid w:val="29874881"/>
    <w:rsid w:val="298962E5"/>
    <w:rsid w:val="298A6036"/>
    <w:rsid w:val="29A20219"/>
    <w:rsid w:val="29C8633F"/>
    <w:rsid w:val="29CB4AAB"/>
    <w:rsid w:val="29E325E0"/>
    <w:rsid w:val="2A061C3D"/>
    <w:rsid w:val="2A094F67"/>
    <w:rsid w:val="2A0D6C0A"/>
    <w:rsid w:val="2A2153A0"/>
    <w:rsid w:val="2A291789"/>
    <w:rsid w:val="2A452503"/>
    <w:rsid w:val="2A5530AE"/>
    <w:rsid w:val="2A6D1F19"/>
    <w:rsid w:val="2ABC4498"/>
    <w:rsid w:val="2AC53EB8"/>
    <w:rsid w:val="2AC63193"/>
    <w:rsid w:val="2ACA6ACA"/>
    <w:rsid w:val="2AF635CE"/>
    <w:rsid w:val="2AFF1D63"/>
    <w:rsid w:val="2B080485"/>
    <w:rsid w:val="2B145387"/>
    <w:rsid w:val="2B252BCC"/>
    <w:rsid w:val="2B3F7001"/>
    <w:rsid w:val="2B503CF0"/>
    <w:rsid w:val="2B616119"/>
    <w:rsid w:val="2B632533"/>
    <w:rsid w:val="2B694CAD"/>
    <w:rsid w:val="2B842CDA"/>
    <w:rsid w:val="2B9160D5"/>
    <w:rsid w:val="2BA936A8"/>
    <w:rsid w:val="2BAB5EAC"/>
    <w:rsid w:val="2BC617B2"/>
    <w:rsid w:val="2BC90679"/>
    <w:rsid w:val="2BCA025E"/>
    <w:rsid w:val="2BFF37C6"/>
    <w:rsid w:val="2C06496B"/>
    <w:rsid w:val="2C0F6A50"/>
    <w:rsid w:val="2C2A293E"/>
    <w:rsid w:val="2C315A5A"/>
    <w:rsid w:val="2C32692B"/>
    <w:rsid w:val="2C4B1C25"/>
    <w:rsid w:val="2C625E73"/>
    <w:rsid w:val="2C6E33DE"/>
    <w:rsid w:val="2C9411C1"/>
    <w:rsid w:val="2CB46411"/>
    <w:rsid w:val="2CD572D6"/>
    <w:rsid w:val="2CEC2863"/>
    <w:rsid w:val="2CEC35ED"/>
    <w:rsid w:val="2D0E3856"/>
    <w:rsid w:val="2D4B1DE8"/>
    <w:rsid w:val="2D4F3A52"/>
    <w:rsid w:val="2D671694"/>
    <w:rsid w:val="2D710BF8"/>
    <w:rsid w:val="2D7377DF"/>
    <w:rsid w:val="2D881ACE"/>
    <w:rsid w:val="2D9E56F5"/>
    <w:rsid w:val="2DD1454C"/>
    <w:rsid w:val="2DDF5C3D"/>
    <w:rsid w:val="2DE617FD"/>
    <w:rsid w:val="2DF67298"/>
    <w:rsid w:val="2E073C8D"/>
    <w:rsid w:val="2E596F9A"/>
    <w:rsid w:val="2E637258"/>
    <w:rsid w:val="2E656033"/>
    <w:rsid w:val="2E667F96"/>
    <w:rsid w:val="2E795C15"/>
    <w:rsid w:val="2E8226AB"/>
    <w:rsid w:val="2E8257A5"/>
    <w:rsid w:val="2E9D68A0"/>
    <w:rsid w:val="2EA015F1"/>
    <w:rsid w:val="2EA10AD8"/>
    <w:rsid w:val="2EB060C2"/>
    <w:rsid w:val="2EB75121"/>
    <w:rsid w:val="2EC76C2A"/>
    <w:rsid w:val="2EEA31B5"/>
    <w:rsid w:val="2F0B116C"/>
    <w:rsid w:val="2F0E29F6"/>
    <w:rsid w:val="2F4F7689"/>
    <w:rsid w:val="2F5B2ED3"/>
    <w:rsid w:val="2F707696"/>
    <w:rsid w:val="2F8B2A9E"/>
    <w:rsid w:val="2FB92DF9"/>
    <w:rsid w:val="2FD065E6"/>
    <w:rsid w:val="2FD96870"/>
    <w:rsid w:val="2FDD12B7"/>
    <w:rsid w:val="2FED28FB"/>
    <w:rsid w:val="2FFB45B9"/>
    <w:rsid w:val="302315DE"/>
    <w:rsid w:val="303C5EA9"/>
    <w:rsid w:val="30580BC9"/>
    <w:rsid w:val="30580DC2"/>
    <w:rsid w:val="306B49E2"/>
    <w:rsid w:val="30794CA9"/>
    <w:rsid w:val="30813010"/>
    <w:rsid w:val="308B5B05"/>
    <w:rsid w:val="30996E4F"/>
    <w:rsid w:val="30BE66B9"/>
    <w:rsid w:val="30C2771E"/>
    <w:rsid w:val="30C81806"/>
    <w:rsid w:val="30EC73BC"/>
    <w:rsid w:val="30F10EBA"/>
    <w:rsid w:val="31087125"/>
    <w:rsid w:val="31091955"/>
    <w:rsid w:val="311254AF"/>
    <w:rsid w:val="311E2ED7"/>
    <w:rsid w:val="313715C7"/>
    <w:rsid w:val="314D409C"/>
    <w:rsid w:val="315619EE"/>
    <w:rsid w:val="315C449C"/>
    <w:rsid w:val="316834E4"/>
    <w:rsid w:val="318135CD"/>
    <w:rsid w:val="318768BD"/>
    <w:rsid w:val="319D5FE3"/>
    <w:rsid w:val="31AB7533"/>
    <w:rsid w:val="31B04FAA"/>
    <w:rsid w:val="31B82709"/>
    <w:rsid w:val="31C33672"/>
    <w:rsid w:val="31CB7B95"/>
    <w:rsid w:val="31D05482"/>
    <w:rsid w:val="31EA4FAC"/>
    <w:rsid w:val="31FE58ED"/>
    <w:rsid w:val="3232330A"/>
    <w:rsid w:val="32400B34"/>
    <w:rsid w:val="32536DEE"/>
    <w:rsid w:val="325C7B1E"/>
    <w:rsid w:val="3283636F"/>
    <w:rsid w:val="3291620A"/>
    <w:rsid w:val="32924211"/>
    <w:rsid w:val="32951CC1"/>
    <w:rsid w:val="329E6876"/>
    <w:rsid w:val="32BD4F02"/>
    <w:rsid w:val="32CB1529"/>
    <w:rsid w:val="32CC6B29"/>
    <w:rsid w:val="32D12807"/>
    <w:rsid w:val="32D30771"/>
    <w:rsid w:val="33217064"/>
    <w:rsid w:val="333015F2"/>
    <w:rsid w:val="333F4584"/>
    <w:rsid w:val="3343713F"/>
    <w:rsid w:val="334B6320"/>
    <w:rsid w:val="337F58A1"/>
    <w:rsid w:val="33813B89"/>
    <w:rsid w:val="338C35A2"/>
    <w:rsid w:val="33A46058"/>
    <w:rsid w:val="33C11382"/>
    <w:rsid w:val="33CB6983"/>
    <w:rsid w:val="33D934D4"/>
    <w:rsid w:val="33EF5425"/>
    <w:rsid w:val="33FD757D"/>
    <w:rsid w:val="33FE2F6A"/>
    <w:rsid w:val="34097725"/>
    <w:rsid w:val="340A3272"/>
    <w:rsid w:val="340E07E5"/>
    <w:rsid w:val="34223DA4"/>
    <w:rsid w:val="34235BF7"/>
    <w:rsid w:val="342804A8"/>
    <w:rsid w:val="342C61EA"/>
    <w:rsid w:val="343641A1"/>
    <w:rsid w:val="34415520"/>
    <w:rsid w:val="348D7762"/>
    <w:rsid w:val="34A24169"/>
    <w:rsid w:val="34B14942"/>
    <w:rsid w:val="34B8092C"/>
    <w:rsid w:val="34DD70DE"/>
    <w:rsid w:val="34EC41DF"/>
    <w:rsid w:val="35041EEB"/>
    <w:rsid w:val="351153E0"/>
    <w:rsid w:val="352B6EAD"/>
    <w:rsid w:val="35301D0A"/>
    <w:rsid w:val="35672BB9"/>
    <w:rsid w:val="356A6F13"/>
    <w:rsid w:val="35772266"/>
    <w:rsid w:val="35811B2D"/>
    <w:rsid w:val="35863EFE"/>
    <w:rsid w:val="358C5FA8"/>
    <w:rsid w:val="358E4F84"/>
    <w:rsid w:val="359A56C8"/>
    <w:rsid w:val="35A73CBB"/>
    <w:rsid w:val="35B529C0"/>
    <w:rsid w:val="35B63460"/>
    <w:rsid w:val="35C15DF1"/>
    <w:rsid w:val="36074A7F"/>
    <w:rsid w:val="360E2554"/>
    <w:rsid w:val="361814B5"/>
    <w:rsid w:val="362870FA"/>
    <w:rsid w:val="36327888"/>
    <w:rsid w:val="363E6A7B"/>
    <w:rsid w:val="36657031"/>
    <w:rsid w:val="366F722F"/>
    <w:rsid w:val="36715F8A"/>
    <w:rsid w:val="368B4248"/>
    <w:rsid w:val="36923549"/>
    <w:rsid w:val="369A48EF"/>
    <w:rsid w:val="36B04C59"/>
    <w:rsid w:val="36B32C31"/>
    <w:rsid w:val="36B75FBF"/>
    <w:rsid w:val="36BD0C45"/>
    <w:rsid w:val="36E74E00"/>
    <w:rsid w:val="36F6488E"/>
    <w:rsid w:val="36FF1730"/>
    <w:rsid w:val="371365E9"/>
    <w:rsid w:val="37471782"/>
    <w:rsid w:val="3748403E"/>
    <w:rsid w:val="378034EF"/>
    <w:rsid w:val="378577B0"/>
    <w:rsid w:val="37882D08"/>
    <w:rsid w:val="37A274A6"/>
    <w:rsid w:val="37A40F65"/>
    <w:rsid w:val="37A518FB"/>
    <w:rsid w:val="37B866D1"/>
    <w:rsid w:val="37C8207A"/>
    <w:rsid w:val="37CB4D69"/>
    <w:rsid w:val="37E00298"/>
    <w:rsid w:val="37E275EA"/>
    <w:rsid w:val="37FA7DB8"/>
    <w:rsid w:val="38045CD5"/>
    <w:rsid w:val="38121548"/>
    <w:rsid w:val="38244D79"/>
    <w:rsid w:val="382B2A06"/>
    <w:rsid w:val="383452C0"/>
    <w:rsid w:val="38384AAD"/>
    <w:rsid w:val="386F2946"/>
    <w:rsid w:val="38721450"/>
    <w:rsid w:val="389E1960"/>
    <w:rsid w:val="38B302F9"/>
    <w:rsid w:val="38B74D35"/>
    <w:rsid w:val="38C52336"/>
    <w:rsid w:val="38E3601B"/>
    <w:rsid w:val="38EB411C"/>
    <w:rsid w:val="38F12CD3"/>
    <w:rsid w:val="38F94775"/>
    <w:rsid w:val="38FB259A"/>
    <w:rsid w:val="390D3F6D"/>
    <w:rsid w:val="392971ED"/>
    <w:rsid w:val="39325651"/>
    <w:rsid w:val="393F3BF3"/>
    <w:rsid w:val="39501827"/>
    <w:rsid w:val="39590F9B"/>
    <w:rsid w:val="39702D90"/>
    <w:rsid w:val="397103B8"/>
    <w:rsid w:val="39770D67"/>
    <w:rsid w:val="3981656F"/>
    <w:rsid w:val="399604B5"/>
    <w:rsid w:val="39C1600D"/>
    <w:rsid w:val="39C72511"/>
    <w:rsid w:val="39CB21DE"/>
    <w:rsid w:val="39E42618"/>
    <w:rsid w:val="3A0D273F"/>
    <w:rsid w:val="3A0D4436"/>
    <w:rsid w:val="3A2B6883"/>
    <w:rsid w:val="3A623D75"/>
    <w:rsid w:val="3A726921"/>
    <w:rsid w:val="3A731C3E"/>
    <w:rsid w:val="3A872856"/>
    <w:rsid w:val="3A883C64"/>
    <w:rsid w:val="3A9B6DC2"/>
    <w:rsid w:val="3A9D5893"/>
    <w:rsid w:val="3AA5514D"/>
    <w:rsid w:val="3AB24790"/>
    <w:rsid w:val="3AD209A3"/>
    <w:rsid w:val="3B0E3D54"/>
    <w:rsid w:val="3B290E79"/>
    <w:rsid w:val="3B3763D1"/>
    <w:rsid w:val="3B5A6D6A"/>
    <w:rsid w:val="3B5C4B4C"/>
    <w:rsid w:val="3B76761C"/>
    <w:rsid w:val="3B76789C"/>
    <w:rsid w:val="3B7D6570"/>
    <w:rsid w:val="3B8C462B"/>
    <w:rsid w:val="3BE62A6A"/>
    <w:rsid w:val="3BF25A06"/>
    <w:rsid w:val="3BF26659"/>
    <w:rsid w:val="3C01769C"/>
    <w:rsid w:val="3C07315E"/>
    <w:rsid w:val="3C236125"/>
    <w:rsid w:val="3C2B6638"/>
    <w:rsid w:val="3C2F6E1E"/>
    <w:rsid w:val="3C3A521C"/>
    <w:rsid w:val="3C4C5B2C"/>
    <w:rsid w:val="3C4F64BA"/>
    <w:rsid w:val="3C52023A"/>
    <w:rsid w:val="3C92427F"/>
    <w:rsid w:val="3C971E90"/>
    <w:rsid w:val="3CA0344A"/>
    <w:rsid w:val="3CB0491B"/>
    <w:rsid w:val="3CDA245A"/>
    <w:rsid w:val="3CDF5911"/>
    <w:rsid w:val="3CE3482D"/>
    <w:rsid w:val="3CE533DA"/>
    <w:rsid w:val="3D1E06B7"/>
    <w:rsid w:val="3D1E2B6E"/>
    <w:rsid w:val="3D2C6001"/>
    <w:rsid w:val="3D406893"/>
    <w:rsid w:val="3D46256D"/>
    <w:rsid w:val="3D6929EA"/>
    <w:rsid w:val="3D9654DA"/>
    <w:rsid w:val="3D9E412A"/>
    <w:rsid w:val="3DDF458D"/>
    <w:rsid w:val="3DEA2E3A"/>
    <w:rsid w:val="3DFB2911"/>
    <w:rsid w:val="3E654A04"/>
    <w:rsid w:val="3E6612A4"/>
    <w:rsid w:val="3E66679D"/>
    <w:rsid w:val="3E7E4765"/>
    <w:rsid w:val="3E8037CF"/>
    <w:rsid w:val="3E8B387F"/>
    <w:rsid w:val="3E9142EB"/>
    <w:rsid w:val="3ED541A4"/>
    <w:rsid w:val="3EDA0523"/>
    <w:rsid w:val="3EDF52A8"/>
    <w:rsid w:val="3EF5367D"/>
    <w:rsid w:val="3F1302A9"/>
    <w:rsid w:val="3F462630"/>
    <w:rsid w:val="3F520ACF"/>
    <w:rsid w:val="3F5900B0"/>
    <w:rsid w:val="3F6F78D3"/>
    <w:rsid w:val="3F7E66AC"/>
    <w:rsid w:val="3F8751A4"/>
    <w:rsid w:val="3FC574F3"/>
    <w:rsid w:val="3FDC22E7"/>
    <w:rsid w:val="3FE206EE"/>
    <w:rsid w:val="3FF37BBC"/>
    <w:rsid w:val="40021A07"/>
    <w:rsid w:val="403E2AF8"/>
    <w:rsid w:val="406224ED"/>
    <w:rsid w:val="40794C12"/>
    <w:rsid w:val="407A6407"/>
    <w:rsid w:val="40882E65"/>
    <w:rsid w:val="409819DA"/>
    <w:rsid w:val="40BE2E4A"/>
    <w:rsid w:val="40BE7759"/>
    <w:rsid w:val="40D0614F"/>
    <w:rsid w:val="40D57477"/>
    <w:rsid w:val="40E045E4"/>
    <w:rsid w:val="40EF1917"/>
    <w:rsid w:val="41712A00"/>
    <w:rsid w:val="41977E69"/>
    <w:rsid w:val="419B52F9"/>
    <w:rsid w:val="41A0625E"/>
    <w:rsid w:val="41BF1FF9"/>
    <w:rsid w:val="41D41C6F"/>
    <w:rsid w:val="41F1637D"/>
    <w:rsid w:val="4200449D"/>
    <w:rsid w:val="420071D6"/>
    <w:rsid w:val="420C7893"/>
    <w:rsid w:val="420E6F2F"/>
    <w:rsid w:val="42120803"/>
    <w:rsid w:val="422609CD"/>
    <w:rsid w:val="423A3BCC"/>
    <w:rsid w:val="424E57D2"/>
    <w:rsid w:val="42660B19"/>
    <w:rsid w:val="42805FB8"/>
    <w:rsid w:val="429C6840"/>
    <w:rsid w:val="42A60D07"/>
    <w:rsid w:val="42A909AC"/>
    <w:rsid w:val="42AB3789"/>
    <w:rsid w:val="42B26C49"/>
    <w:rsid w:val="42BA6D41"/>
    <w:rsid w:val="42CF64BD"/>
    <w:rsid w:val="42E6789E"/>
    <w:rsid w:val="42EC095C"/>
    <w:rsid w:val="42F474B4"/>
    <w:rsid w:val="4329074B"/>
    <w:rsid w:val="433A6FE6"/>
    <w:rsid w:val="433E27FF"/>
    <w:rsid w:val="43480868"/>
    <w:rsid w:val="4350713C"/>
    <w:rsid w:val="436653E0"/>
    <w:rsid w:val="43861DD8"/>
    <w:rsid w:val="4399044E"/>
    <w:rsid w:val="43BA0CAA"/>
    <w:rsid w:val="43C4379A"/>
    <w:rsid w:val="43C4431A"/>
    <w:rsid w:val="43DA644B"/>
    <w:rsid w:val="43DE6DD5"/>
    <w:rsid w:val="43EA3DB3"/>
    <w:rsid w:val="43ED101F"/>
    <w:rsid w:val="43FC5D17"/>
    <w:rsid w:val="440202B5"/>
    <w:rsid w:val="441806C8"/>
    <w:rsid w:val="443928F3"/>
    <w:rsid w:val="44704FFB"/>
    <w:rsid w:val="448D7E42"/>
    <w:rsid w:val="44A4021D"/>
    <w:rsid w:val="44B951CC"/>
    <w:rsid w:val="44C025D5"/>
    <w:rsid w:val="44CD14E0"/>
    <w:rsid w:val="44D31075"/>
    <w:rsid w:val="44ED37C1"/>
    <w:rsid w:val="44F20B0B"/>
    <w:rsid w:val="45017268"/>
    <w:rsid w:val="45191458"/>
    <w:rsid w:val="452E5F4C"/>
    <w:rsid w:val="45304A76"/>
    <w:rsid w:val="453C1A4E"/>
    <w:rsid w:val="45490C1F"/>
    <w:rsid w:val="454A1571"/>
    <w:rsid w:val="4553384A"/>
    <w:rsid w:val="455D0AE8"/>
    <w:rsid w:val="455D78BE"/>
    <w:rsid w:val="45612018"/>
    <w:rsid w:val="45641902"/>
    <w:rsid w:val="4585470D"/>
    <w:rsid w:val="458647E4"/>
    <w:rsid w:val="458946E9"/>
    <w:rsid w:val="458A2EF4"/>
    <w:rsid w:val="45923040"/>
    <w:rsid w:val="45A47C0E"/>
    <w:rsid w:val="45AA6620"/>
    <w:rsid w:val="45C17353"/>
    <w:rsid w:val="45C3727B"/>
    <w:rsid w:val="45C65518"/>
    <w:rsid w:val="45C97056"/>
    <w:rsid w:val="45D025F2"/>
    <w:rsid w:val="45EF7EF4"/>
    <w:rsid w:val="45F12DF0"/>
    <w:rsid w:val="463C379E"/>
    <w:rsid w:val="464365A6"/>
    <w:rsid w:val="46577FD6"/>
    <w:rsid w:val="46636A74"/>
    <w:rsid w:val="46705253"/>
    <w:rsid w:val="468C5B5B"/>
    <w:rsid w:val="468F62DA"/>
    <w:rsid w:val="46A91F6F"/>
    <w:rsid w:val="46D102D4"/>
    <w:rsid w:val="46D955A7"/>
    <w:rsid w:val="46DF5F90"/>
    <w:rsid w:val="46E40E1E"/>
    <w:rsid w:val="46F463E2"/>
    <w:rsid w:val="470254A2"/>
    <w:rsid w:val="470628CB"/>
    <w:rsid w:val="47133957"/>
    <w:rsid w:val="471F350B"/>
    <w:rsid w:val="471F7215"/>
    <w:rsid w:val="472629F5"/>
    <w:rsid w:val="472B7758"/>
    <w:rsid w:val="473D0A98"/>
    <w:rsid w:val="473E328A"/>
    <w:rsid w:val="476017DF"/>
    <w:rsid w:val="47786CD0"/>
    <w:rsid w:val="478426D2"/>
    <w:rsid w:val="478C5C0D"/>
    <w:rsid w:val="4792415F"/>
    <w:rsid w:val="4799283E"/>
    <w:rsid w:val="479C0B33"/>
    <w:rsid w:val="47A07E0C"/>
    <w:rsid w:val="47A35E33"/>
    <w:rsid w:val="47B85E16"/>
    <w:rsid w:val="47D11D47"/>
    <w:rsid w:val="47D13A0B"/>
    <w:rsid w:val="47FB0E07"/>
    <w:rsid w:val="47FC5871"/>
    <w:rsid w:val="48270D4B"/>
    <w:rsid w:val="48284AC3"/>
    <w:rsid w:val="4870272E"/>
    <w:rsid w:val="487A3570"/>
    <w:rsid w:val="487A3C7D"/>
    <w:rsid w:val="4884601F"/>
    <w:rsid w:val="48860305"/>
    <w:rsid w:val="488D68E0"/>
    <w:rsid w:val="48962DCF"/>
    <w:rsid w:val="48C435AA"/>
    <w:rsid w:val="48C92781"/>
    <w:rsid w:val="48D01921"/>
    <w:rsid w:val="48EC21D9"/>
    <w:rsid w:val="48ED118F"/>
    <w:rsid w:val="490F322F"/>
    <w:rsid w:val="492D6300"/>
    <w:rsid w:val="49333036"/>
    <w:rsid w:val="493F5B22"/>
    <w:rsid w:val="494E2307"/>
    <w:rsid w:val="496D1A2C"/>
    <w:rsid w:val="499159AE"/>
    <w:rsid w:val="49B26913"/>
    <w:rsid w:val="49D3124A"/>
    <w:rsid w:val="49D45404"/>
    <w:rsid w:val="49DC7715"/>
    <w:rsid w:val="49DF5A70"/>
    <w:rsid w:val="49E40AF2"/>
    <w:rsid w:val="49F56217"/>
    <w:rsid w:val="4A00080A"/>
    <w:rsid w:val="4A023139"/>
    <w:rsid w:val="4A267309"/>
    <w:rsid w:val="4A5278B2"/>
    <w:rsid w:val="4A6A1F79"/>
    <w:rsid w:val="4A7A3B35"/>
    <w:rsid w:val="4A7B576F"/>
    <w:rsid w:val="4A7E5AC7"/>
    <w:rsid w:val="4A833F62"/>
    <w:rsid w:val="4A98379F"/>
    <w:rsid w:val="4AAB138D"/>
    <w:rsid w:val="4AAB52E9"/>
    <w:rsid w:val="4AF0688F"/>
    <w:rsid w:val="4AF561A9"/>
    <w:rsid w:val="4B171119"/>
    <w:rsid w:val="4B2962CB"/>
    <w:rsid w:val="4B9C479F"/>
    <w:rsid w:val="4BD5286C"/>
    <w:rsid w:val="4BE1533C"/>
    <w:rsid w:val="4BE82A9A"/>
    <w:rsid w:val="4C132256"/>
    <w:rsid w:val="4C1406C1"/>
    <w:rsid w:val="4C172533"/>
    <w:rsid w:val="4C1926F3"/>
    <w:rsid w:val="4C1D1CED"/>
    <w:rsid w:val="4C1E4E22"/>
    <w:rsid w:val="4C2F1256"/>
    <w:rsid w:val="4C366CAE"/>
    <w:rsid w:val="4C444B00"/>
    <w:rsid w:val="4C470922"/>
    <w:rsid w:val="4C4A0649"/>
    <w:rsid w:val="4C4D5C0C"/>
    <w:rsid w:val="4C7E5ECA"/>
    <w:rsid w:val="4C876AA5"/>
    <w:rsid w:val="4C9B3AB5"/>
    <w:rsid w:val="4CA42F11"/>
    <w:rsid w:val="4CD764C8"/>
    <w:rsid w:val="4CDB50CD"/>
    <w:rsid w:val="4CF17B79"/>
    <w:rsid w:val="4CF36BA4"/>
    <w:rsid w:val="4CF50515"/>
    <w:rsid w:val="4D072F96"/>
    <w:rsid w:val="4D0E00FB"/>
    <w:rsid w:val="4D1643B3"/>
    <w:rsid w:val="4D176606"/>
    <w:rsid w:val="4D202D59"/>
    <w:rsid w:val="4D2F50F8"/>
    <w:rsid w:val="4D5C348D"/>
    <w:rsid w:val="4D6B3D5A"/>
    <w:rsid w:val="4D804334"/>
    <w:rsid w:val="4D876997"/>
    <w:rsid w:val="4D887522"/>
    <w:rsid w:val="4D933ECE"/>
    <w:rsid w:val="4D9D0D8A"/>
    <w:rsid w:val="4DAC43EE"/>
    <w:rsid w:val="4DC212ED"/>
    <w:rsid w:val="4DD3633F"/>
    <w:rsid w:val="4DEC4FB0"/>
    <w:rsid w:val="4DFE24A0"/>
    <w:rsid w:val="4E075D8A"/>
    <w:rsid w:val="4E0A25FF"/>
    <w:rsid w:val="4E233626"/>
    <w:rsid w:val="4E2F0769"/>
    <w:rsid w:val="4E3A4529"/>
    <w:rsid w:val="4E4F162B"/>
    <w:rsid w:val="4E8515B8"/>
    <w:rsid w:val="4E857BE9"/>
    <w:rsid w:val="4E9E313F"/>
    <w:rsid w:val="4EBE58CB"/>
    <w:rsid w:val="4EC00FAD"/>
    <w:rsid w:val="4ECA755A"/>
    <w:rsid w:val="4ECD5294"/>
    <w:rsid w:val="4EEB2F49"/>
    <w:rsid w:val="4F035EDA"/>
    <w:rsid w:val="4F1550E3"/>
    <w:rsid w:val="4F234ED1"/>
    <w:rsid w:val="4F246C5E"/>
    <w:rsid w:val="4F2F414C"/>
    <w:rsid w:val="4F3168D5"/>
    <w:rsid w:val="4F69371B"/>
    <w:rsid w:val="4F8444A1"/>
    <w:rsid w:val="4F9843DC"/>
    <w:rsid w:val="4F990102"/>
    <w:rsid w:val="4FBD2445"/>
    <w:rsid w:val="4FC62A8C"/>
    <w:rsid w:val="4FE20F0D"/>
    <w:rsid w:val="4FE51552"/>
    <w:rsid w:val="4FF0355D"/>
    <w:rsid w:val="50175B49"/>
    <w:rsid w:val="50504C4B"/>
    <w:rsid w:val="50597F0F"/>
    <w:rsid w:val="505A4451"/>
    <w:rsid w:val="508B784F"/>
    <w:rsid w:val="509A2B2F"/>
    <w:rsid w:val="509C6E7C"/>
    <w:rsid w:val="50AF03E6"/>
    <w:rsid w:val="50B53461"/>
    <w:rsid w:val="50C32DBB"/>
    <w:rsid w:val="50DA42CA"/>
    <w:rsid w:val="50DD26F1"/>
    <w:rsid w:val="50E9301D"/>
    <w:rsid w:val="50FC276F"/>
    <w:rsid w:val="510267FB"/>
    <w:rsid w:val="51041A36"/>
    <w:rsid w:val="510E0E86"/>
    <w:rsid w:val="51142088"/>
    <w:rsid w:val="512F7EB8"/>
    <w:rsid w:val="51340C64"/>
    <w:rsid w:val="514349DF"/>
    <w:rsid w:val="5162104E"/>
    <w:rsid w:val="516C0EE5"/>
    <w:rsid w:val="516D71ED"/>
    <w:rsid w:val="51A0391C"/>
    <w:rsid w:val="51B67921"/>
    <w:rsid w:val="51CA4517"/>
    <w:rsid w:val="51E1186B"/>
    <w:rsid w:val="522007B8"/>
    <w:rsid w:val="524A65DD"/>
    <w:rsid w:val="525070F0"/>
    <w:rsid w:val="5268268C"/>
    <w:rsid w:val="52C33067"/>
    <w:rsid w:val="52C468F8"/>
    <w:rsid w:val="52E65FFF"/>
    <w:rsid w:val="52EA12F3"/>
    <w:rsid w:val="53216551"/>
    <w:rsid w:val="532D490C"/>
    <w:rsid w:val="53735171"/>
    <w:rsid w:val="537A2251"/>
    <w:rsid w:val="53835129"/>
    <w:rsid w:val="53A039CC"/>
    <w:rsid w:val="53A1505A"/>
    <w:rsid w:val="53A67DF6"/>
    <w:rsid w:val="53AB0651"/>
    <w:rsid w:val="54063E08"/>
    <w:rsid w:val="5408079A"/>
    <w:rsid w:val="541A4E5C"/>
    <w:rsid w:val="54295E4B"/>
    <w:rsid w:val="543437E8"/>
    <w:rsid w:val="543F373B"/>
    <w:rsid w:val="54685EE8"/>
    <w:rsid w:val="54864630"/>
    <w:rsid w:val="548F37CF"/>
    <w:rsid w:val="54924981"/>
    <w:rsid w:val="54CD4A28"/>
    <w:rsid w:val="54E54279"/>
    <w:rsid w:val="54F425F4"/>
    <w:rsid w:val="54F73313"/>
    <w:rsid w:val="54F80955"/>
    <w:rsid w:val="555170A7"/>
    <w:rsid w:val="55631EE3"/>
    <w:rsid w:val="557A430A"/>
    <w:rsid w:val="557D2DF5"/>
    <w:rsid w:val="55817760"/>
    <w:rsid w:val="5587536D"/>
    <w:rsid w:val="558C5AE7"/>
    <w:rsid w:val="558E0D85"/>
    <w:rsid w:val="559B174B"/>
    <w:rsid w:val="55A95AB1"/>
    <w:rsid w:val="55CE0CF4"/>
    <w:rsid w:val="55E338B9"/>
    <w:rsid w:val="56153C71"/>
    <w:rsid w:val="561B6F98"/>
    <w:rsid w:val="561E0D43"/>
    <w:rsid w:val="563C155A"/>
    <w:rsid w:val="563E1FD9"/>
    <w:rsid w:val="564F1F29"/>
    <w:rsid w:val="569C7A03"/>
    <w:rsid w:val="56A51FC7"/>
    <w:rsid w:val="56A54D03"/>
    <w:rsid w:val="56AA20FB"/>
    <w:rsid w:val="56B22A9C"/>
    <w:rsid w:val="56C4574F"/>
    <w:rsid w:val="56E33C6B"/>
    <w:rsid w:val="56EF0376"/>
    <w:rsid w:val="56EF4397"/>
    <w:rsid w:val="56EF6932"/>
    <w:rsid w:val="57211DAF"/>
    <w:rsid w:val="573A2B53"/>
    <w:rsid w:val="573C5226"/>
    <w:rsid w:val="57553BE2"/>
    <w:rsid w:val="575B27BF"/>
    <w:rsid w:val="575D6852"/>
    <w:rsid w:val="576B154F"/>
    <w:rsid w:val="57B414C9"/>
    <w:rsid w:val="57B72A76"/>
    <w:rsid w:val="57C3426C"/>
    <w:rsid w:val="57CE1F93"/>
    <w:rsid w:val="57EC1669"/>
    <w:rsid w:val="57FD2FF7"/>
    <w:rsid w:val="58075394"/>
    <w:rsid w:val="583419CF"/>
    <w:rsid w:val="583A39F9"/>
    <w:rsid w:val="583C352F"/>
    <w:rsid w:val="584367CA"/>
    <w:rsid w:val="58447C13"/>
    <w:rsid w:val="5846015B"/>
    <w:rsid w:val="585157E3"/>
    <w:rsid w:val="587E0155"/>
    <w:rsid w:val="58832BE9"/>
    <w:rsid w:val="58857055"/>
    <w:rsid w:val="588743D1"/>
    <w:rsid w:val="5887701A"/>
    <w:rsid w:val="58890792"/>
    <w:rsid w:val="588F0F96"/>
    <w:rsid w:val="58CC4041"/>
    <w:rsid w:val="58D64281"/>
    <w:rsid w:val="59033A75"/>
    <w:rsid w:val="592D2486"/>
    <w:rsid w:val="59425920"/>
    <w:rsid w:val="59474F12"/>
    <w:rsid w:val="596030BF"/>
    <w:rsid w:val="596811C3"/>
    <w:rsid w:val="598B598C"/>
    <w:rsid w:val="59C0439F"/>
    <w:rsid w:val="59C41817"/>
    <w:rsid w:val="59D0390D"/>
    <w:rsid w:val="59E63131"/>
    <w:rsid w:val="59EC70AA"/>
    <w:rsid w:val="59ED5C18"/>
    <w:rsid w:val="59F62B76"/>
    <w:rsid w:val="5A01530B"/>
    <w:rsid w:val="5A0B2C4A"/>
    <w:rsid w:val="5A623E64"/>
    <w:rsid w:val="5A6464E6"/>
    <w:rsid w:val="5A6E7E8C"/>
    <w:rsid w:val="5A7959D0"/>
    <w:rsid w:val="5A7B7EDB"/>
    <w:rsid w:val="5A932B26"/>
    <w:rsid w:val="5ABE2233"/>
    <w:rsid w:val="5AD130EA"/>
    <w:rsid w:val="5AF8735C"/>
    <w:rsid w:val="5AFE1A62"/>
    <w:rsid w:val="5B431B19"/>
    <w:rsid w:val="5B542D90"/>
    <w:rsid w:val="5B670D82"/>
    <w:rsid w:val="5B75441A"/>
    <w:rsid w:val="5B7B30BB"/>
    <w:rsid w:val="5B843E3C"/>
    <w:rsid w:val="5B864E83"/>
    <w:rsid w:val="5B90562F"/>
    <w:rsid w:val="5BD90B93"/>
    <w:rsid w:val="5BDF5D95"/>
    <w:rsid w:val="5BEE03A1"/>
    <w:rsid w:val="5BF13D64"/>
    <w:rsid w:val="5BFD6638"/>
    <w:rsid w:val="5BFE7528"/>
    <w:rsid w:val="5C363CDD"/>
    <w:rsid w:val="5C392759"/>
    <w:rsid w:val="5C533C55"/>
    <w:rsid w:val="5C564D8D"/>
    <w:rsid w:val="5C8C6049"/>
    <w:rsid w:val="5C966102"/>
    <w:rsid w:val="5C9746D3"/>
    <w:rsid w:val="5CA663FD"/>
    <w:rsid w:val="5CC934E6"/>
    <w:rsid w:val="5D0576AB"/>
    <w:rsid w:val="5D071AB8"/>
    <w:rsid w:val="5D156CCB"/>
    <w:rsid w:val="5D2900DD"/>
    <w:rsid w:val="5D350B78"/>
    <w:rsid w:val="5D367403"/>
    <w:rsid w:val="5D3F618A"/>
    <w:rsid w:val="5D7001DA"/>
    <w:rsid w:val="5D7768CC"/>
    <w:rsid w:val="5D847A44"/>
    <w:rsid w:val="5D920387"/>
    <w:rsid w:val="5D9E05A7"/>
    <w:rsid w:val="5DC6688C"/>
    <w:rsid w:val="5DDC40D6"/>
    <w:rsid w:val="5DEC6996"/>
    <w:rsid w:val="5E090A7C"/>
    <w:rsid w:val="5E0B1935"/>
    <w:rsid w:val="5E2467F1"/>
    <w:rsid w:val="5E434C52"/>
    <w:rsid w:val="5E442CA0"/>
    <w:rsid w:val="5E563BFF"/>
    <w:rsid w:val="5E7B72A3"/>
    <w:rsid w:val="5E7F7D1C"/>
    <w:rsid w:val="5E944527"/>
    <w:rsid w:val="5E9E26C8"/>
    <w:rsid w:val="5EA60CFE"/>
    <w:rsid w:val="5ED3232E"/>
    <w:rsid w:val="5EDD1A0D"/>
    <w:rsid w:val="5EE22D1E"/>
    <w:rsid w:val="5EEB53C1"/>
    <w:rsid w:val="5EF85D34"/>
    <w:rsid w:val="5EFD23AE"/>
    <w:rsid w:val="5F172392"/>
    <w:rsid w:val="5F1A2B43"/>
    <w:rsid w:val="5F577493"/>
    <w:rsid w:val="5F661200"/>
    <w:rsid w:val="5F7C05C5"/>
    <w:rsid w:val="5FA06F17"/>
    <w:rsid w:val="5FA94790"/>
    <w:rsid w:val="5FB837BB"/>
    <w:rsid w:val="5FC060AE"/>
    <w:rsid w:val="5FC67A7F"/>
    <w:rsid w:val="5FD35112"/>
    <w:rsid w:val="601E0F1E"/>
    <w:rsid w:val="60293C95"/>
    <w:rsid w:val="602F1E07"/>
    <w:rsid w:val="603116A7"/>
    <w:rsid w:val="60343388"/>
    <w:rsid w:val="603766C1"/>
    <w:rsid w:val="603A0C28"/>
    <w:rsid w:val="604B2775"/>
    <w:rsid w:val="604F3CE0"/>
    <w:rsid w:val="608645FD"/>
    <w:rsid w:val="608E1541"/>
    <w:rsid w:val="60BA22EA"/>
    <w:rsid w:val="60CC405A"/>
    <w:rsid w:val="60E80E3E"/>
    <w:rsid w:val="60F859FA"/>
    <w:rsid w:val="612155FE"/>
    <w:rsid w:val="6124721E"/>
    <w:rsid w:val="6128205D"/>
    <w:rsid w:val="612D1708"/>
    <w:rsid w:val="615B2D1D"/>
    <w:rsid w:val="6174564F"/>
    <w:rsid w:val="61776447"/>
    <w:rsid w:val="618407E7"/>
    <w:rsid w:val="61B009E9"/>
    <w:rsid w:val="61B73BDF"/>
    <w:rsid w:val="61B85EB8"/>
    <w:rsid w:val="61BB4F80"/>
    <w:rsid w:val="61E215D8"/>
    <w:rsid w:val="61FD104C"/>
    <w:rsid w:val="62187BC7"/>
    <w:rsid w:val="621B3775"/>
    <w:rsid w:val="62364782"/>
    <w:rsid w:val="62592339"/>
    <w:rsid w:val="626F7C94"/>
    <w:rsid w:val="628E2EF5"/>
    <w:rsid w:val="62936ADB"/>
    <w:rsid w:val="62A46138"/>
    <w:rsid w:val="62D34C09"/>
    <w:rsid w:val="62F3644F"/>
    <w:rsid w:val="63433E8C"/>
    <w:rsid w:val="634C32FF"/>
    <w:rsid w:val="635667D9"/>
    <w:rsid w:val="63703AA7"/>
    <w:rsid w:val="6394356A"/>
    <w:rsid w:val="63AE7638"/>
    <w:rsid w:val="63BA4040"/>
    <w:rsid w:val="63C61B2C"/>
    <w:rsid w:val="63D40BE9"/>
    <w:rsid w:val="63DE25DA"/>
    <w:rsid w:val="63E4526F"/>
    <w:rsid w:val="64102431"/>
    <w:rsid w:val="641920C5"/>
    <w:rsid w:val="641E0988"/>
    <w:rsid w:val="641F4B74"/>
    <w:rsid w:val="64211EE5"/>
    <w:rsid w:val="64216B3E"/>
    <w:rsid w:val="64557AE9"/>
    <w:rsid w:val="646A0092"/>
    <w:rsid w:val="64831AF0"/>
    <w:rsid w:val="64A5243A"/>
    <w:rsid w:val="64B83D30"/>
    <w:rsid w:val="64BE204E"/>
    <w:rsid w:val="64E20C5E"/>
    <w:rsid w:val="64E536C8"/>
    <w:rsid w:val="64EB536B"/>
    <w:rsid w:val="64ED37AB"/>
    <w:rsid w:val="64F531DE"/>
    <w:rsid w:val="65034475"/>
    <w:rsid w:val="650A66C8"/>
    <w:rsid w:val="651C083D"/>
    <w:rsid w:val="65222BDE"/>
    <w:rsid w:val="65373578"/>
    <w:rsid w:val="653C2980"/>
    <w:rsid w:val="65435DE9"/>
    <w:rsid w:val="65483C13"/>
    <w:rsid w:val="65491AB6"/>
    <w:rsid w:val="654C013B"/>
    <w:rsid w:val="655A4097"/>
    <w:rsid w:val="655A4B55"/>
    <w:rsid w:val="65666BCE"/>
    <w:rsid w:val="65812D67"/>
    <w:rsid w:val="658E60A3"/>
    <w:rsid w:val="65AB02D0"/>
    <w:rsid w:val="65B36DEF"/>
    <w:rsid w:val="65D14E30"/>
    <w:rsid w:val="65EF62E3"/>
    <w:rsid w:val="65F02B9F"/>
    <w:rsid w:val="65F3525F"/>
    <w:rsid w:val="660D7CC5"/>
    <w:rsid w:val="6614005E"/>
    <w:rsid w:val="66557471"/>
    <w:rsid w:val="666B5A11"/>
    <w:rsid w:val="66876188"/>
    <w:rsid w:val="66BD399D"/>
    <w:rsid w:val="66BE2423"/>
    <w:rsid w:val="66C01ABB"/>
    <w:rsid w:val="66D006EF"/>
    <w:rsid w:val="66D24930"/>
    <w:rsid w:val="66E77372"/>
    <w:rsid w:val="66EF68AF"/>
    <w:rsid w:val="66FC710B"/>
    <w:rsid w:val="67006EDF"/>
    <w:rsid w:val="67057D46"/>
    <w:rsid w:val="671F124A"/>
    <w:rsid w:val="677A33C6"/>
    <w:rsid w:val="67827E91"/>
    <w:rsid w:val="67843FA6"/>
    <w:rsid w:val="67861860"/>
    <w:rsid w:val="678F3674"/>
    <w:rsid w:val="67932B6E"/>
    <w:rsid w:val="67A87D12"/>
    <w:rsid w:val="67AE636D"/>
    <w:rsid w:val="67B07183"/>
    <w:rsid w:val="67C06E3C"/>
    <w:rsid w:val="68017DE0"/>
    <w:rsid w:val="6806201B"/>
    <w:rsid w:val="681E14B0"/>
    <w:rsid w:val="681F1AE0"/>
    <w:rsid w:val="681F6961"/>
    <w:rsid w:val="68380A78"/>
    <w:rsid w:val="68517ED9"/>
    <w:rsid w:val="68610A2F"/>
    <w:rsid w:val="68632057"/>
    <w:rsid w:val="68805514"/>
    <w:rsid w:val="68916427"/>
    <w:rsid w:val="68C42907"/>
    <w:rsid w:val="68D238E3"/>
    <w:rsid w:val="68D82888"/>
    <w:rsid w:val="68E629DE"/>
    <w:rsid w:val="69025F20"/>
    <w:rsid w:val="6907225D"/>
    <w:rsid w:val="69087969"/>
    <w:rsid w:val="69316E2F"/>
    <w:rsid w:val="694E2071"/>
    <w:rsid w:val="6969358B"/>
    <w:rsid w:val="696D0967"/>
    <w:rsid w:val="69761FDD"/>
    <w:rsid w:val="69766163"/>
    <w:rsid w:val="697A3B33"/>
    <w:rsid w:val="69D44760"/>
    <w:rsid w:val="69D743CA"/>
    <w:rsid w:val="69DC5E5C"/>
    <w:rsid w:val="69DE6E8D"/>
    <w:rsid w:val="69E23ECC"/>
    <w:rsid w:val="69FF7BB4"/>
    <w:rsid w:val="6A520EC7"/>
    <w:rsid w:val="6A7E546E"/>
    <w:rsid w:val="6A7F5888"/>
    <w:rsid w:val="6AC025F2"/>
    <w:rsid w:val="6AD73E29"/>
    <w:rsid w:val="6AD912D7"/>
    <w:rsid w:val="6AE90A61"/>
    <w:rsid w:val="6AF75F04"/>
    <w:rsid w:val="6AF87E20"/>
    <w:rsid w:val="6B0661AA"/>
    <w:rsid w:val="6B322639"/>
    <w:rsid w:val="6B424CD1"/>
    <w:rsid w:val="6B433D86"/>
    <w:rsid w:val="6B4D4826"/>
    <w:rsid w:val="6B5270A4"/>
    <w:rsid w:val="6B5A1965"/>
    <w:rsid w:val="6B6A4067"/>
    <w:rsid w:val="6B95202E"/>
    <w:rsid w:val="6BB44515"/>
    <w:rsid w:val="6BBA58AE"/>
    <w:rsid w:val="6BE24647"/>
    <w:rsid w:val="6BE26BB3"/>
    <w:rsid w:val="6C0E202B"/>
    <w:rsid w:val="6C16656A"/>
    <w:rsid w:val="6C352571"/>
    <w:rsid w:val="6C636C38"/>
    <w:rsid w:val="6C677CCE"/>
    <w:rsid w:val="6C7655BB"/>
    <w:rsid w:val="6C913668"/>
    <w:rsid w:val="6C974DC6"/>
    <w:rsid w:val="6CA6757D"/>
    <w:rsid w:val="6CC51CA4"/>
    <w:rsid w:val="6CC9172C"/>
    <w:rsid w:val="6CCC7477"/>
    <w:rsid w:val="6CE67E96"/>
    <w:rsid w:val="6D1A57E7"/>
    <w:rsid w:val="6D1D4107"/>
    <w:rsid w:val="6D227C98"/>
    <w:rsid w:val="6D410BCE"/>
    <w:rsid w:val="6D536D97"/>
    <w:rsid w:val="6D6D4BA2"/>
    <w:rsid w:val="6D8A34D6"/>
    <w:rsid w:val="6D965EA7"/>
    <w:rsid w:val="6D9D55E5"/>
    <w:rsid w:val="6DA75BAB"/>
    <w:rsid w:val="6DA81E02"/>
    <w:rsid w:val="6DAE66ED"/>
    <w:rsid w:val="6DB34098"/>
    <w:rsid w:val="6DB545B6"/>
    <w:rsid w:val="6DC50917"/>
    <w:rsid w:val="6DC67C18"/>
    <w:rsid w:val="6DDE33AA"/>
    <w:rsid w:val="6DE02FB4"/>
    <w:rsid w:val="6DE36C13"/>
    <w:rsid w:val="6DE62D33"/>
    <w:rsid w:val="6DE63109"/>
    <w:rsid w:val="6DFE6541"/>
    <w:rsid w:val="6E1C7225"/>
    <w:rsid w:val="6E3D4575"/>
    <w:rsid w:val="6E514CED"/>
    <w:rsid w:val="6E5378F4"/>
    <w:rsid w:val="6E675F15"/>
    <w:rsid w:val="6E7064BC"/>
    <w:rsid w:val="6E7A1D2F"/>
    <w:rsid w:val="6E7D0E15"/>
    <w:rsid w:val="6EA3381F"/>
    <w:rsid w:val="6EB563D5"/>
    <w:rsid w:val="6ED92677"/>
    <w:rsid w:val="6EDB17D1"/>
    <w:rsid w:val="6EDD144A"/>
    <w:rsid w:val="6EEE586F"/>
    <w:rsid w:val="6F225983"/>
    <w:rsid w:val="6F340F35"/>
    <w:rsid w:val="6F732867"/>
    <w:rsid w:val="6F972ACD"/>
    <w:rsid w:val="6FD165D7"/>
    <w:rsid w:val="6FFC5590"/>
    <w:rsid w:val="70541BB6"/>
    <w:rsid w:val="705E1831"/>
    <w:rsid w:val="706D1DD0"/>
    <w:rsid w:val="70826FC5"/>
    <w:rsid w:val="70856B87"/>
    <w:rsid w:val="70A67B23"/>
    <w:rsid w:val="70A807C6"/>
    <w:rsid w:val="70CB6B0C"/>
    <w:rsid w:val="70CC61BE"/>
    <w:rsid w:val="70D527EE"/>
    <w:rsid w:val="70F72A21"/>
    <w:rsid w:val="71137758"/>
    <w:rsid w:val="7113780F"/>
    <w:rsid w:val="71231CD1"/>
    <w:rsid w:val="71504AF6"/>
    <w:rsid w:val="71580581"/>
    <w:rsid w:val="715B5300"/>
    <w:rsid w:val="717224A8"/>
    <w:rsid w:val="718F788D"/>
    <w:rsid w:val="7197625B"/>
    <w:rsid w:val="71AD4774"/>
    <w:rsid w:val="71B72595"/>
    <w:rsid w:val="71BA6E32"/>
    <w:rsid w:val="71CC3085"/>
    <w:rsid w:val="71D27F8A"/>
    <w:rsid w:val="722F16E0"/>
    <w:rsid w:val="7233357B"/>
    <w:rsid w:val="72553024"/>
    <w:rsid w:val="72564A11"/>
    <w:rsid w:val="727A4A28"/>
    <w:rsid w:val="72B926C4"/>
    <w:rsid w:val="72C102BC"/>
    <w:rsid w:val="72C258EA"/>
    <w:rsid w:val="72D76045"/>
    <w:rsid w:val="72DF436B"/>
    <w:rsid w:val="73122968"/>
    <w:rsid w:val="731F5D5E"/>
    <w:rsid w:val="73465C7A"/>
    <w:rsid w:val="73540C2C"/>
    <w:rsid w:val="737B02B7"/>
    <w:rsid w:val="7384761B"/>
    <w:rsid w:val="738934CF"/>
    <w:rsid w:val="73893DB8"/>
    <w:rsid w:val="73A95D94"/>
    <w:rsid w:val="73C51AD5"/>
    <w:rsid w:val="73D31D65"/>
    <w:rsid w:val="73EA5388"/>
    <w:rsid w:val="73EC0CB5"/>
    <w:rsid w:val="73EF4D9E"/>
    <w:rsid w:val="73FE455D"/>
    <w:rsid w:val="74050A99"/>
    <w:rsid w:val="74056110"/>
    <w:rsid w:val="741E793C"/>
    <w:rsid w:val="743722C7"/>
    <w:rsid w:val="743F6C3D"/>
    <w:rsid w:val="744E0792"/>
    <w:rsid w:val="74512859"/>
    <w:rsid w:val="74565626"/>
    <w:rsid w:val="7456738C"/>
    <w:rsid w:val="745C3B85"/>
    <w:rsid w:val="745E3944"/>
    <w:rsid w:val="747B6DC4"/>
    <w:rsid w:val="749F21A4"/>
    <w:rsid w:val="74B07C2D"/>
    <w:rsid w:val="74C66EA0"/>
    <w:rsid w:val="74D55507"/>
    <w:rsid w:val="74E21FFB"/>
    <w:rsid w:val="75261540"/>
    <w:rsid w:val="753E7047"/>
    <w:rsid w:val="754E27EF"/>
    <w:rsid w:val="7552783C"/>
    <w:rsid w:val="756652F1"/>
    <w:rsid w:val="757B02C5"/>
    <w:rsid w:val="757C5983"/>
    <w:rsid w:val="75855A79"/>
    <w:rsid w:val="75944076"/>
    <w:rsid w:val="75AD3111"/>
    <w:rsid w:val="75C15A8B"/>
    <w:rsid w:val="75C64A95"/>
    <w:rsid w:val="75DC126D"/>
    <w:rsid w:val="75DF3C62"/>
    <w:rsid w:val="76094526"/>
    <w:rsid w:val="7612475B"/>
    <w:rsid w:val="761F259E"/>
    <w:rsid w:val="7635099D"/>
    <w:rsid w:val="76364AE6"/>
    <w:rsid w:val="7644698B"/>
    <w:rsid w:val="76451D18"/>
    <w:rsid w:val="765B4A61"/>
    <w:rsid w:val="766372D6"/>
    <w:rsid w:val="76C132DA"/>
    <w:rsid w:val="76CD21FF"/>
    <w:rsid w:val="76D75987"/>
    <w:rsid w:val="76D8478C"/>
    <w:rsid w:val="76E052D5"/>
    <w:rsid w:val="77106CCA"/>
    <w:rsid w:val="771D3195"/>
    <w:rsid w:val="772113EC"/>
    <w:rsid w:val="772B3258"/>
    <w:rsid w:val="77366751"/>
    <w:rsid w:val="773B62E9"/>
    <w:rsid w:val="77762421"/>
    <w:rsid w:val="777E6441"/>
    <w:rsid w:val="77B56B1F"/>
    <w:rsid w:val="77C61210"/>
    <w:rsid w:val="77CF7DC0"/>
    <w:rsid w:val="77E24114"/>
    <w:rsid w:val="78084406"/>
    <w:rsid w:val="780F09F4"/>
    <w:rsid w:val="781778BB"/>
    <w:rsid w:val="7820387C"/>
    <w:rsid w:val="782C23C9"/>
    <w:rsid w:val="782C4019"/>
    <w:rsid w:val="782D11B6"/>
    <w:rsid w:val="78394278"/>
    <w:rsid w:val="78690258"/>
    <w:rsid w:val="78A04C36"/>
    <w:rsid w:val="78A0547C"/>
    <w:rsid w:val="78A90480"/>
    <w:rsid w:val="78B91F01"/>
    <w:rsid w:val="78BB7E05"/>
    <w:rsid w:val="78DF4BA6"/>
    <w:rsid w:val="78E84CE4"/>
    <w:rsid w:val="78F81D84"/>
    <w:rsid w:val="78F910FB"/>
    <w:rsid w:val="791D239E"/>
    <w:rsid w:val="79354D05"/>
    <w:rsid w:val="793E3CC3"/>
    <w:rsid w:val="795F1FF1"/>
    <w:rsid w:val="798929BE"/>
    <w:rsid w:val="798B1137"/>
    <w:rsid w:val="799C05F9"/>
    <w:rsid w:val="79B15C6C"/>
    <w:rsid w:val="79CA7A8D"/>
    <w:rsid w:val="79D23554"/>
    <w:rsid w:val="79DC5BD6"/>
    <w:rsid w:val="79E748F2"/>
    <w:rsid w:val="79EE7CD5"/>
    <w:rsid w:val="79F113D1"/>
    <w:rsid w:val="7A12013C"/>
    <w:rsid w:val="7A193B1E"/>
    <w:rsid w:val="7A206D05"/>
    <w:rsid w:val="7A364017"/>
    <w:rsid w:val="7A4E0214"/>
    <w:rsid w:val="7A805488"/>
    <w:rsid w:val="7A8265E1"/>
    <w:rsid w:val="7A8F04A7"/>
    <w:rsid w:val="7AC1798C"/>
    <w:rsid w:val="7AC21015"/>
    <w:rsid w:val="7AD05873"/>
    <w:rsid w:val="7ADC3B7E"/>
    <w:rsid w:val="7AF41F17"/>
    <w:rsid w:val="7AFF4F3D"/>
    <w:rsid w:val="7B004ADD"/>
    <w:rsid w:val="7B1251BC"/>
    <w:rsid w:val="7B173ADE"/>
    <w:rsid w:val="7B686D42"/>
    <w:rsid w:val="7B6C1C0D"/>
    <w:rsid w:val="7B841746"/>
    <w:rsid w:val="7B860A2C"/>
    <w:rsid w:val="7B8A691F"/>
    <w:rsid w:val="7B952855"/>
    <w:rsid w:val="7B993C05"/>
    <w:rsid w:val="7BAC1A48"/>
    <w:rsid w:val="7BAC4AFF"/>
    <w:rsid w:val="7BDD78B2"/>
    <w:rsid w:val="7BE47FDE"/>
    <w:rsid w:val="7BF42B6F"/>
    <w:rsid w:val="7BFB3340"/>
    <w:rsid w:val="7C08134D"/>
    <w:rsid w:val="7C1459B3"/>
    <w:rsid w:val="7C64519A"/>
    <w:rsid w:val="7C6454AE"/>
    <w:rsid w:val="7C6C5AC7"/>
    <w:rsid w:val="7C7C095E"/>
    <w:rsid w:val="7C91470E"/>
    <w:rsid w:val="7CC6544B"/>
    <w:rsid w:val="7D0239FF"/>
    <w:rsid w:val="7D3B0CA8"/>
    <w:rsid w:val="7D473441"/>
    <w:rsid w:val="7D53622B"/>
    <w:rsid w:val="7D5E40CD"/>
    <w:rsid w:val="7D6951E5"/>
    <w:rsid w:val="7D7409B1"/>
    <w:rsid w:val="7D75175A"/>
    <w:rsid w:val="7D7D1662"/>
    <w:rsid w:val="7D8064AC"/>
    <w:rsid w:val="7DA077EC"/>
    <w:rsid w:val="7DA37098"/>
    <w:rsid w:val="7DB36D5C"/>
    <w:rsid w:val="7DB57F5F"/>
    <w:rsid w:val="7DCD56F2"/>
    <w:rsid w:val="7DE84943"/>
    <w:rsid w:val="7E03352B"/>
    <w:rsid w:val="7E157327"/>
    <w:rsid w:val="7E1A5462"/>
    <w:rsid w:val="7E240588"/>
    <w:rsid w:val="7E3243AD"/>
    <w:rsid w:val="7E37222F"/>
    <w:rsid w:val="7E3C517E"/>
    <w:rsid w:val="7E517702"/>
    <w:rsid w:val="7E591B17"/>
    <w:rsid w:val="7E751B09"/>
    <w:rsid w:val="7E9A5A22"/>
    <w:rsid w:val="7EA85E94"/>
    <w:rsid w:val="7EA96C28"/>
    <w:rsid w:val="7EB42003"/>
    <w:rsid w:val="7EC116E2"/>
    <w:rsid w:val="7ECA4E00"/>
    <w:rsid w:val="7EFE6266"/>
    <w:rsid w:val="7F001CE7"/>
    <w:rsid w:val="7F14491D"/>
    <w:rsid w:val="7F6B05E2"/>
    <w:rsid w:val="7F6B3D69"/>
    <w:rsid w:val="7FDF2FEA"/>
    <w:rsid w:val="7FE47E50"/>
    <w:rsid w:val="7FE63405"/>
    <w:rsid w:val="7FEF5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qFormat="1"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08"/>
    <w:qFormat/>
    <w:locked/>
    <w:uiPriority w:val="0"/>
    <w:pPr>
      <w:keepNext/>
      <w:keepLines/>
      <w:spacing w:line="360" w:lineRule="auto"/>
      <w:ind w:firstLine="0" w:firstLineChars="0"/>
      <w:outlineLvl w:val="1"/>
    </w:pPr>
    <w:rPr>
      <w:b/>
      <w:bCs/>
      <w:szCs w:val="32"/>
    </w:rPr>
  </w:style>
  <w:style w:type="paragraph" w:styleId="5">
    <w:name w:val="heading 3"/>
    <w:basedOn w:val="1"/>
    <w:next w:val="1"/>
    <w:link w:val="39"/>
    <w:qFormat/>
    <w:locked/>
    <w:uiPriority w:val="0"/>
    <w:pPr>
      <w:keepLines/>
      <w:adjustRightInd w:val="0"/>
      <w:spacing w:before="120" w:after="120" w:line="416" w:lineRule="atLeast"/>
      <w:textAlignment w:val="baseline"/>
      <w:outlineLvl w:val="2"/>
    </w:pPr>
    <w:rPr>
      <w:b/>
      <w:kern w:val="0"/>
      <w:sz w:val="24"/>
      <w:szCs w:val="20"/>
    </w:rPr>
  </w:style>
  <w:style w:type="paragraph" w:styleId="6">
    <w:name w:val="heading 4"/>
    <w:basedOn w:val="1"/>
    <w:next w:val="1"/>
    <w:unhideWhenUsed/>
    <w:qFormat/>
    <w:locked/>
    <w:uiPriority w:val="0"/>
    <w:pPr>
      <w:spacing w:line="240" w:lineRule="auto"/>
      <w:outlineLvl w:val="3"/>
    </w:pPr>
    <w:rPr>
      <w:rFonts w:ascii="Times New Roman" w:hAnsi="Times New Roman" w:eastAsia="宋体"/>
      <w:b/>
      <w:bCs/>
      <w:sz w:val="21"/>
      <w:szCs w:val="28"/>
    </w:rPr>
  </w:style>
  <w:style w:type="paragraph" w:styleId="7">
    <w:name w:val="heading 5"/>
    <w:basedOn w:val="1"/>
    <w:next w:val="1"/>
    <w:unhideWhenUsed/>
    <w:qFormat/>
    <w:locked/>
    <w:uiPriority w:val="0"/>
    <w:pPr>
      <w:keepNext/>
      <w:keepLines/>
      <w:spacing w:beforeLines="0" w:beforeAutospacing="0" w:afterLines="0" w:afterAutospacing="0" w:line="360" w:lineRule="auto"/>
      <w:ind w:firstLine="0" w:firstLineChars="0"/>
      <w:outlineLvl w:val="4"/>
    </w:pPr>
    <w:rPr>
      <w:rFonts w:ascii="Times New Roman" w:hAnsi="Times New Roman"/>
      <w:b/>
      <w:sz w:val="24"/>
    </w:rPr>
  </w:style>
  <w:style w:type="character" w:default="1" w:styleId="32">
    <w:name w:val="Default Paragraph Font"/>
    <w:semiHidden/>
    <w:unhideWhenUsed/>
    <w:qFormat/>
    <w:uiPriority w:val="1"/>
  </w:style>
  <w:style w:type="table" w:default="1" w:styleId="3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able of figures"/>
    <w:basedOn w:val="1"/>
    <w:next w:val="1"/>
    <w:unhideWhenUsed/>
    <w:qFormat/>
    <w:locked/>
    <w:uiPriority w:val="99"/>
    <w:pPr>
      <w:jc w:val="center"/>
    </w:pPr>
    <w:rPr>
      <w:sz w:val="24"/>
    </w:rPr>
  </w:style>
  <w:style w:type="paragraph" w:styleId="8">
    <w:name w:val="Normal Indent"/>
    <w:basedOn w:val="1"/>
    <w:next w:val="1"/>
    <w:qFormat/>
    <w:locked/>
    <w:uiPriority w:val="0"/>
    <w:pPr>
      <w:spacing w:line="240" w:lineRule="auto"/>
      <w:ind w:firstLine="0" w:firstLineChars="0"/>
      <w:jc w:val="center"/>
    </w:pPr>
    <w:rPr>
      <w:rFonts w:ascii="Times New Roman" w:hAnsi="Times New Roman"/>
      <w:sz w:val="21"/>
    </w:rPr>
  </w:style>
  <w:style w:type="paragraph" w:styleId="9">
    <w:name w:val="caption"/>
    <w:basedOn w:val="1"/>
    <w:next w:val="1"/>
    <w:unhideWhenUsed/>
    <w:qFormat/>
    <w:locked/>
    <w:uiPriority w:val="0"/>
    <w:pPr>
      <w:keepNext/>
      <w:adjustRightInd w:val="0"/>
      <w:spacing w:line="240" w:lineRule="auto"/>
      <w:ind w:firstLine="720" w:firstLineChars="200"/>
      <w:jc w:val="left"/>
    </w:pPr>
    <w:rPr>
      <w:rFonts w:ascii="Times New Roman" w:hAnsi="Times New Roman" w:eastAsia="宋体"/>
      <w:b/>
      <w:kern w:val="21"/>
      <w:sz w:val="21"/>
      <w:szCs w:val="20"/>
    </w:rPr>
  </w:style>
  <w:style w:type="paragraph" w:styleId="10">
    <w:name w:val="annotation text"/>
    <w:basedOn w:val="1"/>
    <w:link w:val="45"/>
    <w:qFormat/>
    <w:uiPriority w:val="0"/>
    <w:pPr>
      <w:jc w:val="left"/>
    </w:pPr>
    <w:rPr>
      <w:kern w:val="0"/>
      <w:sz w:val="24"/>
      <w:szCs w:val="20"/>
    </w:rPr>
  </w:style>
  <w:style w:type="paragraph" w:styleId="11">
    <w:name w:val="Body Text 3"/>
    <w:basedOn w:val="1"/>
    <w:qFormat/>
    <w:locked/>
    <w:uiPriority w:val="0"/>
    <w:pPr>
      <w:spacing w:line="360" w:lineRule="auto"/>
      <w:ind w:firstLine="0" w:firstLineChars="0"/>
      <w:jc w:val="center"/>
    </w:pPr>
    <w:rPr>
      <w:rFonts w:ascii="宋体" w:hAnsi="宋体"/>
      <w:b/>
      <w:sz w:val="28"/>
    </w:rPr>
  </w:style>
  <w:style w:type="paragraph" w:styleId="12">
    <w:name w:val="Body Text"/>
    <w:basedOn w:val="1"/>
    <w:next w:val="1"/>
    <w:link w:val="44"/>
    <w:qFormat/>
    <w:uiPriority w:val="0"/>
    <w:pPr>
      <w:widowControl/>
      <w:adjustRightInd w:val="0"/>
      <w:snapToGrid w:val="0"/>
      <w:spacing w:line="240" w:lineRule="auto"/>
      <w:ind w:right="0" w:firstLine="0" w:firstLineChars="0"/>
      <w:jc w:val="center"/>
    </w:pPr>
    <w:rPr>
      <w:kern w:val="0"/>
      <w:szCs w:val="20"/>
    </w:rPr>
  </w:style>
  <w:style w:type="paragraph" w:styleId="13">
    <w:name w:val="Body Text Indent"/>
    <w:basedOn w:val="1"/>
    <w:next w:val="6"/>
    <w:link w:val="63"/>
    <w:qFormat/>
    <w:uiPriority w:val="0"/>
    <w:pPr>
      <w:spacing w:after="120"/>
      <w:ind w:left="420" w:leftChars="200"/>
    </w:pPr>
    <w:rPr>
      <w:kern w:val="0"/>
      <w:sz w:val="24"/>
      <w:szCs w:val="20"/>
    </w:rPr>
  </w:style>
  <w:style w:type="paragraph" w:styleId="14">
    <w:name w:val="Block Text"/>
    <w:basedOn w:val="1"/>
    <w:qFormat/>
    <w:locked/>
    <w:uiPriority w:val="0"/>
    <w:pPr>
      <w:spacing w:after="120"/>
      <w:ind w:left="1440" w:leftChars="700" w:right="700" w:rightChars="700"/>
    </w:pPr>
  </w:style>
  <w:style w:type="paragraph" w:styleId="15">
    <w:name w:val="Plain Text"/>
    <w:basedOn w:val="1"/>
    <w:next w:val="11"/>
    <w:qFormat/>
    <w:locked/>
    <w:uiPriority w:val="0"/>
    <w:pPr>
      <w:ind w:firstLine="200" w:firstLineChars="200"/>
    </w:pPr>
    <w:rPr>
      <w:rFonts w:ascii="宋体"/>
      <w:bCs/>
      <w:color w:val="000000"/>
      <w:sz w:val="28"/>
      <w:szCs w:val="28"/>
    </w:rPr>
  </w:style>
  <w:style w:type="paragraph" w:styleId="16">
    <w:name w:val="List Bullet 5"/>
    <w:basedOn w:val="1"/>
    <w:qFormat/>
    <w:locked/>
    <w:uiPriority w:val="0"/>
    <w:pPr>
      <w:numPr>
        <w:ilvl w:val="0"/>
        <w:numId w:val="1"/>
      </w:numPr>
    </w:pPr>
  </w:style>
  <w:style w:type="paragraph" w:styleId="17">
    <w:name w:val="Date"/>
    <w:basedOn w:val="1"/>
    <w:next w:val="1"/>
    <w:link w:val="69"/>
    <w:qFormat/>
    <w:uiPriority w:val="0"/>
    <w:pPr>
      <w:ind w:left="100" w:leftChars="2500"/>
    </w:pPr>
    <w:rPr>
      <w:kern w:val="0"/>
      <w:sz w:val="24"/>
      <w:szCs w:val="20"/>
    </w:rPr>
  </w:style>
  <w:style w:type="paragraph" w:styleId="18">
    <w:name w:val="Body Text Indent 2"/>
    <w:basedOn w:val="1"/>
    <w:qFormat/>
    <w:locked/>
    <w:uiPriority w:val="0"/>
    <w:pPr>
      <w:spacing w:line="360" w:lineRule="auto"/>
      <w:ind w:firstLine="573"/>
    </w:pPr>
    <w:rPr>
      <w:sz w:val="28"/>
    </w:rPr>
  </w:style>
  <w:style w:type="paragraph" w:styleId="19">
    <w:name w:val="Balloon Text"/>
    <w:basedOn w:val="1"/>
    <w:link w:val="70"/>
    <w:qFormat/>
    <w:uiPriority w:val="0"/>
    <w:rPr>
      <w:kern w:val="0"/>
      <w:sz w:val="18"/>
      <w:szCs w:val="20"/>
    </w:rPr>
  </w:style>
  <w:style w:type="paragraph" w:styleId="20">
    <w:name w:val="footer"/>
    <w:basedOn w:val="1"/>
    <w:link w:val="71"/>
    <w:qFormat/>
    <w:uiPriority w:val="99"/>
    <w:pPr>
      <w:tabs>
        <w:tab w:val="center" w:pos="4153"/>
        <w:tab w:val="right" w:pos="8306"/>
      </w:tabs>
      <w:snapToGrid w:val="0"/>
      <w:jc w:val="left"/>
    </w:pPr>
    <w:rPr>
      <w:kern w:val="0"/>
      <w:sz w:val="18"/>
      <w:szCs w:val="20"/>
    </w:rPr>
  </w:style>
  <w:style w:type="paragraph" w:styleId="21">
    <w:name w:val="header"/>
    <w:basedOn w:val="1"/>
    <w:link w:val="72"/>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Continue 4"/>
    <w:basedOn w:val="1"/>
    <w:next w:val="1"/>
    <w:qFormat/>
    <w:locked/>
    <w:uiPriority w:val="0"/>
    <w:pPr>
      <w:widowControl w:val="0"/>
      <w:autoSpaceDE/>
      <w:autoSpaceDN/>
      <w:spacing w:before="0" w:after="120" w:line="360" w:lineRule="auto"/>
      <w:ind w:left="1680" w:firstLine="480"/>
      <w:jc w:val="both"/>
    </w:pPr>
    <w:rPr>
      <w:rFonts w:ascii="宋体" w:eastAsia="宋体"/>
      <w:sz w:val="24"/>
    </w:rPr>
  </w:style>
  <w:style w:type="paragraph" w:styleId="23">
    <w:name w:val="List"/>
    <w:basedOn w:val="1"/>
    <w:next w:val="1"/>
    <w:semiHidden/>
    <w:unhideWhenUsed/>
    <w:qFormat/>
    <w:locked/>
    <w:uiPriority w:val="99"/>
    <w:pPr>
      <w:ind w:left="200" w:hanging="200" w:hangingChars="200"/>
      <w:contextualSpacing/>
    </w:pPr>
  </w:style>
  <w:style w:type="paragraph" w:styleId="24">
    <w:name w:val="Body Text 2"/>
    <w:basedOn w:val="1"/>
    <w:unhideWhenUsed/>
    <w:qFormat/>
    <w:locked/>
    <w:uiPriority w:val="99"/>
    <w:pPr>
      <w:spacing w:after="120" w:line="480" w:lineRule="auto"/>
    </w:pPr>
  </w:style>
  <w:style w:type="paragraph" w:styleId="25">
    <w:name w:val="Normal (Web)"/>
    <w:basedOn w:val="1"/>
    <w:link w:val="64"/>
    <w:qFormat/>
    <w:uiPriority w:val="0"/>
    <w:pPr>
      <w:widowControl/>
      <w:spacing w:beforeAutospacing="1" w:afterAutospacing="1"/>
      <w:jc w:val="left"/>
    </w:pPr>
    <w:rPr>
      <w:rFonts w:ascii="宋体" w:hAnsi="宋体"/>
      <w:kern w:val="0"/>
      <w:szCs w:val="20"/>
    </w:rPr>
  </w:style>
  <w:style w:type="paragraph" w:styleId="26">
    <w:name w:val="Title"/>
    <w:basedOn w:val="1"/>
    <w:next w:val="1"/>
    <w:qFormat/>
    <w:locked/>
    <w:uiPriority w:val="0"/>
    <w:pPr>
      <w:spacing w:before="240" w:after="60"/>
      <w:jc w:val="center"/>
      <w:outlineLvl w:val="0"/>
    </w:pPr>
    <w:rPr>
      <w:rFonts w:ascii="Cambria" w:hAnsi="Cambria"/>
      <w:b/>
      <w:bCs/>
      <w:sz w:val="32"/>
      <w:szCs w:val="32"/>
    </w:rPr>
  </w:style>
  <w:style w:type="paragraph" w:styleId="27">
    <w:name w:val="annotation subject"/>
    <w:basedOn w:val="10"/>
    <w:next w:val="10"/>
    <w:link w:val="73"/>
    <w:semiHidden/>
    <w:qFormat/>
    <w:uiPriority w:val="0"/>
    <w:rPr>
      <w:b/>
    </w:rPr>
  </w:style>
  <w:style w:type="paragraph" w:styleId="28">
    <w:name w:val="Body Text First Indent"/>
    <w:basedOn w:val="12"/>
    <w:next w:val="1"/>
    <w:qFormat/>
    <w:locked/>
    <w:uiPriority w:val="0"/>
    <w:pPr>
      <w:spacing w:after="120"/>
      <w:ind w:firstLine="420" w:firstLineChars="100"/>
    </w:pPr>
    <w:rPr>
      <w:kern w:val="2"/>
      <w:sz w:val="21"/>
      <w:szCs w:val="24"/>
    </w:rPr>
  </w:style>
  <w:style w:type="paragraph" w:styleId="29">
    <w:name w:val="Body Text First Indent 2"/>
    <w:basedOn w:val="13"/>
    <w:next w:val="1"/>
    <w:qFormat/>
    <w:locked/>
    <w:uiPriority w:val="0"/>
    <w:pPr>
      <w:ind w:firstLine="42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bCs/>
    </w:rPr>
  </w:style>
  <w:style w:type="character" w:styleId="34">
    <w:name w:val="page number"/>
    <w:basedOn w:val="32"/>
    <w:qFormat/>
    <w:locked/>
    <w:uiPriority w:val="0"/>
  </w:style>
  <w:style w:type="character" w:styleId="35">
    <w:name w:val="FollowedHyperlink"/>
    <w:basedOn w:val="32"/>
    <w:qFormat/>
    <w:locked/>
    <w:uiPriority w:val="0"/>
    <w:rPr>
      <w:color w:val="000000"/>
      <w:u w:val="none"/>
    </w:rPr>
  </w:style>
  <w:style w:type="character" w:styleId="36">
    <w:name w:val="Emphasis"/>
    <w:basedOn w:val="32"/>
    <w:qFormat/>
    <w:locked/>
    <w:uiPriority w:val="0"/>
  </w:style>
  <w:style w:type="character" w:styleId="37">
    <w:name w:val="Hyperlink"/>
    <w:basedOn w:val="32"/>
    <w:qFormat/>
    <w:locked/>
    <w:uiPriority w:val="0"/>
    <w:rPr>
      <w:color w:val="000000"/>
      <w:u w:val="none"/>
    </w:rPr>
  </w:style>
  <w:style w:type="character" w:styleId="38">
    <w:name w:val="annotation reference"/>
    <w:semiHidden/>
    <w:qFormat/>
    <w:uiPriority w:val="0"/>
    <w:rPr>
      <w:sz w:val="21"/>
    </w:rPr>
  </w:style>
  <w:style w:type="character" w:customStyle="1" w:styleId="39">
    <w:name w:val="标题 3 Char"/>
    <w:link w:val="5"/>
    <w:semiHidden/>
    <w:qFormat/>
    <w:uiPriority w:val="0"/>
    <w:rPr>
      <w:b/>
      <w:kern w:val="0"/>
      <w:sz w:val="24"/>
      <w:szCs w:val="20"/>
    </w:rPr>
  </w:style>
  <w:style w:type="paragraph" w:customStyle="1" w:styleId="40">
    <w:name w:val="表头"/>
    <w:basedOn w:val="41"/>
    <w:next w:val="1"/>
    <w:qFormat/>
    <w:uiPriority w:val="0"/>
    <w:rPr>
      <w:rFonts w:ascii="黑体" w:eastAsia="黑体"/>
      <w:sz w:val="24"/>
    </w:rPr>
  </w:style>
  <w:style w:type="paragraph" w:customStyle="1" w:styleId="41">
    <w:name w:val="报告表格"/>
    <w:basedOn w:val="1"/>
    <w:qFormat/>
    <w:uiPriority w:val="0"/>
    <w:pPr>
      <w:autoSpaceDE w:val="0"/>
      <w:autoSpaceDN w:val="0"/>
      <w:adjustRightInd w:val="0"/>
      <w:jc w:val="center"/>
      <w:textAlignment w:val="baseline"/>
    </w:pPr>
    <w:rPr>
      <w:kern w:val="0"/>
      <w:szCs w:val="20"/>
    </w:rPr>
  </w:style>
  <w:style w:type="paragraph" w:customStyle="1" w:styleId="42">
    <w:name w:val="Default"/>
    <w:basedOn w:val="43"/>
    <w:next w:val="1"/>
    <w:qFormat/>
    <w:uiPriority w:val="0"/>
    <w:pPr>
      <w:autoSpaceDE w:val="0"/>
      <w:autoSpaceDN w:val="0"/>
      <w:jc w:val="left"/>
    </w:pPr>
    <w:rPr>
      <w:rFonts w:hint="eastAsia" w:ascii="宋体"/>
      <w:kern w:val="0"/>
      <w:sz w:val="24"/>
      <w:szCs w:val="24"/>
    </w:rPr>
  </w:style>
  <w:style w:type="paragraph" w:customStyle="1" w:styleId="43">
    <w:name w:val="1 表头"/>
    <w:basedOn w:val="1"/>
    <w:qFormat/>
    <w:uiPriority w:val="0"/>
    <w:pPr>
      <w:adjustRightInd w:val="0"/>
      <w:snapToGrid w:val="0"/>
      <w:jc w:val="center"/>
    </w:pPr>
    <w:rPr>
      <w:b/>
      <w:color w:val="000000"/>
      <w:szCs w:val="21"/>
    </w:rPr>
  </w:style>
  <w:style w:type="character" w:customStyle="1" w:styleId="44">
    <w:name w:val="正文文本 字符"/>
    <w:link w:val="12"/>
    <w:qFormat/>
    <w:locked/>
    <w:uiPriority w:val="0"/>
    <w:rPr>
      <w:rFonts w:ascii="Times New Roman" w:hAnsi="Times New Roman" w:eastAsia="宋体"/>
      <w:sz w:val="24"/>
    </w:rPr>
  </w:style>
  <w:style w:type="character" w:customStyle="1" w:styleId="45">
    <w:name w:val="批注文字 字符"/>
    <w:link w:val="10"/>
    <w:qFormat/>
    <w:locked/>
    <w:uiPriority w:val="0"/>
    <w:rPr>
      <w:rFonts w:ascii="Times New Roman" w:hAnsi="Times New Roman" w:eastAsia="宋体"/>
      <w:sz w:val="24"/>
    </w:rPr>
  </w:style>
  <w:style w:type="paragraph" w:customStyle="1" w:styleId="46">
    <w:name w:val="正文1"/>
    <w:basedOn w:val="8"/>
    <w:next w:val="1"/>
    <w:qFormat/>
    <w:uiPriority w:val="0"/>
    <w:pPr>
      <w:adjustRightInd w:val="0"/>
      <w:snapToGrid w:val="0"/>
      <w:spacing w:line="500" w:lineRule="atLeast"/>
      <w:ind w:firstLine="567"/>
    </w:pPr>
    <w:rPr>
      <w:sz w:val="28"/>
    </w:rPr>
  </w:style>
  <w:style w:type="paragraph" w:customStyle="1" w:styleId="47">
    <w:name w:val="样式 标题 1一级标题 + 段前: 0.5 行 段后: 0.5 行"/>
    <w:basedOn w:val="3"/>
    <w:qFormat/>
    <w:uiPriority w:val="99"/>
    <w:pPr>
      <w:spacing w:line="320" w:lineRule="exact"/>
      <w:outlineLvl w:val="9"/>
    </w:pPr>
    <w:rPr>
      <w:spacing w:val="-6"/>
      <w:sz w:val="21"/>
      <w:szCs w:val="21"/>
    </w:rPr>
  </w:style>
  <w:style w:type="paragraph" w:customStyle="1" w:styleId="48">
    <w:name w:val="默认段落"/>
    <w:basedOn w:val="1"/>
    <w:qFormat/>
    <w:uiPriority w:val="0"/>
  </w:style>
  <w:style w:type="paragraph" w:customStyle="1" w:styleId="49">
    <w:name w:val="Default1"/>
    <w:basedOn w:val="1"/>
    <w:next w:val="1"/>
    <w:qFormat/>
    <w:uiPriority w:val="0"/>
    <w:pPr>
      <w:widowControl w:val="0"/>
      <w:autoSpaceDE w:val="0"/>
      <w:autoSpaceDN w:val="0"/>
      <w:adjustRightInd w:val="0"/>
    </w:pPr>
    <w:rPr>
      <w:rFonts w:ascii="宋体" w:hAnsi="宋体" w:cs="宋体"/>
      <w:color w:val="000000"/>
      <w:kern w:val="0"/>
      <w:sz w:val="24"/>
    </w:rPr>
  </w:style>
  <w:style w:type="paragraph" w:customStyle="1" w:styleId="50">
    <w:name w:val="纯文本1"/>
    <w:basedOn w:val="1"/>
    <w:qFormat/>
    <w:uiPriority w:val="0"/>
    <w:rPr>
      <w:rFonts w:ascii="宋体" w:hAnsi="Courier New" w:cs="Courier New"/>
      <w:kern w:val="2"/>
      <w:sz w:val="21"/>
      <w:szCs w:val="21"/>
    </w:rPr>
  </w:style>
  <w:style w:type="paragraph" w:customStyle="1" w:styleId="51">
    <w:name w:val="Body Text 21"/>
    <w:basedOn w:val="1"/>
    <w:qFormat/>
    <w:uiPriority w:val="0"/>
    <w:pPr>
      <w:spacing w:after="120" w:line="480" w:lineRule="auto"/>
    </w:pPr>
  </w:style>
  <w:style w:type="paragraph" w:customStyle="1" w:styleId="52">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paragraph" w:customStyle="1" w:styleId="53">
    <w:name w:val="表格文字"/>
    <w:basedOn w:val="28"/>
    <w:next w:val="1"/>
    <w:qFormat/>
    <w:uiPriority w:val="0"/>
    <w:pPr>
      <w:adjustRightInd w:val="0"/>
      <w:spacing w:line="320" w:lineRule="exact"/>
      <w:ind w:left="-80"/>
      <w:jc w:val="center"/>
      <w:textAlignment w:val="baseline"/>
    </w:pPr>
    <w:rPr>
      <w:szCs w:val="21"/>
    </w:rPr>
  </w:style>
  <w:style w:type="paragraph" w:customStyle="1" w:styleId="54">
    <w:name w:val="表格"/>
    <w:basedOn w:val="55"/>
    <w:next w:val="56"/>
    <w:link w:val="74"/>
    <w:qFormat/>
    <w:uiPriority w:val="0"/>
    <w:pPr>
      <w:adjustRightInd w:val="0"/>
      <w:snapToGrid w:val="0"/>
      <w:spacing w:beforeLines="10" w:afterLines="10" w:line="259" w:lineRule="auto"/>
      <w:jc w:val="center"/>
    </w:pPr>
    <w:rPr>
      <w:kern w:val="0"/>
      <w:szCs w:val="20"/>
    </w:rPr>
  </w:style>
  <w:style w:type="paragraph" w:customStyle="1" w:styleId="55">
    <w:name w:val="Table Paragraph"/>
    <w:basedOn w:val="1"/>
    <w:qFormat/>
    <w:uiPriority w:val="1"/>
    <w:rPr>
      <w:rFonts w:ascii="宋体" w:hAnsi="宋体" w:cs="宋体"/>
      <w:lang w:val="zh-CN" w:bidi="zh-CN"/>
    </w:rPr>
  </w:style>
  <w:style w:type="paragraph" w:customStyle="1" w:styleId="56">
    <w:name w:val="样式 标题 2 + 首行缩进:  2 字符"/>
    <w:basedOn w:val="4"/>
    <w:next w:val="57"/>
    <w:qFormat/>
    <w:uiPriority w:val="0"/>
    <w:pPr>
      <w:widowControl/>
      <w:spacing w:line="300" w:lineRule="auto"/>
      <w:ind w:left="1320" w:hanging="420"/>
    </w:pPr>
    <w:rPr>
      <w:rFonts w:eastAsia="黑体"/>
      <w:b w:val="0"/>
      <w:sz w:val="30"/>
    </w:rPr>
  </w:style>
  <w:style w:type="paragraph" w:customStyle="1" w:styleId="57">
    <w:name w:val="图号"/>
    <w:next w:val="58"/>
    <w:qFormat/>
    <w:uiPriority w:val="0"/>
    <w:pPr>
      <w:widowControl w:val="0"/>
      <w:spacing w:line="529" w:lineRule="exact"/>
      <w:ind w:left="198"/>
    </w:pPr>
    <w:rPr>
      <w:rFonts w:ascii="宋体" w:hAnsi="Times New Roman" w:eastAsia="宋体" w:cs="Times New Roman"/>
      <w:b/>
      <w:sz w:val="24"/>
      <w:lang w:val="en-US" w:eastAsia="zh-CN" w:bidi="ar-SA"/>
    </w:rPr>
  </w:style>
  <w:style w:type="paragraph" w:customStyle="1" w:styleId="58">
    <w:name w:val=" Char Char Char Char Char Char Char Char Char Char Char Char Char Char Char Char Char Char Char Char Char Char"/>
    <w:basedOn w:val="1"/>
    <w:next w:val="1"/>
    <w:qFormat/>
    <w:uiPriority w:val="0"/>
    <w:pPr>
      <w:widowControl w:val="0"/>
      <w:autoSpaceDE/>
      <w:autoSpaceDN/>
      <w:spacing w:before="0" w:after="0" w:line="360" w:lineRule="auto"/>
      <w:ind w:left="0" w:firstLine="200"/>
    </w:pPr>
    <w:rPr>
      <w:rFonts w:ascii="宋体" w:eastAsia="宋体"/>
      <w:sz w:val="24"/>
    </w:rPr>
  </w:style>
  <w:style w:type="paragraph" w:customStyle="1" w:styleId="59">
    <w:name w:val="Char Char Char Char Char Char Char Char Char Char Char Char Char Char Char Char Char Char Char Char Char Char"/>
    <w:basedOn w:val="1"/>
    <w:next w:val="1"/>
    <w:qFormat/>
    <w:uiPriority w:val="0"/>
    <w:pPr>
      <w:spacing w:line="360" w:lineRule="auto"/>
      <w:ind w:firstLine="200"/>
    </w:pPr>
    <w:rPr>
      <w:rFonts w:ascii="宋体"/>
      <w:sz w:val="24"/>
    </w:rPr>
  </w:style>
  <w:style w:type="character" w:customStyle="1" w:styleId="60">
    <w:name w:val="cur"/>
    <w:basedOn w:val="32"/>
    <w:qFormat/>
    <w:uiPriority w:val="0"/>
    <w:rPr>
      <w:color w:val="FFFFFF"/>
      <w:shd w:val="clear" w:color="auto" w:fill="2F6B98"/>
    </w:rPr>
  </w:style>
  <w:style w:type="character" w:customStyle="1" w:styleId="61">
    <w:name w:val="_Style 5"/>
    <w:qFormat/>
    <w:uiPriority w:val="0"/>
    <w:rPr>
      <w:b/>
      <w:smallCaps/>
      <w:spacing w:val="5"/>
    </w:rPr>
  </w:style>
  <w:style w:type="character" w:customStyle="1" w:styleId="62">
    <w:name w:val="radio-btn"/>
    <w:basedOn w:val="32"/>
    <w:qFormat/>
    <w:uiPriority w:val="0"/>
    <w:rPr>
      <w:sz w:val="16"/>
      <w:szCs w:val="16"/>
    </w:rPr>
  </w:style>
  <w:style w:type="character" w:customStyle="1" w:styleId="63">
    <w:name w:val="正文文本缩进 字符"/>
    <w:link w:val="13"/>
    <w:semiHidden/>
    <w:qFormat/>
    <w:locked/>
    <w:uiPriority w:val="0"/>
    <w:rPr>
      <w:rFonts w:ascii="Times New Roman" w:hAnsi="Times New Roman" w:eastAsia="宋体"/>
      <w:sz w:val="24"/>
    </w:rPr>
  </w:style>
  <w:style w:type="character" w:customStyle="1" w:styleId="64">
    <w:name w:val="普通(网站) 字符"/>
    <w:link w:val="25"/>
    <w:qFormat/>
    <w:locked/>
    <w:uiPriority w:val="0"/>
    <w:rPr>
      <w:rFonts w:ascii="宋体" w:hAnsi="宋体" w:eastAsia="宋体"/>
      <w:sz w:val="24"/>
    </w:rPr>
  </w:style>
  <w:style w:type="character" w:customStyle="1" w:styleId="65">
    <w:name w:val="radio-btn2"/>
    <w:basedOn w:val="32"/>
    <w:qFormat/>
    <w:uiPriority w:val="0"/>
    <w:rPr>
      <w:sz w:val="19"/>
      <w:szCs w:val="19"/>
    </w:rPr>
  </w:style>
  <w:style w:type="character" w:customStyle="1" w:styleId="66">
    <w:name w:val="日期 字符"/>
    <w:semiHidden/>
    <w:qFormat/>
    <w:uiPriority w:val="0"/>
    <w:rPr>
      <w:rFonts w:ascii="Times New Roman" w:hAnsi="Times New Roman" w:eastAsia="宋体"/>
      <w:sz w:val="24"/>
    </w:rPr>
  </w:style>
  <w:style w:type="character" w:customStyle="1" w:styleId="67">
    <w:name w:val="正文文本 字符1"/>
    <w:semiHidden/>
    <w:qFormat/>
    <w:uiPriority w:val="0"/>
    <w:rPr>
      <w:rFonts w:ascii="Times New Roman" w:hAnsi="Times New Roman" w:eastAsia="宋体"/>
      <w:sz w:val="24"/>
    </w:rPr>
  </w:style>
  <w:style w:type="character" w:customStyle="1" w:styleId="68">
    <w:name w:val="批注文字 字符1"/>
    <w:semiHidden/>
    <w:qFormat/>
    <w:uiPriority w:val="0"/>
    <w:rPr>
      <w:rFonts w:ascii="Times New Roman" w:hAnsi="Times New Roman" w:eastAsia="宋体"/>
      <w:sz w:val="24"/>
    </w:rPr>
  </w:style>
  <w:style w:type="character" w:customStyle="1" w:styleId="69">
    <w:name w:val="日期 字符1"/>
    <w:link w:val="17"/>
    <w:qFormat/>
    <w:locked/>
    <w:uiPriority w:val="0"/>
    <w:rPr>
      <w:rFonts w:ascii="Times New Roman" w:hAnsi="Times New Roman" w:eastAsia="宋体"/>
      <w:sz w:val="24"/>
    </w:rPr>
  </w:style>
  <w:style w:type="character" w:customStyle="1" w:styleId="70">
    <w:name w:val="批注框文本 字符"/>
    <w:link w:val="19"/>
    <w:semiHidden/>
    <w:qFormat/>
    <w:locked/>
    <w:uiPriority w:val="0"/>
    <w:rPr>
      <w:rFonts w:ascii="Times New Roman" w:hAnsi="Times New Roman" w:eastAsia="宋体"/>
      <w:sz w:val="18"/>
    </w:rPr>
  </w:style>
  <w:style w:type="character" w:customStyle="1" w:styleId="71">
    <w:name w:val="页脚 字符1"/>
    <w:link w:val="20"/>
    <w:qFormat/>
    <w:locked/>
    <w:uiPriority w:val="99"/>
    <w:rPr>
      <w:sz w:val="18"/>
    </w:rPr>
  </w:style>
  <w:style w:type="character" w:customStyle="1" w:styleId="72">
    <w:name w:val="页眉 字符"/>
    <w:link w:val="21"/>
    <w:qFormat/>
    <w:locked/>
    <w:uiPriority w:val="0"/>
    <w:rPr>
      <w:sz w:val="18"/>
    </w:rPr>
  </w:style>
  <w:style w:type="character" w:customStyle="1" w:styleId="73">
    <w:name w:val="批注主题 字符"/>
    <w:link w:val="27"/>
    <w:semiHidden/>
    <w:qFormat/>
    <w:locked/>
    <w:uiPriority w:val="0"/>
    <w:rPr>
      <w:rFonts w:ascii="Times New Roman" w:hAnsi="Times New Roman" w:eastAsia="宋体"/>
      <w:b/>
      <w:kern w:val="2"/>
      <w:sz w:val="24"/>
    </w:rPr>
  </w:style>
  <w:style w:type="character" w:customStyle="1" w:styleId="74">
    <w:name w:val="表格 Char"/>
    <w:link w:val="54"/>
    <w:qFormat/>
    <w:locked/>
    <w:uiPriority w:val="0"/>
    <w:rPr>
      <w:rFonts w:ascii="宋体"/>
      <w:sz w:val="21"/>
    </w:rPr>
  </w:style>
  <w:style w:type="character" w:customStyle="1" w:styleId="75">
    <w:name w:val="lable"/>
    <w:basedOn w:val="32"/>
    <w:qFormat/>
    <w:uiPriority w:val="0"/>
    <w:rPr>
      <w:sz w:val="19"/>
      <w:szCs w:val="19"/>
    </w:rPr>
  </w:style>
  <w:style w:type="character" w:customStyle="1" w:styleId="76">
    <w:name w:val="radio-btn1"/>
    <w:basedOn w:val="32"/>
    <w:qFormat/>
    <w:uiPriority w:val="0"/>
    <w:rPr>
      <w:sz w:val="19"/>
      <w:szCs w:val="19"/>
    </w:rPr>
  </w:style>
  <w:style w:type="character" w:customStyle="1" w:styleId="77">
    <w:name w:val="lishishuju"/>
    <w:basedOn w:val="32"/>
    <w:qFormat/>
    <w:uiPriority w:val="0"/>
    <w:rPr>
      <w:b/>
      <w:bCs/>
      <w:color w:val="000052"/>
      <w:sz w:val="19"/>
      <w:szCs w:val="19"/>
      <w:bdr w:val="single" w:color="E3E3E3" w:sz="4" w:space="0"/>
    </w:rPr>
  </w:style>
  <w:style w:type="character" w:customStyle="1" w:styleId="78">
    <w:name w:val="cur1"/>
    <w:basedOn w:val="32"/>
    <w:qFormat/>
    <w:uiPriority w:val="0"/>
    <w:rPr>
      <w:color w:val="FFFFFF"/>
      <w:shd w:val="clear" w:color="auto" w:fill="2F6B98"/>
    </w:rPr>
  </w:style>
  <w:style w:type="character" w:customStyle="1" w:styleId="79">
    <w:name w:val="页脚 字符"/>
    <w:basedOn w:val="32"/>
    <w:qFormat/>
    <w:uiPriority w:val="99"/>
  </w:style>
  <w:style w:type="character" w:customStyle="1" w:styleId="80">
    <w:name w:val="znspantitle"/>
    <w:basedOn w:val="32"/>
    <w:qFormat/>
    <w:uiPriority w:val="0"/>
    <w:rPr>
      <w:b/>
      <w:bCs/>
      <w:color w:val="333333"/>
    </w:rPr>
  </w:style>
  <w:style w:type="paragraph" w:customStyle="1" w:styleId="81">
    <w:name w:val="Char"/>
    <w:basedOn w:val="1"/>
    <w:qFormat/>
    <w:uiPriority w:val="0"/>
  </w:style>
  <w:style w:type="paragraph" w:customStyle="1" w:styleId="82">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83">
    <w:name w:val="标题三！！！！！！！"/>
    <w:basedOn w:val="5"/>
    <w:qFormat/>
    <w:uiPriority w:val="0"/>
    <w:pPr>
      <w:keepLines w:val="0"/>
      <w:adjustRightInd/>
      <w:spacing w:before="0" w:after="0" w:line="500" w:lineRule="exact"/>
      <w:textAlignment w:val="auto"/>
    </w:pPr>
    <w:rPr>
      <w:rFonts w:ascii="楷体_GB2312" w:hAnsi="楷体_GB2312" w:eastAsia="楷体_GB2312" w:cs="楷体_GB2312"/>
      <w:sz w:val="28"/>
      <w:szCs w:val="28"/>
    </w:rPr>
  </w:style>
  <w:style w:type="paragraph" w:customStyle="1" w:styleId="84">
    <w:name w:val="样式 标题 3 + 黑体 非加粗"/>
    <w:basedOn w:val="5"/>
    <w:qFormat/>
    <w:uiPriority w:val="0"/>
    <w:pPr>
      <w:tabs>
        <w:tab w:val="left" w:pos="4678"/>
      </w:tabs>
      <w:snapToGrid w:val="0"/>
      <w:spacing w:before="156" w:beforeLines="50" w:after="156" w:afterLines="50" w:line="360" w:lineRule="auto"/>
    </w:pPr>
  </w:style>
  <w:style w:type="paragraph" w:customStyle="1" w:styleId="85">
    <w:name w:val="表格后空行"/>
    <w:basedOn w:val="1"/>
    <w:qFormat/>
    <w:uiPriority w:val="0"/>
    <w:pPr>
      <w:widowControl/>
      <w:spacing w:line="240" w:lineRule="exact"/>
      <w:textAlignment w:val="baseline"/>
    </w:pPr>
    <w:rPr>
      <w:rFonts w:ascii="宋体" w:cs="宋体"/>
      <w:color w:val="000000"/>
      <w:kern w:val="0"/>
      <w:sz w:val="18"/>
      <w:szCs w:val="20"/>
      <w:u w:color="000000"/>
    </w:rPr>
  </w:style>
  <w:style w:type="paragraph" w:customStyle="1" w:styleId="86">
    <w:name w:val="表格的文字"/>
    <w:basedOn w:val="1"/>
    <w:qFormat/>
    <w:uiPriority w:val="0"/>
    <w:pPr>
      <w:adjustRightInd w:val="0"/>
      <w:snapToGrid w:val="0"/>
      <w:spacing w:line="240" w:lineRule="atLeast"/>
      <w:jc w:val="center"/>
    </w:pPr>
    <w:rPr>
      <w:rFonts w:ascii="仿宋_GB2312" w:hAnsi="仿宋_GB2312"/>
      <w:bCs/>
      <w:szCs w:val="20"/>
    </w:rPr>
  </w:style>
  <w:style w:type="paragraph" w:customStyle="1" w:styleId="87">
    <w:name w:val="缩进"/>
    <w:basedOn w:val="1"/>
    <w:qFormat/>
    <w:uiPriority w:val="0"/>
    <w:pPr>
      <w:spacing w:line="360" w:lineRule="auto"/>
      <w:ind w:firstLine="200" w:firstLineChars="200"/>
    </w:pPr>
    <w:rPr>
      <w:sz w:val="24"/>
    </w:rPr>
  </w:style>
  <w:style w:type="paragraph" w:customStyle="1" w:styleId="88">
    <w:name w:val="报告正文"/>
    <w:basedOn w:val="1"/>
    <w:qFormat/>
    <w:uiPriority w:val="0"/>
    <w:pPr>
      <w:spacing w:line="520" w:lineRule="exact"/>
      <w:ind w:firstLine="488" w:firstLineChars="200"/>
      <w:jc w:val="left"/>
    </w:pPr>
    <w:rPr>
      <w:bCs/>
      <w:spacing w:val="8"/>
      <w:kern w:val="0"/>
      <w:sz w:val="24"/>
    </w:rPr>
  </w:style>
  <w:style w:type="paragraph" w:customStyle="1" w:styleId="89">
    <w:name w:val="正本文字"/>
    <w:basedOn w:val="1"/>
    <w:qFormat/>
    <w:uiPriority w:val="0"/>
    <w:pPr>
      <w:adjustRightInd w:val="0"/>
      <w:snapToGrid w:val="0"/>
      <w:spacing w:line="360" w:lineRule="auto"/>
      <w:ind w:firstLine="480" w:firstLineChars="200"/>
      <w:jc w:val="left"/>
    </w:pPr>
    <w:rPr>
      <w:kern w:val="18"/>
      <w:sz w:val="24"/>
      <w:szCs w:val="20"/>
    </w:rPr>
  </w:style>
  <w:style w:type="paragraph" w:customStyle="1" w:styleId="90">
    <w:name w:val="正文(首行缩进)"/>
    <w:basedOn w:val="1"/>
    <w:next w:val="4"/>
    <w:qFormat/>
    <w:uiPriority w:val="0"/>
    <w:pPr>
      <w:spacing w:line="360" w:lineRule="auto"/>
      <w:ind w:firstLine="480" w:firstLineChars="200"/>
    </w:pPr>
    <w:rPr>
      <w:bCs/>
      <w:color w:val="000000"/>
      <w:kern w:val="24"/>
      <w:sz w:val="24"/>
    </w:rPr>
  </w:style>
  <w:style w:type="paragraph" w:customStyle="1" w:styleId="91">
    <w:name w:val="表头、图号"/>
    <w:basedOn w:val="1"/>
    <w:unhideWhenUsed/>
    <w:qFormat/>
    <w:uiPriority w:val="0"/>
    <w:pPr>
      <w:widowControl/>
    </w:pPr>
    <w:rPr>
      <w:rFonts w:eastAsia="黑体"/>
      <w:kern w:val="0"/>
    </w:rPr>
  </w:style>
  <w:style w:type="paragraph" w:customStyle="1" w:styleId="9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93">
    <w:name w:val="li_正文"/>
    <w:basedOn w:val="1"/>
    <w:qFormat/>
    <w:uiPriority w:val="0"/>
    <w:pPr>
      <w:ind w:firstLine="200" w:firstLineChars="200"/>
      <w:jc w:val="left"/>
    </w:pPr>
    <w:rPr>
      <w:rFonts w:ascii="Calibri" w:hAnsi="Calibri"/>
      <w:sz w:val="28"/>
      <w:szCs w:val="28"/>
    </w:rPr>
  </w:style>
  <w:style w:type="paragraph" w:customStyle="1" w:styleId="94">
    <w:name w:val="表格文字中"/>
    <w:basedOn w:val="1"/>
    <w:qFormat/>
    <w:uiPriority w:val="0"/>
    <w:pPr>
      <w:jc w:val="center"/>
    </w:pPr>
    <w:rPr>
      <w:kern w:val="0"/>
      <w:sz w:val="24"/>
      <w:szCs w:val="20"/>
    </w:rPr>
  </w:style>
  <w:style w:type="paragraph" w:customStyle="1" w:styleId="95">
    <w:name w:val="样式5"/>
    <w:basedOn w:val="1"/>
    <w:qFormat/>
    <w:uiPriority w:val="0"/>
    <w:pPr>
      <w:snapToGrid w:val="0"/>
      <w:spacing w:line="360" w:lineRule="auto"/>
      <w:ind w:firstLine="510"/>
    </w:pPr>
    <w:rPr>
      <w:sz w:val="28"/>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7">
    <w:name w:val="表题"/>
    <w:basedOn w:val="1"/>
    <w:next w:val="1"/>
    <w:qFormat/>
    <w:uiPriority w:val="0"/>
    <w:pPr>
      <w:spacing w:before="50" w:beforeLines="50"/>
      <w:jc w:val="center"/>
    </w:pPr>
    <w:rPr>
      <w:b/>
    </w:rPr>
  </w:style>
  <w:style w:type="paragraph" w:customStyle="1" w:styleId="98">
    <w:name w:val="表、图名"/>
    <w:basedOn w:val="1"/>
    <w:qFormat/>
    <w:uiPriority w:val="0"/>
    <w:pPr>
      <w:adjustRightInd w:val="0"/>
      <w:snapToGrid w:val="0"/>
      <w:spacing w:line="520" w:lineRule="exact"/>
      <w:ind w:left="-6" w:firstLine="560"/>
    </w:pPr>
    <w:rPr>
      <w:b/>
      <w:szCs w:val="20"/>
    </w:rPr>
  </w:style>
  <w:style w:type="paragraph" w:customStyle="1" w:styleId="99">
    <w:name w:val="0"/>
    <w:basedOn w:val="81"/>
    <w:qFormat/>
    <w:uiPriority w:val="0"/>
    <w:pPr>
      <w:overflowPunct w:val="0"/>
      <w:snapToGrid w:val="0"/>
      <w:jc w:val="center"/>
    </w:pPr>
    <w:rPr>
      <w:rFonts w:ascii="Arial" w:hAnsi="Arial" w:eastAsia="仿宋_GB2312" w:cs="Arial"/>
      <w:bCs/>
      <w:snapToGrid w:val="0"/>
      <w:kern w:val="0"/>
      <w:szCs w:val="28"/>
    </w:rPr>
  </w:style>
  <w:style w:type="paragraph" w:customStyle="1" w:styleId="100">
    <w:name w:val="表头及表尾"/>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z w:val="21"/>
      <w:szCs w:val="21"/>
      <w:lang w:val="en-US" w:eastAsia="zh-CN" w:bidi="ar-SA"/>
    </w:rPr>
  </w:style>
  <w:style w:type="paragraph" w:customStyle="1" w:styleId="10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
    <w:name w:val="正文文本1"/>
    <w:basedOn w:val="1"/>
    <w:qFormat/>
    <w:uiPriority w:val="0"/>
    <w:pPr>
      <w:shd w:val="clear" w:color="auto" w:fill="FFFFFF"/>
      <w:spacing w:line="0" w:lineRule="atLeast"/>
      <w:jc w:val="distribute"/>
    </w:pPr>
    <w:rPr>
      <w:rFonts w:ascii="宋体" w:hAnsi="宋体" w:cs="宋体"/>
      <w:kern w:val="0"/>
      <w:sz w:val="26"/>
      <w:szCs w:val="26"/>
    </w:rPr>
  </w:style>
  <w:style w:type="paragraph" w:customStyle="1" w:styleId="103">
    <w:name w:val="样式 首行缩进:  2 字符1"/>
    <w:basedOn w:val="1"/>
    <w:qFormat/>
    <w:uiPriority w:val="0"/>
    <w:pPr>
      <w:adjustRightInd w:val="0"/>
      <w:snapToGrid w:val="0"/>
      <w:spacing w:line="360" w:lineRule="auto"/>
      <w:ind w:firstLine="480"/>
    </w:pPr>
    <w:rPr>
      <w:rFonts w:cs="宋体"/>
    </w:rPr>
  </w:style>
  <w:style w:type="paragraph" w:customStyle="1" w:styleId="104">
    <w:name w:val="ach正文"/>
    <w:basedOn w:val="1"/>
    <w:qFormat/>
    <w:uiPriority w:val="0"/>
    <w:pPr>
      <w:spacing w:line="500" w:lineRule="exact"/>
      <w:ind w:firstLine="200" w:firstLineChars="200"/>
    </w:pPr>
    <w:rPr>
      <w:rFonts w:hAnsi="宋体"/>
      <w:color w:val="0000FF"/>
    </w:rPr>
  </w:style>
  <w:style w:type="paragraph" w:styleId="105">
    <w:name w:val="No Spacing"/>
    <w:basedOn w:val="23"/>
    <w:next w:val="1"/>
    <w:qFormat/>
    <w:uiPriority w:val="1"/>
    <w:pPr>
      <w:ind w:left="0" w:firstLine="0" w:firstLineChars="0"/>
      <w:jc w:val="center"/>
    </w:pPr>
  </w:style>
  <w:style w:type="paragraph" w:customStyle="1" w:styleId="106">
    <w:name w:val="标题文本"/>
    <w:basedOn w:val="107"/>
    <w:qFormat/>
    <w:uiPriority w:val="0"/>
    <w:pPr>
      <w:ind w:firstLine="0" w:firstLineChars="0"/>
    </w:pPr>
    <w:rPr>
      <w:b/>
      <w:snapToGrid w:val="0"/>
    </w:rPr>
  </w:style>
  <w:style w:type="paragraph" w:customStyle="1" w:styleId="107">
    <w:name w:val="文本"/>
    <w:basedOn w:val="24"/>
    <w:next w:val="24"/>
    <w:qFormat/>
    <w:uiPriority w:val="0"/>
    <w:pPr>
      <w:adjustRightInd w:val="0"/>
      <w:snapToGrid w:val="0"/>
      <w:spacing w:after="0" w:line="520" w:lineRule="exact"/>
      <w:ind w:firstLine="200" w:firstLineChars="200"/>
    </w:pPr>
    <w:rPr>
      <w:rFonts w:ascii="宋体"/>
      <w:sz w:val="24"/>
    </w:rPr>
  </w:style>
  <w:style w:type="character" w:customStyle="1" w:styleId="108">
    <w:name w:val="标题 2 Char1"/>
    <w:link w:val="4"/>
    <w:qFormat/>
    <w:uiPriority w:val="0"/>
    <w:rPr>
      <w:b/>
      <w:bCs/>
      <w:szCs w:val="32"/>
    </w:rPr>
  </w:style>
  <w:style w:type="table" w:customStyle="1" w:styleId="109">
    <w:name w:val="Table Normal"/>
    <w:semiHidden/>
    <w:unhideWhenUsed/>
    <w:qFormat/>
    <w:uiPriority w:val="0"/>
    <w:tblPr>
      <w:tblCellMar>
        <w:top w:w="0" w:type="dxa"/>
        <w:left w:w="0" w:type="dxa"/>
        <w:bottom w:w="0" w:type="dxa"/>
        <w:right w:w="0" w:type="dxa"/>
      </w:tblCellMar>
    </w:tblPr>
  </w:style>
  <w:style w:type="character" w:customStyle="1" w:styleId="110">
    <w:name w:val="bold align2"/>
    <w:basedOn w:val="32"/>
    <w:qFormat/>
    <w:uiPriority w:val="0"/>
  </w:style>
  <w:style w:type="character" w:customStyle="1" w:styleId="111">
    <w:name w:val="apple-converted-space"/>
    <w:basedOn w:val="32"/>
    <w:qFormat/>
    <w:uiPriority w:val="0"/>
  </w:style>
  <w:style w:type="character" w:customStyle="1" w:styleId="112">
    <w:name w:val="bold align1"/>
    <w:basedOn w:val="32"/>
    <w:qFormat/>
    <w:uiPriority w:val="0"/>
  </w:style>
  <w:style w:type="character" w:customStyle="1" w:styleId="113">
    <w:name w:val="bold"/>
    <w:basedOn w:val="32"/>
    <w:qFormat/>
    <w:uiPriority w:val="0"/>
  </w:style>
  <w:style w:type="character" w:customStyle="1" w:styleId="114">
    <w:name w:val="bsharetext"/>
    <w:basedOn w:val="32"/>
    <w:qFormat/>
    <w:uiPriority w:val="0"/>
  </w:style>
  <w:style w:type="character" w:customStyle="1" w:styleId="115">
    <w:name w:val="hover26"/>
    <w:basedOn w:val="32"/>
    <w:qFormat/>
    <w:uiPriority w:val="0"/>
  </w:style>
  <w:style w:type="character" w:customStyle="1" w:styleId="116">
    <w:name w:val="15"/>
    <w:basedOn w:val="32"/>
    <w:qFormat/>
    <w:uiPriority w:val="0"/>
    <w:rPr>
      <w:rFonts w:hint="default" w:ascii="Times New Roman" w:hAnsi="Times New Roman" w:cs="Times New Roman"/>
      <w:b/>
      <w:bCs/>
    </w:rPr>
  </w:style>
  <w:style w:type="paragraph" w:customStyle="1" w:styleId="117">
    <w:name w:val="表样式2"/>
    <w:basedOn w:val="1"/>
    <w:qFormat/>
    <w:uiPriority w:val="0"/>
    <w:pPr>
      <w:adjustRightInd w:val="0"/>
      <w:snapToGrid w:val="0"/>
      <w:spacing w:line="420" w:lineRule="exact"/>
    </w:pPr>
    <w:rPr>
      <w:rFonts w:ascii="宋体" w:hAnsi="宋体"/>
      <w:sz w:val="24"/>
    </w:rPr>
  </w:style>
  <w:style w:type="paragraph" w:customStyle="1" w:styleId="118">
    <w:name w:val="报告表正文"/>
    <w:basedOn w:val="1"/>
    <w:qFormat/>
    <w:uiPriority w:val="0"/>
    <w:pPr>
      <w:adjustRightInd w:val="0"/>
      <w:spacing w:line="360" w:lineRule="auto"/>
      <w:ind w:left="0" w:right="0" w:firstLine="720" w:firstLineChars="200"/>
      <w:jc w:val="left"/>
      <w:textAlignment w:val="baseline"/>
    </w:pPr>
    <w:rPr>
      <w:rFonts w:ascii="Times New Roman" w:hAnsi="Times New Roman" w:eastAsia="宋体"/>
      <w:kern w:val="0"/>
      <w:sz w:val="24"/>
    </w:rPr>
  </w:style>
  <w:style w:type="paragraph" w:customStyle="1" w:styleId="119">
    <w:name w:val="表内文字"/>
    <w:basedOn w:val="1"/>
    <w:qFormat/>
    <w:uiPriority w:val="0"/>
    <w:pPr>
      <w:widowControl/>
      <w:jc w:val="center"/>
    </w:pPr>
    <w:rPr>
      <w:szCs w:val="21"/>
    </w:rPr>
  </w:style>
  <w:style w:type="paragraph" w:customStyle="1" w:styleId="120">
    <w:name w:val="表中文字"/>
    <w:basedOn w:val="1"/>
    <w:qFormat/>
    <w:uiPriority w:val="0"/>
    <w:pPr>
      <w:tabs>
        <w:tab w:val="left" w:pos="2700"/>
      </w:tabs>
      <w:spacing w:line="240" w:lineRule="auto"/>
      <w:ind w:firstLine="0" w:firstLineChars="0"/>
      <w:jc w:val="center"/>
      <w:textAlignment w:val="center"/>
    </w:pPr>
    <w:rPr>
      <w:sz w:val="21"/>
      <w:szCs w:val="21"/>
    </w:rPr>
  </w:style>
  <w:style w:type="paragraph" w:customStyle="1" w:styleId="121">
    <w:name w:val="标1"/>
    <w:basedOn w:val="1"/>
    <w:qFormat/>
    <w:uiPriority w:val="0"/>
    <w:pPr>
      <w:spacing w:before="60" w:beforeLines="0" w:beforeAutospacing="0" w:line="460" w:lineRule="exact"/>
      <w:outlineLvl w:val="0"/>
    </w:pPr>
    <w:rPr>
      <w:rFonts w:ascii="Times New Roman" w:hAnsi="Times New Roman" w:eastAsia="宋体" w:cs="Times New Roman"/>
      <w:b/>
      <w:kern w:val="2"/>
      <w:sz w:val="32"/>
      <w:lang w:val="en-US" w:eastAsia="zh-CN"/>
    </w:rPr>
  </w:style>
  <w:style w:type="character" w:customStyle="1" w:styleId="122">
    <w:name w:val="font111"/>
    <w:basedOn w:val="32"/>
    <w:qFormat/>
    <w:uiPriority w:val="0"/>
    <w:rPr>
      <w:rFonts w:ascii="Arial" w:hAnsi="Arial" w:cs="Arial"/>
      <w:color w:val="000000"/>
      <w:sz w:val="16"/>
      <w:szCs w:val="16"/>
      <w:u w:val="none"/>
    </w:rPr>
  </w:style>
  <w:style w:type="paragraph" w:customStyle="1" w:styleId="123">
    <w:name w:val="样式4"/>
    <w:basedOn w:val="1"/>
    <w:qFormat/>
    <w:uiPriority w:val="0"/>
    <w:pPr>
      <w:tabs>
        <w:tab w:val="left" w:pos="9128"/>
      </w:tabs>
      <w:adjustRightInd w:val="0"/>
      <w:snapToGrid w:val="0"/>
      <w:spacing w:line="500" w:lineRule="exact"/>
      <w:jc w:val="center"/>
    </w:pPr>
  </w:style>
  <w:style w:type="character" w:customStyle="1" w:styleId="124">
    <w:name w:val="font21"/>
    <w:basedOn w:val="32"/>
    <w:qFormat/>
    <w:uiPriority w:val="0"/>
    <w:rPr>
      <w:rFonts w:hint="eastAsia" w:ascii="宋体" w:hAnsi="宋体" w:eastAsia="宋体" w:cs="宋体"/>
      <w:color w:val="000000"/>
      <w:sz w:val="21"/>
      <w:szCs w:val="21"/>
      <w:u w:val="none"/>
    </w:rPr>
  </w:style>
  <w:style w:type="character" w:customStyle="1" w:styleId="125">
    <w:name w:val="font11"/>
    <w:basedOn w:val="32"/>
    <w:qFormat/>
    <w:uiPriority w:val="0"/>
    <w:rPr>
      <w:rFonts w:hint="default" w:ascii="Times New Roman" w:hAnsi="Times New Roman" w:cs="Times New Roman"/>
      <w:color w:val="000000"/>
      <w:sz w:val="21"/>
      <w:szCs w:val="21"/>
      <w:u w:val="none"/>
    </w:rPr>
  </w:style>
  <w:style w:type="character" w:customStyle="1" w:styleId="126">
    <w:name w:val="font31"/>
    <w:basedOn w:val="32"/>
    <w:qFormat/>
    <w:uiPriority w:val="0"/>
    <w:rPr>
      <w:rFonts w:hint="default" w:ascii="Times New Roman" w:hAnsi="Times New Roman" w:cs="Times New Roman"/>
      <w:color w:val="000000"/>
      <w:sz w:val="21"/>
      <w:szCs w:val="21"/>
      <w:u w:val="none"/>
      <w:vertAlign w:val="superscript"/>
    </w:rPr>
  </w:style>
  <w:style w:type="character" w:customStyle="1" w:styleId="127">
    <w:name w:val="font41"/>
    <w:basedOn w:val="32"/>
    <w:qFormat/>
    <w:uiPriority w:val="0"/>
    <w:rPr>
      <w:rFonts w:hint="eastAsia" w:ascii="宋体" w:hAnsi="宋体" w:eastAsia="宋体" w:cs="宋体"/>
      <w:color w:val="000000"/>
      <w:sz w:val="24"/>
      <w:szCs w:val="24"/>
      <w:u w:val="none"/>
    </w:rPr>
  </w:style>
  <w:style w:type="paragraph" w:customStyle="1" w:styleId="128">
    <w:name w:val="Char Char Char Char Char Char Char Char Char1 Char"/>
    <w:basedOn w:val="1"/>
    <w:qFormat/>
    <w:uiPriority w:val="0"/>
    <w:pPr>
      <w:spacing w:line="360" w:lineRule="auto"/>
      <w:ind w:firstLine="200" w:firstLineChars="200"/>
    </w:pPr>
    <w:rPr>
      <w:rFonts w:hAnsi="宋体" w:cs="宋体"/>
      <w:spacing w:val="0"/>
      <w:sz w:val="24"/>
      <w:szCs w:val="24"/>
    </w:rPr>
  </w:style>
  <w:style w:type="paragraph" w:customStyle="1" w:styleId="129">
    <w:name w:val="样式3"/>
    <w:basedOn w:val="1"/>
    <w:next w:val="1"/>
    <w:qFormat/>
    <w:uiPriority w:val="0"/>
    <w:pPr>
      <w:keepNext/>
      <w:keepLines/>
      <w:spacing w:beforeLines="0" w:afterLines="0" w:line="240" w:lineRule="auto"/>
      <w:ind w:firstLine="0" w:firstLineChars="0"/>
      <w:jc w:val="center"/>
      <w:outlineLvl w:val="1"/>
    </w:pPr>
    <w:rPr>
      <w:sz w:val="21"/>
    </w:rPr>
  </w:style>
  <w:style w:type="paragraph" w:customStyle="1" w:styleId="130">
    <w:name w:val="邓图后正文"/>
    <w:qFormat/>
    <w:uiPriority w:val="0"/>
    <w:pPr>
      <w:snapToGrid w:val="0"/>
      <w:spacing w:line="360" w:lineRule="auto"/>
      <w:jc w:val="center"/>
    </w:pPr>
    <w:rPr>
      <w:rFonts w:ascii="黑体" w:hAnsi="黑体" w:eastAsia="黑体" w:cs="Times New Roman"/>
      <w:b/>
      <w:bCs/>
      <w:kern w:val="2"/>
      <w:sz w:val="24"/>
      <w:szCs w:val="24"/>
      <w:lang w:val="en-US" w:eastAsia="zh-CN" w:bidi="ar-SA"/>
    </w:rPr>
  </w:style>
  <w:style w:type="paragraph" w:customStyle="1" w:styleId="131">
    <w:name w:val="B表内字"/>
    <w:qFormat/>
    <w:uiPriority w:val="0"/>
    <w:pPr>
      <w:jc w:val="center"/>
    </w:pPr>
    <w:rPr>
      <w:rFonts w:ascii="Times New Roman" w:hAnsi="Times New Roman" w:eastAsia="宋体" w:cs="宋体"/>
      <w:sz w:val="21"/>
      <w:szCs w:val="24"/>
      <w:lang w:val="en-US" w:eastAsia="zh-CN" w:bidi="ar-SA"/>
    </w:rPr>
  </w:style>
  <w:style w:type="paragraph" w:customStyle="1" w:styleId="132">
    <w:name w:val="邓表格文字"/>
    <w:basedOn w:val="133"/>
    <w:qFormat/>
    <w:uiPriority w:val="0"/>
    <w:pPr>
      <w:spacing w:line="240" w:lineRule="auto"/>
    </w:pPr>
  </w:style>
  <w:style w:type="paragraph" w:customStyle="1" w:styleId="133">
    <w:name w:val="表格文字邓"/>
    <w:qFormat/>
    <w:uiPriority w:val="0"/>
    <w:pPr>
      <w:snapToGrid w:val="0"/>
      <w:spacing w:line="200" w:lineRule="exact"/>
      <w:jc w:val="center"/>
    </w:pPr>
    <w:rPr>
      <w:rFonts w:ascii="宋体" w:hAnsi="宋体" w:eastAsia="华文中宋" w:cs="Times New Roman"/>
      <w:color w:val="000000"/>
      <w:kern w:val="2"/>
      <w:sz w:val="18"/>
      <w:szCs w:val="18"/>
      <w:lang w:val="en-US" w:eastAsia="zh-CN" w:bidi="ar-SA"/>
    </w:rPr>
  </w:style>
  <w:style w:type="paragraph" w:customStyle="1" w:styleId="134">
    <w:name w:val="正文邓"/>
    <w:qFormat/>
    <w:uiPriority w:val="0"/>
    <w:pPr>
      <w:widowControl w:val="0"/>
      <w:adjustRightInd w:val="0"/>
      <w:snapToGrid w:val="0"/>
      <w:spacing w:line="360" w:lineRule="auto"/>
      <w:ind w:firstLine="480" w:firstLineChars="200"/>
    </w:pPr>
    <w:rPr>
      <w:rFonts w:ascii="Times New Roman" w:hAnsi="Times New Roman" w:eastAsia="宋体" w:cs="Times New Roman"/>
      <w:bCs/>
      <w:color w:val="000000"/>
      <w:sz w:val="24"/>
      <w:szCs w:val="26"/>
      <w:lang w:val="en-US" w:eastAsia="zh-CN" w:bidi="ar-SA"/>
    </w:rPr>
  </w:style>
  <w:style w:type="paragraph" w:customStyle="1" w:styleId="135">
    <w:name w:val="B正文"/>
    <w:qFormat/>
    <w:uiPriority w:val="0"/>
    <w:pPr>
      <w:spacing w:line="360" w:lineRule="auto"/>
      <w:ind w:firstLine="200" w:firstLineChars="200"/>
    </w:pPr>
    <w:rPr>
      <w:rFonts w:ascii="Times New Roman" w:hAnsi="Times New Roman" w:eastAsia="宋体" w:cs="宋体"/>
      <w:sz w:val="24"/>
      <w:szCs w:val="24"/>
      <w:lang w:val="en-US" w:eastAsia="zh-CN" w:bidi="ar-SA"/>
    </w:rPr>
  </w:style>
  <w:style w:type="paragraph" w:customStyle="1" w:styleId="136">
    <w:name w:val="B图表标题"/>
    <w:basedOn w:val="137"/>
    <w:next w:val="18"/>
    <w:qFormat/>
    <w:uiPriority w:val="0"/>
    <w:pPr>
      <w:widowControl/>
      <w:adjustRightInd w:val="0"/>
      <w:snapToGrid w:val="0"/>
      <w:spacing w:before="120" w:line="240" w:lineRule="auto"/>
    </w:pPr>
    <w:rPr>
      <w:rFonts w:eastAsia="宋体"/>
      <w:b/>
      <w:snapToGrid w:val="0"/>
      <w:color w:val="000000"/>
      <w:kern w:val="0"/>
      <w:szCs w:val="28"/>
    </w:rPr>
  </w:style>
  <w:style w:type="paragraph" w:customStyle="1" w:styleId="137">
    <w:name w:val="图表名"/>
    <w:basedOn w:val="1"/>
    <w:semiHidden/>
    <w:qFormat/>
    <w:uiPriority w:val="0"/>
    <w:pPr>
      <w:spacing w:beforeLines="30" w:afterLines="20" w:line="440" w:lineRule="exact"/>
      <w:ind w:firstLine="480" w:firstLineChars="200"/>
      <w:jc w:val="center"/>
    </w:pPr>
    <w:rPr>
      <w:rFonts w:ascii="Times New Roman" w:hAnsi="Times New Roman" w:eastAsia="黑体"/>
      <w:sz w:val="24"/>
      <w:szCs w:val="24"/>
    </w:rPr>
  </w:style>
  <w:style w:type="paragraph" w:styleId="138">
    <w:name w:val="List Paragraph"/>
    <w:basedOn w:val="1"/>
    <w:qFormat/>
    <w:uiPriority w:val="99"/>
    <w:pPr>
      <w:ind w:firstLine="420" w:firstLineChars="200"/>
    </w:pPr>
  </w:style>
  <w:style w:type="character" w:customStyle="1" w:styleId="139">
    <w:name w:val="font71"/>
    <w:basedOn w:val="32"/>
    <w:qFormat/>
    <w:uiPriority w:val="0"/>
    <w:rPr>
      <w:rFonts w:hint="eastAsia" w:ascii="宋体" w:hAnsi="宋体" w:eastAsia="宋体" w:cs="宋体"/>
      <w:b/>
      <w:bCs/>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xNjQ1MDQ5NjQzIiwKCSJHcm91cElkIiA6ICI0Njc0MjM2NDgiLAoJIkltYWdlIiA6ICJpVkJPUncwS0dnb0FBQUFOU1VoRVVnQUFBYmtBQUFFSkNBWUFBQUFKbmxsZEFBQUFDWEJJV1hNQUFBc1RBQUFMRXdFQW1wd1lBQUFnQUVsRVFWUjRuTzNkZVVCVTVkNEg4TzhadGhSQjBlSUdabVZ2ZGxOTVlVWndpUlNSakJCQlFTMFZyUFM2VmZUZTE4eWxtK2FTbVdKNVhVcTU0bktSd2dSUkVwY3JZSWxLUnJLa0JacExYaFVWQk5uM21YbmVQNGlUSTJBdTRNRGgrL25IT2Z0dnhqbDg1em5uT2Vj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"/>
    </extobj>
    <extobj name="ECB019B1-382A-4266-B25C-5B523AA43C14-2">
      <extobjdata type="ECB019B1-382A-4266-B25C-5B523AA43C14" data="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"/>
    </extobj>
    <extobj name="ECB019B1-382A-4266-B25C-5B523AA43C14-3">
      <extobjdata type="ECB019B1-382A-4266-B25C-5B523AA43C14" data="ewoJIkZpbGVJZCIgOiAiMjQxMjgzMDI5NTk4IiwKCSJHcm91cElkIiA6ICI0Njc0MjM2NDgiLAoJIkltYWdlIiA6ICJpVkJPUncwS0dnb0FBQUFOU1VoRVVnQUFCRUFBQUFMaUNBWUFBQURaKzZPUUFBQUFDWEJJV1hNQUFBc1RBQUFMRXdFQW1wd1lBQUFnQUVsRVFWUjRuT3pkZVZ5VTVmNy84ZmNNTUs2Wm1ScDZYRVBieUlNTVIyMHhVeE5Qa2t0aVRSMlhYMWt1clo3TTc4bUszQXJySExQc3RKMHNTenJaaGgxSlphbGpscGFwcVF4bFpKYWlxYmdnN2lJSzR0eS9QNGc1b01nNnc4ME1yK2ZqNGFPNTc3bXU2MzdmbzZCOHVxN3Js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0FIL0I3UkpLSUI5TmJLR0FBQUFBRWxGVGtTdVFtQ0MiLAoJIlRoZW1lIiA6ICIiLAoJIlR5cGUiIDogImZsb3ciLAoJIlVzZXJJZCIgOiAiIiwKCSJWZXJzaW9uIiA6ICIxND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145dbfbb-6dde-4c3b-a5ad-96b56ca42aee</errorID>
      <errorWord>HW49其他废物</errorWord>
      <group>L1_Other</group>
      <groupName>其他问题</groupName>
      <ability>L2_Consistency</ability>
      <abilityName>一致性检查</abilityName>
      <candidateList>
        <item>HW49</item>
      </candidateList>
      <explain>术语一致性：危险废物类别表述不一致，应统一为代码HW49</explain>
      <paraID>552604C8</paraID>
      <start>0</start>
      <end>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87275-A3A7-42D3-8205-659BCCF11ECE}">
  <ds:schemaRefs/>
</ds:datastoreItem>
</file>

<file path=customXml/itemProps3.xml><?xml version="1.0" encoding="utf-8"?>
<ds:datastoreItem xmlns:ds="http://schemas.openxmlformats.org/officeDocument/2006/customXml" ds:itemID="{b6c861a7-eb4c-4818-83ba-f6993346613d}">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50</Pages>
  <Words>10753</Words>
  <Characters>11859</Characters>
  <Lines>1</Lines>
  <Paragraphs>1</Paragraphs>
  <TotalTime>4</TotalTime>
  <ScaleCrop>false</ScaleCrop>
  <LinksUpToDate>false</LinksUpToDate>
  <CharactersWithSpaces>12136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WPS_1562320662</cp:lastModifiedBy>
  <cp:lastPrinted>2023-08-03T09:02:00Z</cp:lastPrinted>
  <dcterms:modified xsi:type="dcterms:W3CDTF">2026-04-17T10:30:25Z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433B1F96763D4D57ACF8C3D7256D2BDE_13</vt:lpwstr>
  </property>
  <property fmtid="{D5CDD505-2E9C-101B-9397-08002B2CF9AE}" pid="4" name="KSOTemplateDocerSaveRecord">
    <vt:lpwstr>eyJoZGlkIjoiNGRhODgyNjQ5YTE5ZjFmYjE2NDEwOTU4OTE2MjU0N2MiLCJ1c2VySWQiOiI2MDE2NTE5NzkifQ==</vt:lpwstr>
  </property>
</Properties>
</file>