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0" w:name="_Hlk57883707"/>
    </w:p>
    <w:p>
      <w:pPr>
        <w:pStyle w:val="10"/>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bookmarkEnd w:id="0"/>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（生态影响类）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bookmarkStart w:id="1" w:name="_Hlk57883728"/>
    </w:p>
    <w:p>
      <w:pPr>
        <w:ind w:firstLine="1040"/>
        <w:rPr>
          <w:rFonts w:eastAsia="仿宋"/>
          <w:sz w:val="44"/>
          <w:szCs w:val="44"/>
        </w:rPr>
      </w:pPr>
    </w:p>
    <w:p>
      <w:pPr>
        <w:ind w:firstLine="1040"/>
        <w:rPr>
          <w:rFonts w:hint="eastAsia" w:eastAsia="仿宋"/>
          <w:sz w:val="44"/>
          <w:szCs w:val="44"/>
          <w:lang w:val="en-US" w:eastAsia="zh-CN"/>
        </w:rPr>
      </w:pPr>
    </w:p>
    <w:p>
      <w:pPr>
        <w:ind w:firstLine="1040"/>
        <w:rPr>
          <w:rFonts w:hint="eastAsia" w:eastAsia="仿宋"/>
          <w:sz w:val="44"/>
          <w:szCs w:val="44"/>
          <w:lang w:val="en-US" w:eastAsia="zh-CN"/>
        </w:rPr>
      </w:pPr>
    </w:p>
    <w:p>
      <w:pPr>
        <w:ind w:firstLine="1040"/>
        <w:rPr>
          <w:rFonts w:eastAsia="仿宋"/>
          <w:sz w:val="44"/>
          <w:szCs w:val="44"/>
        </w:rPr>
      </w:pPr>
    </w:p>
    <w:p>
      <w:pPr>
        <w:ind w:firstLine="1040"/>
        <w:rPr>
          <w:rFonts w:eastAsia="仿宋"/>
          <w:sz w:val="44"/>
          <w:szCs w:val="44"/>
        </w:rPr>
      </w:pPr>
    </w:p>
    <w:bookmarkEnd w:id="1"/>
    <w:p>
      <w:pPr>
        <w:adjustRightInd w:val="0"/>
        <w:snapToGrid w:val="0"/>
        <w:spacing w:line="288" w:lineRule="auto"/>
        <w:ind w:left="2877" w:leftChars="513" w:hanging="1800" w:hangingChars="500"/>
        <w:rPr>
          <w:rFonts w:hint="eastAsia" w:ascii="仿宋" w:hAnsi="仿宋" w:eastAsia="仿宋" w:cs="仿宋"/>
          <w:sz w:val="36"/>
          <w:szCs w:val="36"/>
          <w:u w:val="single"/>
          <w:lang w:val="en-US"/>
        </w:rPr>
      </w:pPr>
      <w:r>
        <w:rPr>
          <w:rFonts w:hint="eastAsia" w:ascii="仿宋" w:hAnsi="仿宋" w:eastAsia="仿宋" w:cs="仿宋"/>
          <w:sz w:val="36"/>
          <w:szCs w:val="36"/>
        </w:rPr>
        <w:t>项目名称：</w:t>
      </w:r>
      <w:r>
        <w:rPr>
          <w:rFonts w:hint="eastAsia" w:ascii="仿宋" w:hAnsi="仿宋" w:eastAsia="仿宋" w:cs="仿宋"/>
          <w:sz w:val="36"/>
          <w:szCs w:val="36"/>
          <w:u w:val="single"/>
          <w:lang w:val="en-US" w:eastAsia="zh-CN"/>
        </w:rPr>
        <w:t>新疆且末县色日克库里铜多金属矿勘探</w:t>
      </w:r>
    </w:p>
    <w:p>
      <w:pPr>
        <w:adjustRightInd w:val="0"/>
        <w:snapToGrid w:val="0"/>
        <w:spacing w:line="288" w:lineRule="auto"/>
        <w:ind w:firstLine="1040"/>
        <w:rPr>
          <w:rFonts w:hint="eastAsia" w:ascii="仿宋" w:hAnsi="仿宋" w:eastAsia="仿宋" w:cs="仿宋"/>
          <w:sz w:val="36"/>
          <w:szCs w:val="36"/>
          <w:u w:val="single"/>
          <w:lang w:val="en-US" w:eastAsia="zh-CN"/>
        </w:rPr>
      </w:pPr>
      <w:r>
        <w:rPr>
          <w:rFonts w:hint="eastAsia" w:ascii="仿宋" w:hAnsi="仿宋" w:eastAsia="仿宋" w:cs="仿宋"/>
          <w:sz w:val="36"/>
          <w:szCs w:val="36"/>
        </w:rPr>
        <w:t>建设单位（盖章）：</w:t>
      </w:r>
      <w:r>
        <w:rPr>
          <w:rFonts w:hint="eastAsia" w:ascii="仿宋" w:hAnsi="仿宋" w:eastAsia="仿宋" w:cs="仿宋"/>
          <w:sz w:val="36"/>
          <w:szCs w:val="36"/>
          <w:u w:val="single"/>
          <w:lang w:val="en-US" w:eastAsia="zh-CN"/>
        </w:rPr>
        <w:t xml:space="preserve">且末县磊鑫矿业有限公司  </w:t>
      </w:r>
    </w:p>
    <w:p>
      <w:pPr>
        <w:adjustRightInd w:val="0"/>
        <w:snapToGrid w:val="0"/>
        <w:spacing w:line="288" w:lineRule="auto"/>
        <w:ind w:firstLine="1040"/>
        <w:rPr>
          <w:rFonts w:hint="eastAsia" w:ascii="仿宋" w:hAnsi="仿宋" w:eastAsia="仿宋" w:cs="仿宋"/>
          <w:sz w:val="36"/>
          <w:szCs w:val="36"/>
          <w:u w:val="single"/>
        </w:rPr>
      </w:pPr>
      <w:r>
        <w:rPr>
          <w:rFonts w:hint="eastAsia" w:ascii="仿宋" w:hAnsi="仿宋" w:eastAsia="仿宋" w:cs="仿宋"/>
          <w:sz w:val="36"/>
          <w:szCs w:val="36"/>
        </w:rPr>
        <w:t>编制日期：</w:t>
      </w:r>
      <w:r>
        <w:rPr>
          <w:rFonts w:hint="eastAsia" w:ascii="仿宋" w:hAnsi="仿宋" w:eastAsia="仿宋" w:cs="仿宋"/>
          <w:sz w:val="36"/>
          <w:szCs w:val="36"/>
          <w:u w:val="single"/>
          <w:lang w:val="en-US" w:eastAsia="zh-CN"/>
        </w:rPr>
        <w:t xml:space="preserve"> 2026年5月</w:t>
      </w:r>
      <w:r>
        <w:rPr>
          <w:rFonts w:hint="eastAsia" w:ascii="仿宋" w:hAnsi="仿宋" w:eastAsia="仿宋" w:cs="仿宋"/>
          <w:sz w:val="36"/>
          <w:szCs w:val="36"/>
          <w:u w:val="single"/>
        </w:rPr>
        <w:t xml:space="preserve">  </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single"/>
        </w:rPr>
        <w:t xml:space="preserve">     </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single"/>
        </w:rPr>
        <w:t xml:space="preserve">        </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adjustRightInd w:val="0"/>
        <w:snapToGrid w:val="0"/>
        <w:spacing w:line="288" w:lineRule="auto"/>
        <w:rPr>
          <w:rFonts w:ascii="仿宋_GB2312" w:eastAsia="仿宋_GB2312"/>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34"/>
        <w:gridCol w:w="2512"/>
        <w:gridCol w:w="2310"/>
        <w:gridCol w:w="2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634" w:type="dxa"/>
            <w:noWrap w:val="0"/>
            <w:tcMar>
              <w:top w:w="16" w:type="dxa"/>
              <w:left w:w="16" w:type="dxa"/>
              <w:right w:w="16" w:type="dxa"/>
            </w:tcMar>
            <w:vAlign w:val="center"/>
          </w:tcPr>
          <w:p>
            <w:pPr>
              <w:pStyle w:val="58"/>
              <w:bidi w:val="0"/>
            </w:pPr>
            <w:r>
              <w:rPr>
                <w:rFonts w:hint="eastAsia"/>
              </w:rPr>
              <w:t>建设项目名称</w:t>
            </w:r>
          </w:p>
        </w:tc>
        <w:tc>
          <w:tcPr>
            <w:tcW w:w="7405" w:type="dxa"/>
            <w:gridSpan w:val="3"/>
            <w:noWrap w:val="0"/>
            <w:vAlign w:val="center"/>
          </w:tcPr>
          <w:p>
            <w:pPr>
              <w:pStyle w:val="58"/>
              <w:bidi w:val="0"/>
              <w:rPr>
                <w:rFonts w:hint="default"/>
                <w:lang w:val="en-US"/>
              </w:rPr>
            </w:pPr>
            <w:r>
              <w:rPr>
                <w:rFonts w:hint="eastAsia"/>
                <w:lang w:val="en-US" w:eastAsia="zh-CN"/>
              </w:rPr>
              <w:t>新疆且末县色日克库里铜多金属矿勘探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634" w:type="dxa"/>
            <w:noWrap w:val="0"/>
            <w:tcMar>
              <w:top w:w="16" w:type="dxa"/>
              <w:left w:w="16" w:type="dxa"/>
              <w:right w:w="16" w:type="dxa"/>
            </w:tcMar>
            <w:vAlign w:val="center"/>
          </w:tcPr>
          <w:p>
            <w:pPr>
              <w:pStyle w:val="58"/>
              <w:bidi w:val="0"/>
            </w:pPr>
            <w:r>
              <w:rPr>
                <w:rFonts w:hint="eastAsia"/>
              </w:rPr>
              <w:t>项目代码</w:t>
            </w:r>
          </w:p>
        </w:tc>
        <w:tc>
          <w:tcPr>
            <w:tcW w:w="7405" w:type="dxa"/>
            <w:gridSpan w:val="3"/>
            <w:noWrap w:val="0"/>
            <w:vAlign w:val="center"/>
          </w:tcPr>
          <w:p>
            <w:pPr>
              <w:pStyle w:val="58"/>
              <w:bidi w:val="0"/>
              <w:rPr>
                <w:rFonts w:hint="eastAsia"/>
                <w:lang w:val="en-US" w:eastAsia="zh-CN"/>
              </w:rPr>
            </w:pP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634" w:type="dxa"/>
            <w:noWrap w:val="0"/>
            <w:tcMar>
              <w:top w:w="16" w:type="dxa"/>
              <w:left w:w="16" w:type="dxa"/>
              <w:right w:w="16" w:type="dxa"/>
            </w:tcMar>
            <w:vAlign w:val="center"/>
          </w:tcPr>
          <w:p>
            <w:pPr>
              <w:pStyle w:val="58"/>
              <w:bidi w:val="0"/>
            </w:pPr>
            <w:r>
              <w:rPr>
                <w:rFonts w:hint="eastAsia"/>
              </w:rPr>
              <w:t>建设单位联系人</w:t>
            </w:r>
          </w:p>
        </w:tc>
        <w:tc>
          <w:tcPr>
            <w:tcW w:w="2512" w:type="dxa"/>
            <w:noWrap w:val="0"/>
            <w:vAlign w:val="center"/>
          </w:tcPr>
          <w:p>
            <w:pPr>
              <w:pStyle w:val="58"/>
              <w:bidi w:val="0"/>
              <w:rPr>
                <w:rFonts w:hint="default"/>
                <w:lang w:val="en-US" w:eastAsia="zh-CN"/>
              </w:rPr>
            </w:pPr>
          </w:p>
        </w:tc>
        <w:tc>
          <w:tcPr>
            <w:tcW w:w="2310" w:type="dxa"/>
            <w:noWrap w:val="0"/>
            <w:vAlign w:val="center"/>
          </w:tcPr>
          <w:p>
            <w:pPr>
              <w:pStyle w:val="58"/>
              <w:bidi w:val="0"/>
            </w:pPr>
          </w:p>
        </w:tc>
        <w:tc>
          <w:tcPr>
            <w:tcW w:w="2583" w:type="dxa"/>
            <w:noWrap w:val="0"/>
            <w:vAlign w:val="center"/>
          </w:tcPr>
          <w:p>
            <w:pPr>
              <w:pStyle w:val="58"/>
              <w:bidi w:val="0"/>
              <w:rPr>
                <w:rFonts w:hint="default"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634" w:type="dxa"/>
            <w:noWrap w:val="0"/>
            <w:tcMar>
              <w:top w:w="16" w:type="dxa"/>
              <w:left w:w="16" w:type="dxa"/>
              <w:right w:w="16" w:type="dxa"/>
            </w:tcMar>
            <w:vAlign w:val="center"/>
          </w:tcPr>
          <w:p>
            <w:pPr>
              <w:pStyle w:val="58"/>
              <w:bidi w:val="0"/>
            </w:pPr>
            <w:r>
              <w:rPr>
                <w:rFonts w:hint="eastAsia"/>
              </w:rPr>
              <w:t>建设地点</w:t>
            </w:r>
          </w:p>
        </w:tc>
        <w:tc>
          <w:tcPr>
            <w:tcW w:w="7405" w:type="dxa"/>
            <w:gridSpan w:val="3"/>
            <w:noWrap w:val="0"/>
            <w:vAlign w:val="center"/>
          </w:tcPr>
          <w:p>
            <w:pPr>
              <w:pStyle w:val="58"/>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634" w:type="dxa"/>
            <w:noWrap w:val="0"/>
            <w:tcMar>
              <w:top w:w="16" w:type="dxa"/>
              <w:left w:w="16" w:type="dxa"/>
              <w:right w:w="16" w:type="dxa"/>
            </w:tcMar>
            <w:vAlign w:val="center"/>
          </w:tcPr>
          <w:p>
            <w:pPr>
              <w:pStyle w:val="58"/>
              <w:bidi w:val="0"/>
            </w:pPr>
            <w:r>
              <w:rPr>
                <w:rFonts w:hint="eastAsia"/>
              </w:rPr>
              <w:t>地理坐标</w:t>
            </w:r>
          </w:p>
        </w:tc>
        <w:tc>
          <w:tcPr>
            <w:tcW w:w="7405" w:type="dxa"/>
            <w:gridSpan w:val="3"/>
            <w:noWrap w:val="0"/>
            <w:vAlign w:val="center"/>
          </w:tcPr>
          <w:p>
            <w:pPr>
              <w:pStyle w:val="58"/>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34" w:type="dxa"/>
            <w:noWrap w:val="0"/>
            <w:tcMar>
              <w:top w:w="16" w:type="dxa"/>
              <w:left w:w="16" w:type="dxa"/>
              <w:right w:w="16" w:type="dxa"/>
            </w:tcMar>
            <w:vAlign w:val="center"/>
          </w:tcPr>
          <w:p>
            <w:pPr>
              <w:pStyle w:val="58"/>
              <w:bidi w:val="0"/>
              <w:rPr>
                <w:color w:val="auto"/>
              </w:rPr>
            </w:pPr>
            <w:r>
              <w:rPr>
                <w:rFonts w:hint="eastAsia"/>
                <w:color w:val="auto"/>
              </w:rPr>
              <w:t>建设项目</w:t>
            </w:r>
          </w:p>
          <w:p>
            <w:pPr>
              <w:pStyle w:val="58"/>
              <w:bidi w:val="0"/>
              <w:rPr>
                <w:color w:val="auto"/>
              </w:rPr>
            </w:pPr>
            <w:r>
              <w:rPr>
                <w:rFonts w:hint="eastAsia"/>
                <w:color w:val="auto"/>
              </w:rPr>
              <w:t>行业类别</w:t>
            </w:r>
          </w:p>
        </w:tc>
        <w:tc>
          <w:tcPr>
            <w:tcW w:w="2512" w:type="dxa"/>
            <w:noWrap w:val="0"/>
            <w:vAlign w:val="center"/>
          </w:tcPr>
          <w:p>
            <w:pPr>
              <w:pStyle w:val="58"/>
              <w:bidi w:val="0"/>
              <w:rPr>
                <w:color w:val="auto"/>
              </w:rPr>
            </w:pPr>
            <w:r>
              <w:rPr>
                <w:rFonts w:hint="default"/>
                <w:color w:val="auto"/>
                <w:lang w:val="en-US" w:eastAsia="zh-CN"/>
              </w:rPr>
              <w:t>四十六、专业技术服务业-99 陆地矿产资源地质勘查（含油气资源勘探）；二氧化碳地质封存-全部</w:t>
            </w:r>
          </w:p>
        </w:tc>
        <w:tc>
          <w:tcPr>
            <w:tcW w:w="2310" w:type="dxa"/>
            <w:noWrap w:val="0"/>
            <w:vAlign w:val="center"/>
          </w:tcPr>
          <w:p>
            <w:pPr>
              <w:pStyle w:val="58"/>
              <w:bidi w:val="0"/>
              <w:rPr>
                <w:color w:val="auto"/>
              </w:rPr>
            </w:pPr>
            <w:r>
              <w:rPr>
                <w:rFonts w:hint="eastAsia"/>
                <w:color w:val="auto"/>
              </w:rPr>
              <w:t>用地（用海）面积（</w:t>
            </w:r>
            <w:r>
              <w:rPr>
                <w:rFonts w:hint="default"/>
                <w:color w:val="auto"/>
              </w:rPr>
              <w:t>m</w:t>
            </w:r>
            <w:r>
              <w:rPr>
                <w:rFonts w:hint="default"/>
                <w:color w:val="auto"/>
                <w:vertAlign w:val="superscript"/>
              </w:rPr>
              <w:t>2</w:t>
            </w:r>
            <w:r>
              <w:rPr>
                <w:rFonts w:hint="eastAsia"/>
                <w:color w:val="auto"/>
              </w:rPr>
              <w:t>）</w:t>
            </w:r>
            <w:r>
              <w:rPr>
                <w:color w:val="auto"/>
              </w:rPr>
              <w:t>/</w:t>
            </w:r>
            <w:r>
              <w:rPr>
                <w:rFonts w:hint="eastAsia"/>
                <w:color w:val="auto"/>
              </w:rPr>
              <w:t>长度（</w:t>
            </w:r>
            <w:r>
              <w:rPr>
                <w:rFonts w:hint="default"/>
                <w:color w:val="auto"/>
              </w:rPr>
              <w:t>km</w:t>
            </w:r>
            <w:r>
              <w:rPr>
                <w:rFonts w:hint="eastAsia"/>
                <w:color w:val="auto"/>
              </w:rPr>
              <w:t>）</w:t>
            </w:r>
          </w:p>
        </w:tc>
        <w:tc>
          <w:tcPr>
            <w:tcW w:w="2583"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临时占地面积为38605m</w:t>
            </w:r>
            <w:r>
              <w:rPr>
                <w:rFonts w:hint="eastAsia"/>
                <w:color w:val="auto"/>
                <w:highlight w:val="none"/>
                <w:vertAlign w:val="superscript"/>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34"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建设性质</w:t>
            </w:r>
          </w:p>
        </w:tc>
        <w:tc>
          <w:tcPr>
            <w:tcW w:w="2512" w:type="dxa"/>
            <w:noWrap w:val="0"/>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新建（迁建）</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□改建</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□扩建</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□技术改造</w:t>
            </w:r>
          </w:p>
        </w:tc>
        <w:tc>
          <w:tcPr>
            <w:tcW w:w="2310" w:type="dxa"/>
            <w:noWrap w:val="0"/>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建设项目</w:t>
            </w:r>
          </w:p>
          <w:p>
            <w:pPr>
              <w:adjustRightInd w:val="0"/>
              <w:snapToGrid w:val="0"/>
              <w:jc w:val="center"/>
              <w:rPr>
                <w:rFonts w:ascii="宋体" w:hAnsi="宋体" w:cs="宋体"/>
                <w:color w:val="auto"/>
                <w:szCs w:val="21"/>
              </w:rPr>
            </w:pPr>
            <w:r>
              <w:rPr>
                <w:rFonts w:hint="eastAsia" w:ascii="宋体" w:hAnsi="宋体" w:cs="宋体"/>
                <w:color w:val="auto"/>
                <w:szCs w:val="21"/>
              </w:rPr>
              <w:t>申报情形</w:t>
            </w:r>
          </w:p>
        </w:tc>
        <w:tc>
          <w:tcPr>
            <w:tcW w:w="2583" w:type="dxa"/>
            <w:noWrap w:val="0"/>
            <w:vAlign w:val="center"/>
          </w:tcPr>
          <w:p>
            <w:pPr>
              <w:adjustRightInd w:val="0"/>
              <w:snapToGrid w:val="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首次申报项目</w:t>
            </w:r>
          </w:p>
          <w:p>
            <w:pPr>
              <w:adjustRightInd w:val="0"/>
              <w:snapToGrid w:val="0"/>
              <w:jc w:val="left"/>
              <w:rPr>
                <w:rFonts w:ascii="宋体" w:hAnsi="宋体" w:cs="宋体"/>
                <w:color w:val="auto"/>
                <w:szCs w:val="21"/>
              </w:rPr>
            </w:pPr>
            <w:r>
              <w:rPr>
                <w:rFonts w:hint="eastAsia" w:ascii="宋体" w:hAnsi="宋体" w:cs="宋体"/>
                <w:color w:val="auto"/>
                <w:szCs w:val="21"/>
              </w:rPr>
              <w:t>□不予批准后再次申报项目</w:t>
            </w:r>
          </w:p>
          <w:p>
            <w:pPr>
              <w:adjustRightInd w:val="0"/>
              <w:snapToGrid w:val="0"/>
              <w:jc w:val="left"/>
              <w:rPr>
                <w:rFonts w:ascii="宋体" w:hAnsi="宋体" w:cs="宋体"/>
                <w:color w:val="auto"/>
                <w:szCs w:val="21"/>
              </w:rPr>
            </w:pPr>
            <w:r>
              <w:rPr>
                <w:rFonts w:hint="eastAsia" w:ascii="宋体" w:hAnsi="宋体" w:cs="宋体"/>
                <w:color w:val="auto"/>
                <w:szCs w:val="21"/>
              </w:rPr>
              <w:t>□超五年重新审核项目</w:t>
            </w:r>
          </w:p>
          <w:p>
            <w:pPr>
              <w:adjustRightInd w:val="0"/>
              <w:snapToGrid w:val="0"/>
              <w:rPr>
                <w:rFonts w:ascii="宋体" w:hAnsi="宋体" w:cs="宋体"/>
                <w:color w:val="auto"/>
                <w:szCs w:val="21"/>
              </w:rPr>
            </w:pPr>
            <w:r>
              <w:rPr>
                <w:rFonts w:hint="eastAsia" w:ascii="宋体" w:hAnsi="宋体" w:cs="宋体"/>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34" w:type="dxa"/>
            <w:noWrap w:val="0"/>
            <w:tcMar>
              <w:top w:w="16" w:type="dxa"/>
              <w:left w:w="16" w:type="dxa"/>
              <w:right w:w="16" w:type="dxa"/>
            </w:tcMar>
            <w:vAlign w:val="center"/>
          </w:tcPr>
          <w:p>
            <w:pPr>
              <w:pStyle w:val="58"/>
              <w:bidi w:val="0"/>
              <w:rPr>
                <w:color w:val="auto"/>
              </w:rPr>
            </w:pPr>
            <w:r>
              <w:rPr>
                <w:rFonts w:hint="eastAsia"/>
                <w:color w:val="auto"/>
              </w:rPr>
              <w:t>项目审批（核准</w:t>
            </w:r>
            <w:r>
              <w:rPr>
                <w:rFonts w:hint="default"/>
                <w:color w:val="auto"/>
              </w:rPr>
              <w:t>/</w:t>
            </w:r>
          </w:p>
          <w:p>
            <w:pPr>
              <w:pStyle w:val="58"/>
              <w:bidi w:val="0"/>
              <w:rPr>
                <w:color w:val="auto"/>
              </w:rPr>
            </w:pPr>
            <w:r>
              <w:rPr>
                <w:rFonts w:hint="eastAsia"/>
                <w:color w:val="auto"/>
              </w:rPr>
              <w:t>备案）部门（选填）</w:t>
            </w:r>
          </w:p>
        </w:tc>
        <w:tc>
          <w:tcPr>
            <w:tcW w:w="2512" w:type="dxa"/>
            <w:noWrap w:val="0"/>
            <w:vAlign w:val="center"/>
          </w:tcPr>
          <w:p>
            <w:pPr>
              <w:pStyle w:val="58"/>
              <w:bidi w:val="0"/>
              <w:rPr>
                <w:color w:val="auto"/>
              </w:rPr>
            </w:pPr>
            <w:r>
              <w:rPr>
                <w:rFonts w:hint="eastAsia"/>
                <w:color w:val="auto"/>
                <w:lang w:val="en-US" w:eastAsia="zh-CN"/>
              </w:rPr>
              <w:t>/</w:t>
            </w:r>
          </w:p>
        </w:tc>
        <w:tc>
          <w:tcPr>
            <w:tcW w:w="2310" w:type="dxa"/>
            <w:noWrap w:val="0"/>
            <w:vAlign w:val="center"/>
          </w:tcPr>
          <w:p>
            <w:pPr>
              <w:pStyle w:val="58"/>
              <w:bidi w:val="0"/>
              <w:rPr>
                <w:color w:val="auto"/>
              </w:rPr>
            </w:pPr>
            <w:r>
              <w:rPr>
                <w:rFonts w:hint="eastAsia"/>
                <w:color w:val="auto"/>
              </w:rPr>
              <w:t>项目审批（核准</w:t>
            </w:r>
            <w:r>
              <w:rPr>
                <w:color w:val="auto"/>
              </w:rPr>
              <w:t>/</w:t>
            </w:r>
          </w:p>
          <w:p>
            <w:pPr>
              <w:pStyle w:val="58"/>
              <w:bidi w:val="0"/>
              <w:rPr>
                <w:color w:val="auto"/>
              </w:rPr>
            </w:pPr>
            <w:r>
              <w:rPr>
                <w:rFonts w:hint="eastAsia"/>
                <w:color w:val="auto"/>
              </w:rPr>
              <w:t>备案）文号（选填）</w:t>
            </w:r>
          </w:p>
        </w:tc>
        <w:tc>
          <w:tcPr>
            <w:tcW w:w="2583" w:type="dxa"/>
            <w:noWrap w:val="0"/>
            <w:vAlign w:val="center"/>
          </w:tcPr>
          <w:p>
            <w:pPr>
              <w:pStyle w:val="58"/>
              <w:bidi w:val="0"/>
              <w:rPr>
                <w:rFonts w:hint="eastAsia"/>
                <w:color w:val="auto"/>
                <w:lang w:val="en-US" w:eastAsia="zh-CN"/>
              </w:rPr>
            </w:pPr>
            <w:r>
              <w:rPr>
                <w:rFonts w:hint="eastAsia"/>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1634"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总投资（万元）</w:t>
            </w:r>
          </w:p>
        </w:tc>
        <w:tc>
          <w:tcPr>
            <w:tcW w:w="2512"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1940</w:t>
            </w:r>
          </w:p>
        </w:tc>
        <w:tc>
          <w:tcPr>
            <w:tcW w:w="2310"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环保投资（万元）</w:t>
            </w:r>
          </w:p>
        </w:tc>
        <w:tc>
          <w:tcPr>
            <w:tcW w:w="2583"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48.5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634"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环保投资占比（</w:t>
            </w:r>
            <w:r>
              <w:rPr>
                <w:rFonts w:hint="default"/>
                <w:color w:val="auto"/>
                <w:highlight w:val="none"/>
              </w:rPr>
              <w:t>%</w:t>
            </w:r>
            <w:r>
              <w:rPr>
                <w:rFonts w:hint="eastAsia"/>
                <w:color w:val="auto"/>
                <w:highlight w:val="none"/>
              </w:rPr>
              <w:t>）</w:t>
            </w:r>
          </w:p>
        </w:tc>
        <w:tc>
          <w:tcPr>
            <w:tcW w:w="2512"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2.5</w:t>
            </w:r>
          </w:p>
        </w:tc>
        <w:tc>
          <w:tcPr>
            <w:tcW w:w="2310"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施工工期</w:t>
            </w:r>
          </w:p>
        </w:tc>
        <w:tc>
          <w:tcPr>
            <w:tcW w:w="2583"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30天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1634" w:type="dxa"/>
            <w:noWrap w:val="0"/>
            <w:tcMar>
              <w:top w:w="16" w:type="dxa"/>
              <w:left w:w="16" w:type="dxa"/>
              <w:right w:w="16" w:type="dxa"/>
            </w:tcMar>
            <w:vAlign w:val="center"/>
          </w:tcPr>
          <w:p>
            <w:pPr>
              <w:pStyle w:val="58"/>
              <w:bidi w:val="0"/>
            </w:pPr>
            <w:r>
              <w:rPr>
                <w:rFonts w:hint="eastAsia"/>
              </w:rPr>
              <w:t>是否开工建设</w:t>
            </w:r>
          </w:p>
        </w:tc>
        <w:tc>
          <w:tcPr>
            <w:tcW w:w="7405" w:type="dxa"/>
            <w:gridSpan w:val="3"/>
            <w:noWrap w:val="0"/>
            <w:vAlign w:val="center"/>
          </w:tcPr>
          <w:p>
            <w:pPr>
              <w:adjustRightInd w:val="0"/>
              <w:snapToGrid w:val="0"/>
              <w:ind w:firstLine="105"/>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否</w:t>
            </w:r>
          </w:p>
          <w:p>
            <w:pPr>
              <w:adjustRightInd w:val="0"/>
              <w:snapToGrid w:val="0"/>
              <w:ind w:firstLine="92"/>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是：</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634" w:type="dxa"/>
            <w:noWrap w:val="0"/>
            <w:tcMar>
              <w:top w:w="16" w:type="dxa"/>
              <w:left w:w="16" w:type="dxa"/>
              <w:right w:w="16" w:type="dxa"/>
            </w:tcMar>
            <w:vAlign w:val="center"/>
          </w:tcPr>
          <w:p>
            <w:pPr>
              <w:pStyle w:val="58"/>
              <w:bidi w:val="0"/>
            </w:pPr>
            <w:r>
              <w:rPr>
                <w:rFonts w:hint="eastAsia"/>
              </w:rPr>
              <w:t>专项评价设置情况</w:t>
            </w:r>
          </w:p>
        </w:tc>
        <w:tc>
          <w:tcPr>
            <w:tcW w:w="7405" w:type="dxa"/>
            <w:gridSpan w:val="3"/>
            <w:noWrap w:val="0"/>
            <w:tcMar>
              <w:top w:w="16" w:type="dxa"/>
              <w:left w:w="16" w:type="dxa"/>
              <w:right w:w="16" w:type="dxa"/>
            </w:tcMar>
            <w:vAlign w:val="center"/>
          </w:tcPr>
          <w:p>
            <w:pPr>
              <w:pStyle w:val="54"/>
              <w:bidi w:val="0"/>
              <w:rPr>
                <w:rFonts w:hint="eastAsia" w:ascii="宋体" w:hAnsi="宋体" w:eastAsia="宋体" w:cs="宋体"/>
                <w:kern w:val="0"/>
                <w:szCs w:val="21"/>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trPr>
        <w:tc>
          <w:tcPr>
            <w:tcW w:w="1634" w:type="dxa"/>
            <w:noWrap w:val="0"/>
            <w:tcMar>
              <w:top w:w="16" w:type="dxa"/>
              <w:left w:w="16" w:type="dxa"/>
              <w:right w:w="16" w:type="dxa"/>
            </w:tcMar>
            <w:vAlign w:val="center"/>
          </w:tcPr>
          <w:p>
            <w:pPr>
              <w:pStyle w:val="58"/>
              <w:bidi w:val="0"/>
            </w:pPr>
            <w:r>
              <w:rPr>
                <w:rFonts w:hint="eastAsia"/>
              </w:rPr>
              <w:t>规划情况</w:t>
            </w:r>
          </w:p>
        </w:tc>
        <w:tc>
          <w:tcPr>
            <w:tcW w:w="7405" w:type="dxa"/>
            <w:gridSpan w:val="3"/>
            <w:noWrap w:val="0"/>
            <w:tcMar>
              <w:top w:w="16" w:type="dxa"/>
              <w:left w:w="16" w:type="dxa"/>
              <w:right w:w="16" w:type="dxa"/>
            </w:tcMar>
            <w:vAlign w:val="center"/>
          </w:tcPr>
          <w:p>
            <w:pPr>
              <w:pStyle w:val="67"/>
              <w:rPr>
                <w:rFonts w:hint="eastAsia" w:eastAsia="宋体"/>
                <w:lang w:eastAsia="zh-CN"/>
              </w:rPr>
            </w:pPr>
            <w:r>
              <w:rPr>
                <w:rFonts w:hint="eastAsia"/>
              </w:rPr>
              <w:t>规划名称：《新疆维吾尔自治区矿产资源总体规划（2021</w:t>
            </w:r>
            <w:r>
              <w:rPr>
                <w:rFonts w:hint="eastAsia"/>
                <w:lang w:val="en-US" w:eastAsia="zh-CN"/>
              </w:rPr>
              <w:t>—</w:t>
            </w:r>
            <w:r>
              <w:rPr>
                <w:rFonts w:hint="eastAsia"/>
              </w:rPr>
              <w:t>2025年）》</w:t>
            </w:r>
            <w:r>
              <w:rPr>
                <w:rFonts w:hint="eastAsia"/>
                <w:lang w:eastAsia="zh-CN"/>
              </w:rPr>
              <w:t>；</w:t>
            </w:r>
          </w:p>
          <w:p>
            <w:pPr>
              <w:pStyle w:val="67"/>
              <w:rPr>
                <w:rFonts w:hint="eastAsia" w:eastAsia="宋体"/>
                <w:lang w:eastAsia="zh-CN"/>
              </w:rPr>
            </w:pPr>
            <w:r>
              <w:rPr>
                <w:rFonts w:hint="eastAsia"/>
              </w:rPr>
              <w:t>审批机关：自然资源部</w:t>
            </w:r>
            <w:r>
              <w:rPr>
                <w:rFonts w:hint="eastAsia"/>
                <w:lang w:eastAsia="zh-CN"/>
              </w:rPr>
              <w:t>；</w:t>
            </w:r>
          </w:p>
          <w:p>
            <w:pPr>
              <w:pStyle w:val="67"/>
              <w:rPr>
                <w:rFonts w:hint="eastAsia"/>
              </w:rPr>
            </w:pPr>
            <w:r>
              <w:rPr>
                <w:rFonts w:hint="eastAsia"/>
              </w:rPr>
              <w:t>审批文件名称及文号：《关于〈新疆维吾尔自治区矿产资源总体规划（2021</w:t>
            </w:r>
            <w:r>
              <w:rPr>
                <w:rFonts w:hint="eastAsia"/>
                <w:lang w:eastAsia="zh-CN"/>
              </w:rPr>
              <w:t>—</w:t>
            </w:r>
            <w:r>
              <w:rPr>
                <w:rFonts w:hint="eastAsia"/>
              </w:rPr>
              <w:t>2025年）〉的审查意见》</w:t>
            </w:r>
            <w:r>
              <w:rPr>
                <w:rFonts w:hint="eastAsia"/>
                <w:lang w:eastAsia="zh-CN"/>
              </w:rPr>
              <w:t>（</w:t>
            </w:r>
            <w:r>
              <w:rPr>
                <w:rFonts w:hint="eastAsia"/>
              </w:rPr>
              <w:t>自然资函〔2022〕1092号</w:t>
            </w:r>
            <w:r>
              <w:rPr>
                <w:rFonts w:hint="eastAsia"/>
                <w:lang w:eastAsia="zh-CN"/>
              </w:rPr>
              <w:t>）；</w:t>
            </w:r>
          </w:p>
          <w:p>
            <w:pPr>
              <w:pStyle w:val="67"/>
              <w:rPr>
                <w:rFonts w:hint="eastAsia" w:eastAsia="宋体"/>
                <w:lang w:eastAsia="zh-CN"/>
              </w:rPr>
            </w:pPr>
            <w:r>
              <w:rPr>
                <w:rFonts w:hint="eastAsia"/>
              </w:rPr>
              <w:t>规划名称：《巴音郭楞蒙古自治州矿产资源总体规划（2021</w:t>
            </w:r>
            <w:r>
              <w:rPr>
                <w:rFonts w:hint="eastAsia"/>
                <w:lang w:eastAsia="zh-CN"/>
              </w:rPr>
              <w:t>—</w:t>
            </w:r>
            <w:r>
              <w:rPr>
                <w:rFonts w:hint="eastAsia"/>
              </w:rPr>
              <w:t>2025年）》</w:t>
            </w:r>
            <w:r>
              <w:rPr>
                <w:rFonts w:hint="eastAsia"/>
                <w:lang w:eastAsia="zh-CN"/>
              </w:rPr>
              <w:t>；</w:t>
            </w:r>
          </w:p>
          <w:p>
            <w:pPr>
              <w:pStyle w:val="67"/>
              <w:rPr>
                <w:rFonts w:hint="eastAsia" w:eastAsia="宋体"/>
                <w:color w:val="auto"/>
                <w:highlight w:val="none"/>
                <w:lang w:val="en-US" w:eastAsia="zh-CN"/>
              </w:rPr>
            </w:pPr>
            <w:r>
              <w:rPr>
                <w:rFonts w:hint="eastAsia"/>
              </w:rPr>
              <w:t>审批机关：巴州人民政府</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8" w:hRule="atLeast"/>
        </w:trPr>
        <w:tc>
          <w:tcPr>
            <w:tcW w:w="1634" w:type="dxa"/>
            <w:noWrap w:val="0"/>
            <w:tcMar>
              <w:top w:w="16" w:type="dxa"/>
              <w:left w:w="16" w:type="dxa"/>
              <w:right w:w="16" w:type="dxa"/>
            </w:tcMar>
            <w:vAlign w:val="center"/>
          </w:tcPr>
          <w:p>
            <w:pPr>
              <w:pStyle w:val="58"/>
              <w:bidi w:val="0"/>
            </w:pPr>
            <w:r>
              <w:rPr>
                <w:rFonts w:hint="eastAsia"/>
              </w:rPr>
              <w:t>规划环境影响</w:t>
            </w:r>
          </w:p>
          <w:p>
            <w:pPr>
              <w:pStyle w:val="58"/>
              <w:bidi w:val="0"/>
            </w:pPr>
            <w:r>
              <w:rPr>
                <w:rFonts w:hint="eastAsia"/>
              </w:rPr>
              <w:t>评价情况</w:t>
            </w:r>
          </w:p>
        </w:tc>
        <w:tc>
          <w:tcPr>
            <w:tcW w:w="7405" w:type="dxa"/>
            <w:gridSpan w:val="3"/>
            <w:noWrap w:val="0"/>
            <w:tcMar>
              <w:top w:w="16" w:type="dxa"/>
              <w:left w:w="16" w:type="dxa"/>
              <w:right w:w="16" w:type="dxa"/>
            </w:tcMar>
            <w:vAlign w:val="center"/>
          </w:tcPr>
          <w:p>
            <w:pPr>
              <w:pStyle w:val="67"/>
              <w:jc w:val="left"/>
              <w:rPr>
                <w:rFonts w:hint="eastAsia" w:eastAsia="宋体"/>
                <w:lang w:eastAsia="zh-CN"/>
              </w:rPr>
            </w:pPr>
            <w:r>
              <w:rPr>
                <w:rFonts w:hint="eastAsia"/>
              </w:rPr>
              <w:t>规划环评文件名称：《新疆维吾尔自治区矿产资源总体规划（2021</w:t>
            </w:r>
            <w:r>
              <w:rPr>
                <w:rFonts w:hint="eastAsia"/>
                <w:lang w:eastAsia="zh-CN"/>
              </w:rPr>
              <w:t>—</w:t>
            </w:r>
            <w:r>
              <w:rPr>
                <w:rFonts w:hint="eastAsia"/>
              </w:rPr>
              <w:t>2025年）环境影响报告书》</w:t>
            </w:r>
            <w:r>
              <w:rPr>
                <w:rFonts w:hint="eastAsia"/>
                <w:lang w:eastAsia="zh-CN"/>
              </w:rPr>
              <w:t>；</w:t>
            </w:r>
          </w:p>
          <w:p>
            <w:pPr>
              <w:pStyle w:val="67"/>
              <w:jc w:val="left"/>
              <w:rPr>
                <w:rFonts w:hint="eastAsia" w:eastAsia="宋体"/>
                <w:lang w:eastAsia="zh-CN"/>
              </w:rPr>
            </w:pPr>
            <w:r>
              <w:rPr>
                <w:rFonts w:hint="eastAsia"/>
              </w:rPr>
              <w:t>审查机关：生态环境部</w:t>
            </w:r>
            <w:r>
              <w:rPr>
                <w:rFonts w:hint="eastAsia"/>
                <w:lang w:eastAsia="zh-CN"/>
              </w:rPr>
              <w:t>；</w:t>
            </w:r>
          </w:p>
          <w:p>
            <w:pPr>
              <w:pStyle w:val="58"/>
              <w:bidi w:val="0"/>
              <w:jc w:val="left"/>
              <w:rPr>
                <w:rFonts w:hint="default"/>
                <w:lang w:eastAsia="zh-CN"/>
              </w:rPr>
            </w:pPr>
            <w:r>
              <w:rPr>
                <w:rFonts w:hint="eastAsia"/>
              </w:rPr>
              <w:t>审查文件名称及文号：《关于〈新疆维吾尔自治区矿产资源总体规划（2021—2025年）环境影响报告书〉的审查意见》</w:t>
            </w:r>
            <w:r>
              <w:rPr>
                <w:rFonts w:hint="eastAsia"/>
                <w:lang w:eastAsia="zh-CN"/>
              </w:rPr>
              <w:t>（</w:t>
            </w:r>
            <w:r>
              <w:rPr>
                <w:rFonts w:hint="eastAsia"/>
              </w:rPr>
              <w:t>环审〔2022〕124号</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55" w:hRule="atLeast"/>
        </w:trPr>
        <w:tc>
          <w:tcPr>
            <w:tcW w:w="1634" w:type="dxa"/>
            <w:noWrap w:val="0"/>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w:t>
            </w:r>
            <w:r>
              <w:rPr>
                <w:rFonts w:hint="eastAsia" w:ascii="宋体" w:hAnsi="宋体" w:cs="宋体"/>
                <w:szCs w:val="21"/>
              </w:rPr>
              <w:t>规划环境影响评价</w:t>
            </w:r>
            <w:r>
              <w:rPr>
                <w:rFonts w:hint="eastAsia" w:ascii="宋体" w:hAnsi="宋体" w:cs="宋体"/>
                <w:kern w:val="0"/>
                <w:szCs w:val="21"/>
              </w:rPr>
              <w:t>符合性分析</w:t>
            </w:r>
          </w:p>
        </w:tc>
        <w:tc>
          <w:tcPr>
            <w:tcW w:w="7405" w:type="dxa"/>
            <w:gridSpan w:val="3"/>
            <w:noWrap w:val="0"/>
            <w:tcMar>
              <w:top w:w="16" w:type="dxa"/>
              <w:left w:w="16" w:type="dxa"/>
              <w:right w:w="16" w:type="dxa"/>
            </w:tcMar>
            <w:vAlign w:val="center"/>
          </w:tcPr>
          <w:p>
            <w:pPr>
              <w:pStyle w:val="56"/>
              <w:bidi w:val="0"/>
              <w:rPr>
                <w:rFonts w:hint="default"/>
                <w:lang w:val="en-US" w:eastAsia="zh-CN"/>
              </w:rPr>
            </w:pPr>
            <w:r>
              <w:rPr>
                <w:rFonts w:hint="default"/>
                <w:lang w:val="en-US" w:eastAsia="zh-CN"/>
              </w:rPr>
              <w:t>表1-1</w:t>
            </w:r>
            <w:r>
              <w:rPr>
                <w:rFonts w:hint="eastAsia"/>
                <w:lang w:val="en-US" w:eastAsia="zh-CN"/>
              </w:rPr>
              <w:t xml:space="preserve">    本</w:t>
            </w:r>
            <w:r>
              <w:rPr>
                <w:rFonts w:hint="default"/>
                <w:lang w:val="en-US" w:eastAsia="zh-CN"/>
              </w:rPr>
              <w:t>项目与《新疆维吾尔自治区矿产资源总体规划（2021—2025年）》相符性分析</w:t>
            </w:r>
          </w:p>
          <w:tbl>
            <w:tblPr>
              <w:tblStyle w:val="2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4"/>
              <w:gridCol w:w="270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2654" w:type="pct"/>
                  <w:noWrap w:val="0"/>
                  <w:vAlign w:val="center"/>
                </w:tcPr>
                <w:p>
                  <w:pPr>
                    <w:pStyle w:val="58"/>
                    <w:bidi w:val="0"/>
                    <w:rPr>
                      <w:rFonts w:hint="default"/>
                      <w:lang w:eastAsia="zh-CN"/>
                    </w:rPr>
                  </w:pPr>
                  <w:r>
                    <w:rPr>
                      <w:rFonts w:hint="default"/>
                      <w:lang w:eastAsia="zh-CN"/>
                    </w:rPr>
                    <w:t>规划内容</w:t>
                  </w:r>
                </w:p>
              </w:tc>
              <w:tc>
                <w:tcPr>
                  <w:tcW w:w="1874" w:type="pct"/>
                  <w:noWrap w:val="0"/>
                  <w:vAlign w:val="center"/>
                </w:tcPr>
                <w:p>
                  <w:pPr>
                    <w:pStyle w:val="58"/>
                    <w:bidi w:val="0"/>
                    <w:rPr>
                      <w:rFonts w:hint="default"/>
                      <w:lang w:eastAsia="zh-CN"/>
                    </w:rPr>
                  </w:pPr>
                  <w:r>
                    <w:rPr>
                      <w:rFonts w:hint="default"/>
                      <w:lang w:eastAsia="zh-CN"/>
                    </w:rPr>
                    <w:t>本项目情况</w:t>
                  </w:r>
                </w:p>
              </w:tc>
              <w:tc>
                <w:tcPr>
                  <w:tcW w:w="471" w:type="pct"/>
                  <w:noWrap w:val="0"/>
                  <w:vAlign w:val="center"/>
                </w:tcPr>
                <w:p>
                  <w:pPr>
                    <w:pStyle w:val="58"/>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2" w:hRule="atLeast"/>
                <w:jc w:val="center"/>
              </w:trPr>
              <w:tc>
                <w:tcPr>
                  <w:tcW w:w="265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lang w:val="en-US" w:eastAsia="zh-CN"/>
                    </w:rPr>
                    <w:t>落实国家能源资源安全战略，结合新疆实际，合理确定重点、限制、禁止勘查开采矿种</w:t>
                  </w:r>
                  <w:r>
                    <w:rPr>
                      <w:rFonts w:hint="eastAsia"/>
                      <w:lang w:val="en-US" w:eastAsia="zh-CN"/>
                    </w:rPr>
                    <w:t>。</w:t>
                  </w:r>
                  <w:r>
                    <w:rPr>
                      <w:rFonts w:hint="default"/>
                      <w:lang w:val="en-US" w:eastAsia="zh-CN"/>
                    </w:rPr>
                    <w:t>重点勘查开采矿种：石油、天然气、页岩气、煤层气、煤、地热等能源矿产，铁、铬、锰、铜、镍、钴、铅锌、金、锂、铍、钒、钛等金属矿产，以及钾盐、萤石、硅质原料等非金属矿产。限制开采矿种：砖瓦用粘土等矿产，严格控制钨、稀土等特定保护性开采矿产。</w:t>
                  </w:r>
                  <w:r>
                    <w:rPr>
                      <w:rFonts w:hint="eastAsia"/>
                      <w:lang w:val="en-US" w:eastAsia="zh-CN"/>
                    </w:rPr>
                    <w:t>“</w:t>
                  </w:r>
                  <w:r>
                    <w:rPr>
                      <w:rFonts w:hint="default"/>
                      <w:lang w:val="en-US" w:eastAsia="zh-CN"/>
                    </w:rPr>
                    <w:t>限粘</w:t>
                  </w:r>
                  <w:r>
                    <w:rPr>
                      <w:rFonts w:hint="eastAsia"/>
                      <w:lang w:val="en-US" w:eastAsia="zh-CN"/>
                    </w:rPr>
                    <w:t>”</w:t>
                  </w:r>
                  <w:r>
                    <w:rPr>
                      <w:rFonts w:hint="default"/>
                      <w:lang w:val="en-US" w:eastAsia="zh-CN"/>
                    </w:rPr>
                    <w:t>县市禁止新设砖瓦用粘土采矿权。限制开采矿种，除严格矿业权人准入条件外，应论证资源供需形势，对开采总量进行调控，同时严格资源环境承载力论证，保护环境。合理控制国家规定实行保护性开采的特定矿种开采强度。禁止开采矿种：禁止开采砷和放射性等有毒有害物质超过规定标准的煤炭项目，砂铁、汞、可耕地砖瓦用粘土等矿产。除和田地区外其他地区禁止新设砂金开采项目，严格砂金开发项目环境影响评价。</w:t>
                  </w:r>
                </w:p>
              </w:tc>
              <w:tc>
                <w:tcPr>
                  <w:tcW w:w="187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rPr>
                    <w:t>本</w:t>
                  </w:r>
                  <w:r>
                    <w:rPr>
                      <w:rFonts w:hint="default"/>
                      <w:color w:val="auto"/>
                    </w:rPr>
                    <w:t>次地质</w:t>
                  </w:r>
                  <w:r>
                    <w:rPr>
                      <w:rFonts w:hint="eastAsia"/>
                      <w:color w:val="auto"/>
                      <w:lang w:val="en-US" w:eastAsia="zh-CN"/>
                    </w:rPr>
                    <w:t>勘探</w:t>
                  </w:r>
                  <w:r>
                    <w:rPr>
                      <w:rFonts w:hint="default"/>
                      <w:color w:val="auto"/>
                    </w:rPr>
                    <w:t>工作主要针对</w:t>
                  </w:r>
                  <w:r>
                    <w:rPr>
                      <w:rFonts w:hint="eastAsia"/>
                      <w:i w:val="0"/>
                      <w:iCs w:val="0"/>
                      <w:color w:val="auto"/>
                      <w:highlight w:val="none"/>
                      <w:lang w:val="en-US" w:eastAsia="zh-CN"/>
                    </w:rPr>
                    <w:t>铜多金属</w:t>
                  </w:r>
                  <w:r>
                    <w:rPr>
                      <w:rFonts w:hint="default"/>
                      <w:i w:val="0"/>
                      <w:iCs w:val="0"/>
                      <w:color w:val="auto"/>
                      <w:highlight w:val="none"/>
                      <w:lang w:val="en-US" w:eastAsia="zh-CN"/>
                    </w:rPr>
                    <w:t>矿</w:t>
                  </w:r>
                  <w:r>
                    <w:rPr>
                      <w:rFonts w:hint="default"/>
                      <w:color w:val="auto"/>
                    </w:rPr>
                    <w:t>进行勘查，</w:t>
                  </w:r>
                  <w:r>
                    <w:rPr>
                      <w:rFonts w:hint="eastAsia"/>
                      <w:color w:val="auto"/>
                      <w:lang w:val="en-US" w:eastAsia="zh-CN"/>
                    </w:rPr>
                    <w:t>属于重点勘查开采矿种</w:t>
                  </w:r>
                  <w:r>
                    <w:rPr>
                      <w:rFonts w:hint="default"/>
                      <w:color w:val="auto"/>
                      <w:lang w:eastAsia="zh-CN"/>
                    </w:rPr>
                    <w:t>，</w:t>
                  </w:r>
                  <w:r>
                    <w:rPr>
                      <w:rFonts w:hint="default"/>
                      <w:color w:val="auto"/>
                    </w:rPr>
                    <w:t>符合</w:t>
                  </w:r>
                  <w:r>
                    <w:rPr>
                      <w:rFonts w:hint="eastAsia"/>
                      <w:color w:val="auto"/>
                      <w:lang w:eastAsia="zh-CN"/>
                    </w:rPr>
                    <w:t>《</w:t>
                  </w:r>
                  <w:r>
                    <w:rPr>
                      <w:rFonts w:hint="default"/>
                      <w:color w:val="auto"/>
                    </w:rPr>
                    <w:t>新疆维吾尔自治区矿产资源总体规划（2021</w:t>
                  </w:r>
                  <w:r>
                    <w:rPr>
                      <w:rFonts w:hint="eastAsia"/>
                      <w:color w:val="auto"/>
                      <w:lang w:eastAsia="zh-CN"/>
                    </w:rPr>
                    <w:t>—</w:t>
                  </w:r>
                  <w:r>
                    <w:rPr>
                      <w:rFonts w:hint="default"/>
                      <w:color w:val="auto"/>
                    </w:rPr>
                    <w:t>2025年）</w:t>
                  </w:r>
                  <w:r>
                    <w:rPr>
                      <w:rFonts w:hint="eastAsia"/>
                      <w:color w:val="auto"/>
                      <w:lang w:eastAsia="zh-CN"/>
                    </w:rPr>
                    <w:t>》</w:t>
                  </w:r>
                  <w:r>
                    <w:rPr>
                      <w:rFonts w:hint="eastAsia"/>
                      <w:color w:val="auto"/>
                      <w:lang w:val="en-US" w:eastAsia="zh-CN"/>
                    </w:rPr>
                    <w:t>中的规</w:t>
                  </w:r>
                  <w:r>
                    <w:rPr>
                      <w:rFonts w:hint="eastAsia"/>
                      <w:lang w:val="en-US" w:eastAsia="zh-CN"/>
                    </w:rPr>
                    <w:t>划要求</w:t>
                  </w:r>
                  <w:r>
                    <w:rPr>
                      <w:rFonts w:hint="default"/>
                    </w:rPr>
                    <w:t>。</w:t>
                  </w:r>
                </w:p>
              </w:tc>
              <w:tc>
                <w:tcPr>
                  <w:tcW w:w="471" w:type="pct"/>
                  <w:noWrap w:val="0"/>
                  <w:vAlign w:val="center"/>
                </w:tcPr>
                <w:p>
                  <w:pPr>
                    <w:pStyle w:val="58"/>
                    <w:bidi w:val="0"/>
                    <w:rPr>
                      <w:rFonts w:hint="default"/>
                      <w:lang w:eastAsia="zh-CN"/>
                    </w:rPr>
                  </w:pPr>
                  <w:r>
                    <w:rPr>
                      <w:rFonts w:hint="default"/>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65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default"/>
                    </w:rPr>
                    <w:t>东昆仑—阿尔金黑色、有色、稀有及非金属勘查开发区。以铁、金、锑、稀有金属、萤石、石英岩等矿产资源勘查开发为主。加大若羌喀拉大湾—且末迪木那里克铁矿、若羌卡尔恰尔—皮亚孜达坂萤石矿、吐格曼—瓦石峡稀有金属矿、托盖里克—古尔嘎一带石英岩矿、民丰屈库勒克—黄羊岭金锑矿等矿区勘查开发，提交大中型矿产地8-10处，新增金资源量20吨、锑10万吨、锂20万吨、铍2000吨、萤石1000万吨、硅质原料8000万吨。尽快形成一批铁、金、锑、萤石、石英岩矿山产能，打造若羌国家级氟化工产业集群。</w:t>
                  </w:r>
                </w:p>
              </w:tc>
              <w:tc>
                <w:tcPr>
                  <w:tcW w:w="187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cs="Times New Roman"/>
                      <w:sz w:val="21"/>
                      <w:szCs w:val="21"/>
                      <w:highlight w:val="none"/>
                      <w:lang w:val="en-US" w:eastAsia="zh-CN"/>
                    </w:rPr>
                    <w:t>本项目为铜多金属矿地质勘探项目，主要目的是探明勘探区的资源储量，为后期的开发规划提供依据。符合《新疆维吾尔自治区矿产资源总体规划（2021-2025）》中的相关要求。</w:t>
                  </w:r>
                </w:p>
              </w:tc>
              <w:tc>
                <w:tcPr>
                  <w:tcW w:w="471" w:type="pct"/>
                  <w:noWrap w:val="0"/>
                  <w:vAlign w:val="center"/>
                </w:tcPr>
                <w:p>
                  <w:pPr>
                    <w:pStyle w:val="58"/>
                    <w:bidi w:val="0"/>
                    <w:rPr>
                      <w:rFonts w:hint="default"/>
                    </w:rPr>
                  </w:pPr>
                  <w:r>
                    <w:rPr>
                      <w:rFonts w:hint="default"/>
                      <w:lang w:eastAsia="zh-CN"/>
                    </w:rPr>
                    <w:t>符合</w:t>
                  </w:r>
                </w:p>
              </w:tc>
            </w:tr>
          </w:tbl>
          <w:p>
            <w:pPr>
              <w:pStyle w:val="56"/>
              <w:bidi w:val="0"/>
              <w:rPr>
                <w:rFonts w:hint="default"/>
                <w:lang w:val="en-US" w:eastAsia="zh-CN"/>
              </w:rPr>
            </w:pPr>
            <w:r>
              <w:rPr>
                <w:rFonts w:hint="default"/>
                <w:lang w:val="en-US" w:eastAsia="zh-CN"/>
              </w:rPr>
              <w:t>表1-</w:t>
            </w:r>
            <w:r>
              <w:rPr>
                <w:rFonts w:hint="eastAsia"/>
                <w:lang w:val="en-US" w:eastAsia="zh-CN"/>
              </w:rPr>
              <w:t>2  本</w:t>
            </w:r>
            <w:r>
              <w:rPr>
                <w:rFonts w:hint="default"/>
                <w:lang w:val="en-US" w:eastAsia="zh-CN"/>
              </w:rPr>
              <w:t>项目与《巴音郭楞蒙古自治州矿产资源总体规划（2021</w:t>
            </w:r>
            <w:r>
              <w:rPr>
                <w:rFonts w:hint="eastAsia"/>
                <w:lang w:val="en-US" w:eastAsia="zh-CN"/>
              </w:rPr>
              <w:t>—</w:t>
            </w:r>
            <w:r>
              <w:rPr>
                <w:rFonts w:hint="default"/>
                <w:lang w:val="en-US" w:eastAsia="zh-CN"/>
              </w:rPr>
              <w:t>2025年）》相符性分析</w:t>
            </w:r>
          </w:p>
          <w:tbl>
            <w:tblPr>
              <w:tblStyle w:val="2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270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8" w:type="pct"/>
                  <w:noWrap w:val="0"/>
                  <w:vAlign w:val="center"/>
                </w:tcPr>
                <w:p>
                  <w:pPr>
                    <w:pStyle w:val="58"/>
                    <w:bidi w:val="0"/>
                    <w:rPr>
                      <w:rFonts w:hint="default"/>
                      <w:lang w:eastAsia="zh-CN"/>
                    </w:rPr>
                  </w:pPr>
                  <w:r>
                    <w:rPr>
                      <w:rFonts w:hint="default"/>
                      <w:lang w:eastAsia="zh-CN"/>
                    </w:rPr>
                    <w:t>规划内容</w:t>
                  </w:r>
                </w:p>
              </w:tc>
              <w:tc>
                <w:tcPr>
                  <w:tcW w:w="1870" w:type="pct"/>
                  <w:noWrap w:val="0"/>
                  <w:vAlign w:val="center"/>
                </w:tcPr>
                <w:p>
                  <w:pPr>
                    <w:pStyle w:val="58"/>
                    <w:bidi w:val="0"/>
                    <w:rPr>
                      <w:rFonts w:hint="default"/>
                      <w:lang w:eastAsia="zh-CN"/>
                    </w:rPr>
                  </w:pPr>
                  <w:r>
                    <w:rPr>
                      <w:rFonts w:hint="default"/>
                      <w:lang w:eastAsia="zh-CN"/>
                    </w:rPr>
                    <w:t>本项目情况</w:t>
                  </w:r>
                </w:p>
              </w:tc>
              <w:tc>
                <w:tcPr>
                  <w:tcW w:w="470" w:type="pct"/>
                  <w:noWrap w:val="0"/>
                  <w:vAlign w:val="center"/>
                </w:tcPr>
                <w:p>
                  <w:pPr>
                    <w:pStyle w:val="58"/>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矿区生态保护修复：坚持尊重自然、顺应自然、保护自然，坚持节约优先、保护优先、自然恢复为主，把生态地质环境保护放在优先位置，推进矿产资源绿色勘查开发，最大限度减少对地质环境的破坏。</w:t>
                  </w:r>
                </w:p>
              </w:tc>
              <w:tc>
                <w:tcPr>
                  <w:tcW w:w="1870"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eastAsia="宋体"/>
                      <w:lang w:val="en-US" w:eastAsia="zh-CN"/>
                    </w:rPr>
                  </w:pPr>
                  <w:r>
                    <w:rPr>
                      <w:rFonts w:hint="default"/>
                      <w:lang w:val="en-US" w:eastAsia="zh-CN"/>
                    </w:rPr>
                    <w:t>本次地质</w:t>
                  </w:r>
                  <w:r>
                    <w:rPr>
                      <w:rFonts w:hint="eastAsia"/>
                      <w:lang w:val="en-US" w:eastAsia="zh-CN"/>
                    </w:rPr>
                    <w:t>勘探</w:t>
                  </w:r>
                  <w:r>
                    <w:rPr>
                      <w:rFonts w:hint="default"/>
                      <w:lang w:val="en-US" w:eastAsia="zh-CN"/>
                    </w:rPr>
                    <w:t>工作</w:t>
                  </w:r>
                  <w:r>
                    <w:rPr>
                      <w:rFonts w:hint="eastAsia"/>
                      <w:lang w:val="en-US" w:eastAsia="zh-CN"/>
                    </w:rPr>
                    <w:t>严格管控道路、场地、驻地及施工各环节。在满足地质勘查目的前提下，实现对地质环境的破坏最小化。项目施工时，剥离表土临时堆放，待项目结束后进行表土回填及植被恢复，尽可能地恢复施工迹地原有使用功能。</w:t>
                  </w:r>
                </w:p>
              </w:tc>
              <w:tc>
                <w:tcPr>
                  <w:tcW w:w="470" w:type="pct"/>
                  <w:noWrap w:val="0"/>
                  <w:vAlign w:val="center"/>
                </w:tcPr>
                <w:p>
                  <w:pPr>
                    <w:pStyle w:val="58"/>
                    <w:bidi w:val="0"/>
                    <w:rPr>
                      <w:rFonts w:hint="default"/>
                      <w:lang w:eastAsia="zh-CN"/>
                    </w:rPr>
                  </w:pPr>
                  <w:r>
                    <w:rPr>
                      <w:rFonts w:hint="default"/>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eastAsia="宋体"/>
                      <w:lang w:val="en-US" w:eastAsia="zh-CN"/>
                    </w:rPr>
                  </w:pPr>
                  <w:r>
                    <w:rPr>
                      <w:rFonts w:hint="eastAsia"/>
                      <w:lang w:val="en-US" w:eastAsia="zh-CN"/>
                    </w:rPr>
                    <w:t>勘查项目要严格按照《绿色地质勘查工作规范》要求，将绿色勘查理念贯穿于地质勘查项目设计、实施、验收全过程，利用先进成熟的绿色勘查新理论、新方法、新技术、新工艺开展地质勘查。大力推广遥感、物探、浅钻(以钻代槽)等绿色勘查技术，鼓励采用组合式、便捷式钻探设备，减少使用对植被破坏较大的槽探、坑探、井探等勘查手段，减轻勘查活动对生态环境的扰动。总结绿色勘查实施成效及经验，形成可复制、能推广的绿色勘查新模式、新机制、新制度；积极申报绿色勘查示范项目，促进地质勘查和生态保护协调发展。</w:t>
                  </w:r>
                </w:p>
              </w:tc>
              <w:tc>
                <w:tcPr>
                  <w:tcW w:w="1870"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default" w:ascii="Times New Roman" w:hAnsi="Times New Roman" w:eastAsia="宋体" w:cs="Times New Roman"/>
                      <w:sz w:val="21"/>
                      <w:szCs w:val="21"/>
                      <w:highlight w:val="none"/>
                      <w:lang w:val="zh-CN" w:eastAsia="zh-CN"/>
                    </w:rPr>
                    <w:t>本项目按照《绿色地质勘查工作规范》要求，</w:t>
                  </w:r>
                  <w:r>
                    <w:rPr>
                      <w:rFonts w:hint="default" w:ascii="Times New Roman" w:hAnsi="Times New Roman" w:eastAsia="宋体" w:cs="Times New Roman"/>
                      <w:sz w:val="21"/>
                      <w:szCs w:val="21"/>
                      <w:highlight w:val="none"/>
                    </w:rPr>
                    <w:t>采用地质</w:t>
                  </w:r>
                  <w:r>
                    <w:rPr>
                      <w:rFonts w:hint="eastAsia" w:cs="Times New Roman"/>
                      <w:sz w:val="21"/>
                      <w:szCs w:val="21"/>
                      <w:highlight w:val="none"/>
                      <w:lang w:val="en-US" w:eastAsia="zh-CN"/>
                    </w:rPr>
                    <w:t>测量、钻探、</w:t>
                  </w:r>
                  <w:r>
                    <w:rPr>
                      <w:rFonts w:hint="default" w:ascii="Times New Roman" w:hAnsi="Times New Roman" w:eastAsia="宋体" w:cs="Times New Roman"/>
                      <w:sz w:val="21"/>
                      <w:szCs w:val="21"/>
                      <w:highlight w:val="none"/>
                    </w:rPr>
                    <w:t>槽探等工作手段开展详查评价。通过运用高效、环保的方法、技术、设备等，在地质勘查各方面和全过程中减少或控制对生态环境的影响</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lang w:val="zh-CN" w:eastAsia="zh-CN"/>
                    </w:rPr>
                    <w:t>开展绿色勘查，及时对开挖工程进行回填，最大限度减少人为破坏，减轻勘查活动对生态环境的扰动</w:t>
                  </w:r>
                  <w:r>
                    <w:rPr>
                      <w:rFonts w:hint="eastAsia" w:cs="Times New Roman"/>
                      <w:sz w:val="21"/>
                      <w:szCs w:val="21"/>
                      <w:highlight w:val="none"/>
                      <w:lang w:val="zh-CN" w:eastAsia="zh-CN"/>
                    </w:rPr>
                    <w:t>。</w:t>
                  </w:r>
                </w:p>
              </w:tc>
              <w:tc>
                <w:tcPr>
                  <w:tcW w:w="470" w:type="pct"/>
                  <w:noWrap w:val="0"/>
                  <w:vAlign w:val="center"/>
                </w:tcPr>
                <w:p>
                  <w:pPr>
                    <w:pStyle w:val="58"/>
                    <w:bidi w:val="0"/>
                    <w:rPr>
                      <w:rFonts w:hint="default"/>
                    </w:rPr>
                  </w:pPr>
                  <w:r>
                    <w:rPr>
                      <w:rFonts w:hint="default"/>
                      <w:lang w:eastAsia="zh-CN"/>
                    </w:rPr>
                    <w:t>符合</w:t>
                  </w:r>
                </w:p>
              </w:tc>
            </w:tr>
          </w:tbl>
          <w:p>
            <w:pPr>
              <w:pStyle w:val="56"/>
              <w:bidi w:val="0"/>
              <w:rPr>
                <w:rFonts w:hint="default"/>
                <w:lang w:val="en-US" w:eastAsia="zh-CN"/>
              </w:rPr>
            </w:pPr>
            <w:r>
              <w:rPr>
                <w:rFonts w:hint="default"/>
                <w:lang w:val="en-US" w:eastAsia="zh-CN"/>
              </w:rPr>
              <w:t>表1-</w:t>
            </w:r>
            <w:r>
              <w:rPr>
                <w:rFonts w:hint="eastAsia"/>
                <w:lang w:val="en-US" w:eastAsia="zh-CN"/>
              </w:rPr>
              <w:t xml:space="preserve">3 </w:t>
            </w:r>
            <w:r>
              <w:rPr>
                <w:rFonts w:hint="default"/>
                <w:lang w:val="en-US" w:eastAsia="zh-CN"/>
              </w:rPr>
              <w:t xml:space="preserve"> </w:t>
            </w:r>
            <w:r>
              <w:rPr>
                <w:rFonts w:hint="eastAsia"/>
                <w:lang w:val="en-US" w:eastAsia="zh-CN"/>
              </w:rPr>
              <w:t xml:space="preserve"> </w:t>
            </w:r>
            <w:r>
              <w:rPr>
                <w:rFonts w:hint="default"/>
                <w:lang w:val="en-US" w:eastAsia="zh-CN"/>
              </w:rPr>
              <w:t xml:space="preserve"> 项目与《新疆维吾尔自治区矿产资源总体规划（2021—2025年）环境影响报告书》及审查意见的符合性分析内容</w:t>
            </w:r>
          </w:p>
          <w:tbl>
            <w:tblPr>
              <w:tblStyle w:val="24"/>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8"/>
              <w:gridCol w:w="258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7" w:type="pct"/>
                  <w:noWrap w:val="0"/>
                  <w:vAlign w:val="center"/>
                </w:tcPr>
                <w:p>
                  <w:pPr>
                    <w:pStyle w:val="58"/>
                    <w:bidi w:val="0"/>
                    <w:rPr>
                      <w:rFonts w:hint="default"/>
                      <w:lang w:eastAsia="zh-CN"/>
                    </w:rPr>
                  </w:pPr>
                  <w:r>
                    <w:rPr>
                      <w:rFonts w:hint="default"/>
                      <w:lang w:eastAsia="zh-CN"/>
                    </w:rPr>
                    <w:t>规划内容</w:t>
                  </w:r>
                </w:p>
              </w:tc>
              <w:tc>
                <w:tcPr>
                  <w:tcW w:w="1798" w:type="pct"/>
                  <w:noWrap w:val="0"/>
                  <w:vAlign w:val="center"/>
                </w:tcPr>
                <w:p>
                  <w:pPr>
                    <w:pStyle w:val="58"/>
                    <w:bidi w:val="0"/>
                    <w:rPr>
                      <w:rFonts w:hint="default"/>
                      <w:lang w:eastAsia="zh-CN"/>
                    </w:rPr>
                  </w:pPr>
                  <w:r>
                    <w:rPr>
                      <w:rFonts w:hint="default"/>
                      <w:lang w:eastAsia="zh-CN"/>
                    </w:rPr>
                    <w:t>本项目情况</w:t>
                  </w:r>
                </w:p>
              </w:tc>
              <w:tc>
                <w:tcPr>
                  <w:tcW w:w="473" w:type="pct"/>
                  <w:noWrap w:val="0"/>
                  <w:vAlign w:val="center"/>
                </w:tcPr>
                <w:p>
                  <w:pPr>
                    <w:pStyle w:val="58"/>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lang w:eastAsia="zh-CN"/>
                    </w:rPr>
                    <w:t>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r>
                    <w:rPr>
                      <w:rFonts w:hint="eastAsia"/>
                      <w:lang w:eastAsia="zh-CN"/>
                    </w:rPr>
                    <w:t>。</w:t>
                  </w:r>
                </w:p>
              </w:tc>
              <w:tc>
                <w:tcPr>
                  <w:tcW w:w="179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rPr>
                    <w:t>本项目不</w:t>
                  </w:r>
                  <w:r>
                    <w:rPr>
                      <w:rFonts w:hint="eastAsia"/>
                      <w:lang w:val="en-US" w:eastAsia="zh-CN"/>
                    </w:rPr>
                    <w:t>存在与</w:t>
                  </w:r>
                  <w:r>
                    <w:rPr>
                      <w:rFonts w:hint="default"/>
                      <w:lang w:eastAsia="zh-CN"/>
                    </w:rPr>
                    <w:t>自然保护区、森林公园、世界遗产地等</w:t>
                  </w:r>
                  <w:r>
                    <w:rPr>
                      <w:rFonts w:hint="eastAsia"/>
                      <w:lang w:val="en-US" w:eastAsia="zh-CN"/>
                    </w:rPr>
                    <w:t>空间重叠</w:t>
                  </w:r>
                  <w:r>
                    <w:rPr>
                      <w:rFonts w:hint="default"/>
                    </w:rPr>
                    <w:t>，项目区</w:t>
                  </w:r>
                  <w:r>
                    <w:rPr>
                      <w:rFonts w:hint="eastAsia"/>
                      <w:lang w:val="en-US" w:eastAsia="zh-CN"/>
                    </w:rPr>
                    <w:t>不涉及</w:t>
                  </w:r>
                  <w:r>
                    <w:rPr>
                      <w:rFonts w:hint="default"/>
                    </w:rPr>
                    <w:t>生态保护红线</w:t>
                  </w:r>
                  <w:r>
                    <w:rPr>
                      <w:rFonts w:hint="eastAsia"/>
                      <w:lang w:eastAsia="zh-CN"/>
                    </w:rPr>
                    <w:t>，</w:t>
                  </w:r>
                  <w:r>
                    <w:rPr>
                      <w:rFonts w:hint="eastAsia"/>
                      <w:lang w:val="en-US" w:eastAsia="zh-CN"/>
                    </w:rPr>
                    <w:t>符合相关</w:t>
                  </w:r>
                  <w:r>
                    <w:rPr>
                      <w:rFonts w:hint="default"/>
                    </w:rPr>
                    <w:t>要求。</w:t>
                  </w:r>
                </w:p>
              </w:tc>
              <w:tc>
                <w:tcPr>
                  <w:tcW w:w="473" w:type="pct"/>
                  <w:noWrap w:val="0"/>
                  <w:vAlign w:val="center"/>
                </w:tcPr>
                <w:p>
                  <w:pPr>
                    <w:pStyle w:val="58"/>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272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lang w:eastAsia="zh-CN"/>
                    </w:rPr>
                    <w:t>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w:t>
                  </w:r>
                  <w:r>
                    <w:rPr>
                      <w:rFonts w:hint="eastAsia"/>
                      <w:lang w:eastAsia="zh-CN"/>
                    </w:rPr>
                    <w:t>；</w:t>
                  </w:r>
                  <w:r>
                    <w:rPr>
                      <w:rFonts w:hint="default"/>
                      <w:lang w:eastAsia="zh-CN"/>
                    </w:rPr>
                    <w:t>组织开展主要矿种集中开采区域生态修复效果评估，并根据监测和评估结果增加和优化必要的保护措施。针对地表水环境及土壤环境累积影响、地下水环境质量下降、生态退化等情形，建立预警机制。</w:t>
                  </w:r>
                </w:p>
              </w:tc>
              <w:tc>
                <w:tcPr>
                  <w:tcW w:w="179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生活污水排入一体化污水处理设施处理达标后，用于洒水绿化，不外排；钻井设备冲洗水和泥浆废水循环使用，不外排。不与地表水体发生水力关系，不会影响区域水环境质量。</w:t>
                  </w:r>
                </w:p>
              </w:tc>
              <w:tc>
                <w:tcPr>
                  <w:tcW w:w="473" w:type="pct"/>
                  <w:noWrap w:val="0"/>
                  <w:vAlign w:val="center"/>
                </w:tcPr>
                <w:p>
                  <w:pPr>
                    <w:pStyle w:val="58"/>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391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eastAsia"/>
                      <w:lang w:val="en-US" w:eastAsia="zh-CN"/>
                    </w:rPr>
                    <w:t>审查意见中指出：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2584"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本项目已取得所在区域的探矿权，证号：</w:t>
                  </w:r>
                  <w:r>
                    <w:rPr>
                      <w:rFonts w:hint="eastAsia"/>
                      <w:highlight w:val="none"/>
                      <w:lang w:val="en-US" w:eastAsia="zh-CN"/>
                    </w:rPr>
                    <w:t>DT6500002008063010009491</w:t>
                  </w:r>
                  <w:r>
                    <w:rPr>
                      <w:rFonts w:hint="eastAsia"/>
                      <w:lang w:val="en-US" w:eastAsia="zh-CN"/>
                    </w:rPr>
                    <w:t>。项目不涉及生物多样性保护优先区域、国家重点生态功能区、国家重要生态功能区、水源涵养区、水土流失重点防治区等区域。符合审查意见相关要求。</w:t>
                  </w:r>
                </w:p>
              </w:tc>
              <w:tc>
                <w:tcPr>
                  <w:tcW w:w="473" w:type="pct"/>
                  <w:noWrap w:val="0"/>
                  <w:vAlign w:val="center"/>
                </w:tcPr>
                <w:p>
                  <w:pPr>
                    <w:pStyle w:val="58"/>
                    <w:bidi w:val="0"/>
                    <w:rPr>
                      <w:rFonts w:hint="eastAsia"/>
                      <w:lang w:val="en-US" w:eastAsia="zh-CN"/>
                    </w:rPr>
                  </w:pPr>
                  <w:r>
                    <w:rPr>
                      <w:rFonts w:hint="eastAsia"/>
                      <w:lang w:val="en-US" w:eastAsia="zh-CN"/>
                    </w:rPr>
                    <w:t>符合</w:t>
                  </w:r>
                </w:p>
              </w:tc>
            </w:tr>
          </w:tbl>
          <w:p>
            <w:pPr>
              <w:pStyle w:val="5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84" w:hRule="atLeast"/>
        </w:trPr>
        <w:tc>
          <w:tcPr>
            <w:tcW w:w="1634" w:type="dxa"/>
            <w:noWrap w:val="0"/>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bookmarkStart w:id="2" w:name="_Hlk56690880"/>
            <w:r>
              <w:rPr>
                <w:rFonts w:hint="eastAsia" w:ascii="宋体" w:hAnsi="宋体" w:cs="宋体"/>
                <w:kern w:val="0"/>
                <w:szCs w:val="21"/>
              </w:rPr>
              <w:t>其他符合性分析</w:t>
            </w:r>
            <w:bookmarkEnd w:id="2"/>
          </w:p>
        </w:tc>
        <w:tc>
          <w:tcPr>
            <w:tcW w:w="7405" w:type="dxa"/>
            <w:gridSpan w:val="3"/>
            <w:noWrap w:val="0"/>
            <w:tcMar>
              <w:top w:w="16" w:type="dxa"/>
              <w:left w:w="16" w:type="dxa"/>
              <w:right w:w="16" w:type="dxa"/>
            </w:tcMar>
            <w:vAlign w:val="center"/>
          </w:tcPr>
          <w:p>
            <w:pPr>
              <w:pStyle w:val="50"/>
              <w:bidi w:val="0"/>
              <w:rPr>
                <w:rFonts w:hint="eastAsia"/>
                <w:lang w:val="en-US" w:eastAsia="zh-CN"/>
              </w:rPr>
            </w:pPr>
            <w:r>
              <w:rPr>
                <w:rFonts w:hint="eastAsia"/>
                <w:lang w:val="en-US" w:eastAsia="zh-CN"/>
              </w:rPr>
              <w:t>1.产业政策符合性分析</w:t>
            </w:r>
          </w:p>
          <w:p>
            <w:pPr>
              <w:pStyle w:val="48"/>
              <w:bidi w:val="0"/>
              <w:rPr>
                <w:rFonts w:hint="default"/>
                <w:lang w:val="en-US" w:eastAsia="zh-CN"/>
              </w:rPr>
            </w:pPr>
            <w:r>
              <w:rPr>
                <w:rFonts w:hint="default"/>
                <w:lang w:val="en-US" w:eastAsia="zh-CN"/>
              </w:rPr>
              <w:t>本项目</w:t>
            </w:r>
            <w:r>
              <w:rPr>
                <w:rFonts w:hint="eastAsia"/>
                <w:lang w:val="en-US" w:eastAsia="zh-CN"/>
              </w:rPr>
              <w:t>为</w:t>
            </w:r>
            <w:r>
              <w:rPr>
                <w:rFonts w:hint="default"/>
                <w:lang w:val="en-US" w:eastAsia="zh-CN"/>
              </w:rPr>
              <w:t>陆地矿产资源地质勘查</w:t>
            </w:r>
            <w:r>
              <w:rPr>
                <w:rFonts w:hint="eastAsia"/>
                <w:lang w:val="en-US" w:eastAsia="zh-CN"/>
              </w:rPr>
              <w:t>项目</w:t>
            </w:r>
            <w:r>
              <w:rPr>
                <w:rFonts w:hint="default"/>
                <w:lang w:val="en-US" w:eastAsia="zh-CN"/>
              </w:rPr>
              <w:t>，</w:t>
            </w:r>
            <w:r>
              <w:rPr>
                <w:rFonts w:hint="eastAsia"/>
                <w:lang w:val="en-US" w:eastAsia="zh-CN"/>
              </w:rPr>
              <w:t>已取得所在</w:t>
            </w:r>
            <w:r>
              <w:rPr>
                <w:rFonts w:hint="default"/>
                <w:lang w:val="en-US" w:eastAsia="zh-CN"/>
              </w:rPr>
              <w:t>区域的探矿权，证号：</w:t>
            </w:r>
            <w:r>
              <w:rPr>
                <w:rFonts w:hint="eastAsia"/>
                <w:highlight w:val="none"/>
                <w:lang w:val="en-US" w:eastAsia="zh-CN"/>
              </w:rPr>
              <w:t>DT6500002008063010009491</w:t>
            </w:r>
            <w:r>
              <w:rPr>
                <w:rFonts w:hint="eastAsia"/>
                <w:lang w:val="en-US" w:eastAsia="zh-CN"/>
              </w:rPr>
              <w:t>。根据《产业结构调整指导目录（2024本）》，不属于鼓励类、限制类及淘汰类，为允许类。符合《产业结构调整指导目录（2024本）》要求。本项目为铜多金属矿勘探项目，不在《新疆维吾尔自治区28个国家重点生态功能区县（市）产业准入负面清单（试行）》产业准入负面清单的禁止类和限制类中；也不属于《市场准入负面清单（2025年版）》的项目；属于《西部地区鼓励类产业目录（2025年本）》中新疆维吾尔自治区（含新疆生产建设兵团）第十九条 铁、锰、铜、镍、铅、锌、钨、锡、钛、锑、镁、稀有金属和稀散金属勘探、有序开采、精深加工、加工新技术开发及应用。</w:t>
            </w:r>
          </w:p>
          <w:p>
            <w:pPr>
              <w:pStyle w:val="48"/>
              <w:bidi w:val="0"/>
              <w:rPr>
                <w:rFonts w:hint="default"/>
                <w:lang w:val="en-US" w:eastAsia="zh-CN"/>
              </w:rPr>
            </w:pPr>
            <w:r>
              <w:rPr>
                <w:rFonts w:hint="eastAsia"/>
                <w:lang w:val="en-US" w:eastAsia="zh-CN"/>
              </w:rPr>
              <w:t>综上所述，本项目符合产业政策。</w:t>
            </w:r>
          </w:p>
          <w:p>
            <w:pPr>
              <w:pStyle w:val="50"/>
              <w:bidi w:val="0"/>
              <w:rPr>
                <w:rFonts w:hint="default"/>
              </w:rPr>
            </w:pPr>
            <w:r>
              <w:rPr>
                <w:rFonts w:hint="eastAsia"/>
                <w:lang w:val="en-US" w:eastAsia="zh-CN"/>
              </w:rPr>
              <w:t>2.</w:t>
            </w:r>
            <w:r>
              <w:rPr>
                <w:rFonts w:hint="eastAsia"/>
                <w:lang w:eastAsia="zh-CN"/>
              </w:rPr>
              <w:t>“</w:t>
            </w:r>
            <w:r>
              <w:rPr>
                <w:rFonts w:hint="eastAsia"/>
                <w:lang w:val="en-US" w:eastAsia="zh-CN"/>
              </w:rPr>
              <w:t>生态环境分区管控</w:t>
            </w:r>
            <w:r>
              <w:rPr>
                <w:rFonts w:hint="eastAsia"/>
                <w:lang w:eastAsia="zh-CN"/>
              </w:rPr>
              <w:t>”</w:t>
            </w:r>
            <w:r>
              <w:rPr>
                <w:rFonts w:hint="eastAsia"/>
                <w:lang w:val="en-US" w:eastAsia="zh-CN"/>
              </w:rPr>
              <w:t>要求</w:t>
            </w:r>
            <w:r>
              <w:rPr>
                <w:rFonts w:hint="default"/>
              </w:rPr>
              <w:t>符合性分析</w:t>
            </w:r>
          </w:p>
          <w:p>
            <w:pPr>
              <w:pStyle w:val="50"/>
              <w:bidi w:val="0"/>
              <w:rPr>
                <w:rFonts w:hint="default"/>
                <w:lang w:eastAsia="zh-CN"/>
              </w:rPr>
            </w:pPr>
            <w:r>
              <w:rPr>
                <w:rFonts w:hint="eastAsia"/>
                <w:lang w:val="en-US" w:eastAsia="zh-CN"/>
              </w:rPr>
              <w:t>2.1</w:t>
            </w:r>
            <w:r>
              <w:rPr>
                <w:rFonts w:hint="default"/>
                <w:lang w:val="en-US" w:eastAsia="zh-CN"/>
              </w:rPr>
              <w:t>《关于印发〈新疆维吾尔自治区生态环境分区管控动态更新成果〉的通知》（新环环评发〔2024〕157号）符合性分析</w:t>
            </w:r>
          </w:p>
          <w:p>
            <w:pPr>
              <w:pStyle w:val="48"/>
              <w:bidi w:val="0"/>
              <w:rPr>
                <w:rFonts w:hint="default"/>
                <w:lang w:val="en-US" w:eastAsia="zh-CN"/>
              </w:rPr>
            </w:pPr>
            <w:r>
              <w:rPr>
                <w:rFonts w:hint="default"/>
                <w:lang w:val="en-US" w:eastAsia="zh-CN"/>
              </w:rPr>
              <w:t>项目与《关于印发〈新疆维吾尔自治区生态环境分区管控动态更新成果〉的通知》（新环环评发〔2024〕157号）符合性分析详见下表。</w:t>
            </w:r>
          </w:p>
          <w:p>
            <w:pPr>
              <w:pStyle w:val="52"/>
              <w:bidi w:val="0"/>
              <w:rPr>
                <w:rFonts w:hint="default"/>
                <w:lang w:val="en-US" w:eastAsia="zh-CN"/>
              </w:rPr>
            </w:pPr>
            <w:r>
              <w:rPr>
                <w:rFonts w:hint="eastAsia"/>
                <w:lang w:val="en-US" w:eastAsia="zh-CN"/>
              </w:rPr>
              <w:t xml:space="preserve">表1-5    </w:t>
            </w:r>
            <w:r>
              <w:rPr>
                <w:rFonts w:hint="default"/>
                <w:lang w:val="en-US" w:eastAsia="zh-CN"/>
              </w:rPr>
              <w:t>与《新疆维吾尔自治区生态环境分区管控动态更新成果》符合性分析</w:t>
            </w:r>
          </w:p>
          <w:tbl>
            <w:tblPr>
              <w:tblStyle w:val="24"/>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92"/>
              <w:gridCol w:w="2526"/>
              <w:gridCol w:w="2769"/>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pct"/>
                  <w:gridSpan w:val="2"/>
                  <w:noWrap w:val="0"/>
                  <w:vAlign w:val="center"/>
                </w:tcPr>
                <w:p>
                  <w:pPr>
                    <w:pStyle w:val="54"/>
                    <w:rPr>
                      <w:rFonts w:hint="default"/>
                      <w:lang w:val="en-US" w:eastAsia="zh-CN"/>
                    </w:rPr>
                  </w:pPr>
                  <w:r>
                    <w:rPr>
                      <w:rFonts w:hint="eastAsia"/>
                      <w:lang w:val="en-US" w:eastAsia="zh-CN"/>
                    </w:rPr>
                    <w:t>管控要求</w:t>
                  </w:r>
                </w:p>
              </w:tc>
              <w:tc>
                <w:tcPr>
                  <w:tcW w:w="1739" w:type="pct"/>
                  <w:noWrap w:val="0"/>
                  <w:vAlign w:val="center"/>
                </w:tcPr>
                <w:p>
                  <w:pPr>
                    <w:pStyle w:val="54"/>
                    <w:rPr>
                      <w:rFonts w:hint="default"/>
                      <w:lang w:val="en-US" w:eastAsia="zh-CN"/>
                    </w:rPr>
                  </w:pPr>
                  <w:r>
                    <w:rPr>
                      <w:rFonts w:hint="eastAsia"/>
                      <w:lang w:val="en-US" w:eastAsia="zh-CN"/>
                    </w:rPr>
                    <w:t>环境管理政策有关要求</w:t>
                  </w:r>
                </w:p>
              </w:tc>
              <w:tc>
                <w:tcPr>
                  <w:tcW w:w="1907" w:type="pct"/>
                  <w:noWrap w:val="0"/>
                  <w:vAlign w:val="center"/>
                </w:tcPr>
                <w:p>
                  <w:pPr>
                    <w:pStyle w:val="54"/>
                    <w:rPr>
                      <w:rFonts w:hint="default"/>
                      <w:lang w:val="en-US" w:eastAsia="zh-CN"/>
                    </w:rPr>
                  </w:pPr>
                  <w:r>
                    <w:rPr>
                      <w:rFonts w:hint="eastAsia"/>
                      <w:lang w:val="en-US" w:eastAsia="zh-CN"/>
                    </w:rPr>
                    <w:t>本项目情况</w:t>
                  </w:r>
                </w:p>
              </w:tc>
              <w:tc>
                <w:tcPr>
                  <w:tcW w:w="475" w:type="pct"/>
                  <w:noWrap w:val="0"/>
                  <w:vAlign w:val="center"/>
                </w:tcPr>
                <w:p>
                  <w:pPr>
                    <w:pStyle w:val="54"/>
                    <w:rPr>
                      <w:rFonts w:hint="eastAsia" w:eastAsia="宋体"/>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restart"/>
                  <w:noWrap w:val="0"/>
                  <w:vAlign w:val="center"/>
                </w:tcPr>
                <w:p>
                  <w:pPr>
                    <w:pStyle w:val="54"/>
                    <w:rPr>
                      <w:rFonts w:hint="default"/>
                      <w:lang w:val="en-US" w:eastAsia="zh-CN"/>
                    </w:rPr>
                  </w:pPr>
                  <w:r>
                    <w:rPr>
                      <w:rFonts w:hint="default"/>
                      <w:lang w:val="en-US" w:eastAsia="zh-CN"/>
                    </w:rPr>
                    <w:t>A1</w:t>
                  </w:r>
                  <w:r>
                    <w:rPr>
                      <w:rFonts w:hint="eastAsia"/>
                      <w:lang w:val="en-US" w:eastAsia="zh-CN"/>
                    </w:rPr>
                    <w:t>空间布局约束</w:t>
                  </w:r>
                </w:p>
              </w:tc>
              <w:tc>
                <w:tcPr>
                  <w:tcW w:w="476" w:type="pct"/>
                  <w:vMerge w:val="restart"/>
                  <w:noWrap w:val="0"/>
                  <w:vAlign w:val="center"/>
                </w:tcPr>
                <w:p>
                  <w:pPr>
                    <w:pStyle w:val="54"/>
                    <w:rPr>
                      <w:rFonts w:hint="eastAsia"/>
                    </w:rPr>
                  </w:pPr>
                  <w:r>
                    <w:rPr>
                      <w:rFonts w:hint="default"/>
                      <w:lang w:val="en-US" w:eastAsia="zh-CN"/>
                    </w:rPr>
                    <w:t>A1.1禁止开发建设的活动</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〔A1.1-1〕禁止新建、扩建《产业结构调整指导目录</w:t>
                  </w:r>
                  <w:r>
                    <w:rPr>
                      <w:rFonts w:hint="eastAsia"/>
                      <w:lang w:val="en-US" w:eastAsia="zh-CN"/>
                    </w:rPr>
                    <w:t>（</w:t>
                  </w:r>
                  <w:r>
                    <w:rPr>
                      <w:rFonts w:hint="default"/>
                      <w:lang w:val="en-US" w:eastAsia="zh-CN"/>
                    </w:rPr>
                    <w:t>2024年本</w:t>
                  </w:r>
                  <w:r>
                    <w:rPr>
                      <w:rFonts w:hint="eastAsia"/>
                      <w:lang w:val="en-US" w:eastAsia="zh-CN"/>
                    </w:rPr>
                    <w:t>）</w:t>
                  </w:r>
                  <w:r>
                    <w:rPr>
                      <w:rFonts w:hint="default"/>
                      <w:lang w:val="en-US" w:eastAsia="zh-CN"/>
                    </w:rPr>
                    <w:t>》中淘汰类项目。禁止引入《市场准入负面清单</w:t>
                  </w:r>
                  <w:r>
                    <w:rPr>
                      <w:rFonts w:hint="eastAsia"/>
                      <w:lang w:val="en-US" w:eastAsia="zh-CN"/>
                    </w:rPr>
                    <w:t>（</w:t>
                  </w:r>
                  <w:r>
                    <w:rPr>
                      <w:rFonts w:hint="default"/>
                      <w:lang w:val="en-US" w:eastAsia="zh-CN"/>
                    </w:rPr>
                    <w:t>2022年版</w:t>
                  </w:r>
                  <w:r>
                    <w:rPr>
                      <w:rFonts w:hint="eastAsia"/>
                      <w:lang w:val="en-US" w:eastAsia="zh-CN"/>
                    </w:rPr>
                    <w:t>）》</w:t>
                  </w:r>
                  <w:r>
                    <w:rPr>
                      <w:rFonts w:hint="default"/>
                      <w:lang w:val="en-US" w:eastAsia="zh-CN"/>
                    </w:rPr>
                    <w:t>禁止准入类事项。</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本项目不属于</w:t>
                  </w:r>
                  <w:r>
                    <w:rPr>
                      <w:rFonts w:hint="default"/>
                    </w:rPr>
                    <w:t>《产业结构调整指导目录</w:t>
                  </w:r>
                  <w:r>
                    <w:rPr>
                      <w:rFonts w:hint="eastAsia"/>
                      <w:lang w:eastAsia="zh-CN"/>
                    </w:rPr>
                    <w:t>（</w:t>
                  </w:r>
                  <w:r>
                    <w:rPr>
                      <w:rFonts w:hint="default"/>
                    </w:rPr>
                    <w:t>2024年本</w:t>
                  </w:r>
                  <w:r>
                    <w:rPr>
                      <w:rFonts w:hint="eastAsia"/>
                      <w:lang w:eastAsia="zh-CN"/>
                    </w:rPr>
                    <w:t>）</w:t>
                  </w:r>
                  <w:r>
                    <w:rPr>
                      <w:rFonts w:hint="default"/>
                    </w:rPr>
                    <w:t>》中鼓励类、限制类和淘汰类，属于允许类；</w:t>
                  </w:r>
                  <w:r>
                    <w:rPr>
                      <w:rFonts w:hint="eastAsia"/>
                      <w:lang w:val="en-US" w:eastAsia="zh-CN"/>
                    </w:rPr>
                    <w:t>本项目也不属于</w:t>
                  </w:r>
                  <w:r>
                    <w:rPr>
                      <w:rFonts w:hint="default"/>
                      <w:lang w:val="en-US" w:eastAsia="zh-CN"/>
                    </w:rPr>
                    <w:t>《市场准入负面清单</w:t>
                  </w:r>
                  <w:r>
                    <w:rPr>
                      <w:rFonts w:hint="eastAsia"/>
                      <w:lang w:val="en-US" w:eastAsia="zh-CN"/>
                    </w:rPr>
                    <w:t>（</w:t>
                  </w:r>
                  <w:r>
                    <w:rPr>
                      <w:rFonts w:hint="default"/>
                      <w:lang w:val="en-US" w:eastAsia="zh-CN"/>
                    </w:rPr>
                    <w:t>202</w:t>
                  </w:r>
                  <w:r>
                    <w:rPr>
                      <w:rFonts w:hint="eastAsia"/>
                      <w:lang w:val="en-US" w:eastAsia="zh-CN"/>
                    </w:rPr>
                    <w:t>5</w:t>
                  </w:r>
                  <w:r>
                    <w:rPr>
                      <w:rFonts w:hint="default"/>
                      <w:lang w:val="en-US" w:eastAsia="zh-CN"/>
                    </w:rPr>
                    <w:t>年版</w:t>
                  </w:r>
                  <w:r>
                    <w:rPr>
                      <w:rFonts w:hint="eastAsia"/>
                      <w:lang w:val="en-US" w:eastAsia="zh-CN"/>
                    </w:rPr>
                    <w:t>）》的项目。</w:t>
                  </w:r>
                  <w:r>
                    <w:rPr>
                      <w:rFonts w:hint="default"/>
                    </w:rPr>
                    <w:t>符合国家产业政策</w:t>
                  </w:r>
                  <w:r>
                    <w:rPr>
                      <w:rFonts w:hint="eastAsia"/>
                      <w:lang w:eastAsia="zh-CN"/>
                    </w:rPr>
                    <w:t>。</w:t>
                  </w:r>
                </w:p>
              </w:tc>
              <w:tc>
                <w:tcPr>
                  <w:tcW w:w="475" w:type="pct"/>
                  <w:noWrap w:val="0"/>
                  <w:vAlign w:val="center"/>
                </w:tcPr>
                <w:p>
                  <w:pPr>
                    <w:pStyle w:val="5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continue"/>
                  <w:noWrap w:val="0"/>
                  <w:vAlign w:val="center"/>
                </w:tcPr>
                <w:p>
                  <w:pPr>
                    <w:pStyle w:val="54"/>
                    <w:rPr>
                      <w:rFonts w:hint="default"/>
                      <w:lang w:val="en-US" w:eastAsia="zh-CN"/>
                    </w:rPr>
                  </w:pPr>
                </w:p>
              </w:tc>
              <w:tc>
                <w:tcPr>
                  <w:tcW w:w="476" w:type="pct"/>
                  <w:vMerge w:val="continue"/>
                  <w:noWrap w:val="0"/>
                  <w:vAlign w:val="center"/>
                </w:tcPr>
                <w:p>
                  <w:pPr>
                    <w:pStyle w:val="54"/>
                    <w:rPr>
                      <w:rFonts w:hint="default"/>
                      <w:lang w:val="en-US" w:eastAsia="zh-CN"/>
                    </w:rPr>
                  </w:pP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〔A1.1-</w:t>
                  </w:r>
                  <w:r>
                    <w:rPr>
                      <w:rFonts w:hint="eastAsia"/>
                      <w:lang w:val="en-US" w:eastAsia="zh-CN"/>
                    </w:rPr>
                    <w:t>4</w:t>
                  </w:r>
                  <w:r>
                    <w:rPr>
                      <w:rFonts w:hint="default"/>
                      <w:lang w:val="en-US" w:eastAsia="zh-CN"/>
                    </w:rPr>
                    <w:t>〕</w:t>
                  </w:r>
                  <w:r>
                    <w:rPr>
                      <w:rFonts w:hint="eastAsia"/>
                      <w:lang w:val="en-US" w:eastAsia="zh-CN"/>
                    </w:rPr>
                    <w:t>禁止在水源涵养区、地下水源、饮用水源、自然保护区、风景名胜区、森林公园、重要湿地及人群密集区等生态敏感区域内进行煤炭、石油、天然气开发。</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位于新疆维吾尔自治区巴音郭楞蒙古自治州且末县，不涉及水源涵养区、地下水源、饮用水源、自然保护区、风景名胜区、森林公园、重要湿地及人群密集区等生态敏感区域，本项目为矿产资源勘查，不涉及煤炭、石油、天然气开发。符合相关要求。</w:t>
                  </w:r>
                </w:p>
              </w:tc>
              <w:tc>
                <w:tcPr>
                  <w:tcW w:w="475" w:type="pct"/>
                  <w:noWrap w:val="0"/>
                  <w:vAlign w:val="center"/>
                </w:tcPr>
                <w:p>
                  <w:pPr>
                    <w:pStyle w:val="5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pStyle w:val="54"/>
                    <w:rPr>
                      <w:rFonts w:hint="default"/>
                      <w:lang w:val="en-US" w:eastAsia="zh-CN"/>
                    </w:rPr>
                  </w:pPr>
                  <w:r>
                    <w:rPr>
                      <w:rFonts w:hint="default"/>
                      <w:lang w:val="en-US" w:eastAsia="zh-CN"/>
                    </w:rPr>
                    <w:t>A2污染物排放管控</w:t>
                  </w:r>
                </w:p>
              </w:tc>
              <w:tc>
                <w:tcPr>
                  <w:tcW w:w="476" w:type="pct"/>
                  <w:noWrap w:val="0"/>
                  <w:vAlign w:val="center"/>
                </w:tcPr>
                <w:p>
                  <w:pPr>
                    <w:pStyle w:val="54"/>
                    <w:rPr>
                      <w:rFonts w:hint="eastAsia"/>
                    </w:rPr>
                  </w:pPr>
                  <w:r>
                    <w:rPr>
                      <w:rFonts w:hint="default"/>
                      <w:lang w:val="en-US" w:eastAsia="zh-CN"/>
                    </w:rPr>
                    <w:t>A2</w:t>
                  </w:r>
                  <w:r>
                    <w:rPr>
                      <w:rFonts w:hint="eastAsia"/>
                      <w:lang w:val="en-US" w:eastAsia="zh-CN"/>
                    </w:rPr>
                    <w:t>.2污染控制措施要求</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w:t>
                  </w:r>
                  <w:r>
                    <w:rPr>
                      <w:rFonts w:hint="eastAsia"/>
                      <w:lang w:val="en-US" w:eastAsia="zh-CN"/>
                    </w:rPr>
                    <w:t>2</w:t>
                  </w:r>
                  <w:r>
                    <w:rPr>
                      <w:rFonts w:hint="default"/>
                      <w:lang w:val="en-US" w:eastAsia="zh-CN"/>
                    </w:rPr>
                    <w:t>.</w:t>
                  </w:r>
                  <w:r>
                    <w:rPr>
                      <w:rFonts w:hint="eastAsia"/>
                      <w:lang w:val="en-US" w:eastAsia="zh-CN"/>
                    </w:rPr>
                    <w:t>2</w:t>
                  </w:r>
                  <w:r>
                    <w:rPr>
                      <w:rFonts w:hint="default"/>
                      <w:lang w:val="en-US" w:eastAsia="zh-CN"/>
                    </w:rPr>
                    <w:t>-4〕</w:t>
                  </w:r>
                  <w:r>
                    <w:rPr>
                      <w:rFonts w:hint="eastAsia"/>
                      <w:lang w:val="en-US" w:eastAsia="zh-CN"/>
                    </w:rPr>
                    <w:t>强化用水定额管理。推进地下水超采综合治理。开展河湖生态流量（水量）确定工作，强化生态用水保障。</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项目用水定期从附近乡镇拉运。项目采用较为先进的地质勘查技术，勘探过程中水耗不超过国家要求。生活污水排入一体化污水处理设施处理达标后，用于洒水绿化，不外排；钻井设备冲洗水和泥浆废水循环使用，不外排，不会影响区域水环境质量。符合相关要求。</w:t>
                  </w:r>
                </w:p>
              </w:tc>
              <w:tc>
                <w:tcPr>
                  <w:tcW w:w="475" w:type="pct"/>
                  <w:noWrap w:val="0"/>
                  <w:vAlign w:val="center"/>
                </w:tcPr>
                <w:p>
                  <w:pPr>
                    <w:pStyle w:val="5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noWrap w:val="0"/>
                  <w:vAlign w:val="center"/>
                </w:tcPr>
                <w:p>
                  <w:pPr>
                    <w:pStyle w:val="54"/>
                    <w:rPr>
                      <w:rFonts w:hint="default"/>
                      <w:lang w:val="en-US" w:eastAsia="zh-CN"/>
                    </w:rPr>
                  </w:pPr>
                  <w:r>
                    <w:rPr>
                      <w:rFonts w:hint="eastAsia"/>
                      <w:lang w:val="en-US" w:eastAsia="zh-CN"/>
                    </w:rPr>
                    <w:t>A3环境风险防控</w:t>
                  </w:r>
                </w:p>
              </w:tc>
              <w:tc>
                <w:tcPr>
                  <w:tcW w:w="476" w:type="pct"/>
                  <w:noWrap w:val="0"/>
                  <w:vAlign w:val="center"/>
                </w:tcPr>
                <w:p>
                  <w:pPr>
                    <w:pStyle w:val="54"/>
                    <w:rPr>
                      <w:rFonts w:hint="default"/>
                      <w:lang w:val="en-US" w:eastAsia="zh-CN"/>
                    </w:rPr>
                  </w:pPr>
                  <w:r>
                    <w:rPr>
                      <w:rFonts w:hint="eastAsia"/>
                      <w:lang w:val="en-US" w:eastAsia="zh-CN"/>
                    </w:rPr>
                    <w:t>A3.2联防联控要求</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本项目建立环境突发事件应急管理领导机构、完善环境突发应急预案体系、配备完善应急物资等手段来加强环境风险防控，加强应急物资储备及应急物资信息化建设，增强实战能力。</w:t>
                  </w:r>
                </w:p>
              </w:tc>
              <w:tc>
                <w:tcPr>
                  <w:tcW w:w="475" w:type="pct"/>
                  <w:noWrap w:val="0"/>
                  <w:vAlign w:val="center"/>
                </w:tcPr>
                <w:p>
                  <w:pPr>
                    <w:pStyle w:val="54"/>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noWrap w:val="0"/>
                  <w:vAlign w:val="center"/>
                </w:tcPr>
                <w:p>
                  <w:pPr>
                    <w:pStyle w:val="54"/>
                    <w:rPr>
                      <w:rFonts w:hint="default"/>
                      <w:lang w:val="en-US" w:eastAsia="zh-CN"/>
                    </w:rPr>
                  </w:pPr>
                  <w:r>
                    <w:rPr>
                      <w:rFonts w:hint="eastAsia"/>
                      <w:lang w:val="en-US" w:eastAsia="zh-CN"/>
                    </w:rPr>
                    <w:t>A4资源利用要求</w:t>
                  </w:r>
                </w:p>
              </w:tc>
              <w:tc>
                <w:tcPr>
                  <w:tcW w:w="476" w:type="pct"/>
                  <w:noWrap w:val="0"/>
                  <w:vAlign w:val="center"/>
                </w:tcPr>
                <w:p>
                  <w:pPr>
                    <w:pStyle w:val="54"/>
                    <w:rPr>
                      <w:rFonts w:hint="default"/>
                      <w:lang w:val="en-US" w:eastAsia="zh-CN"/>
                    </w:rPr>
                  </w:pPr>
                  <w:r>
                    <w:rPr>
                      <w:rFonts w:hint="eastAsia"/>
                      <w:lang w:val="en-US" w:eastAsia="zh-CN"/>
                    </w:rPr>
                    <w:t>A4.5资源综合利用</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w:t>
                  </w:r>
                  <w:r>
                    <w:rPr>
                      <w:rFonts w:hint="eastAsia"/>
                      <w:lang w:val="en-US" w:eastAsia="zh-CN"/>
                    </w:rPr>
                    <w:t>4</w:t>
                  </w: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开挖产生的土石方在勘探期结束后全部回填至开挖地。岩心交至单位岩心库统一保管，泥浆固化后就地填埋，岩屑用于回填封孔，沉淀池沉渣就地掩埋；施工营地内设置一定数量的垃圾桶，用于临时存放生活垃圾，统一收集后送至且末县垃圾填埋场。符合相关要求</w:t>
                  </w:r>
                  <w:r>
                    <w:rPr>
                      <w:rFonts w:hint="eastAsia"/>
                      <w:highlight w:val="none"/>
                      <w:lang w:val="en-US" w:eastAsia="zh-CN"/>
                    </w:rPr>
                    <w:t>。</w:t>
                  </w:r>
                </w:p>
              </w:tc>
              <w:tc>
                <w:tcPr>
                  <w:tcW w:w="475" w:type="pct"/>
                  <w:noWrap w:val="0"/>
                  <w:vAlign w:val="center"/>
                </w:tcPr>
                <w:p>
                  <w:pPr>
                    <w:pStyle w:val="54"/>
                    <w:rPr>
                      <w:rFonts w:hint="default"/>
                      <w:lang w:val="en-US" w:eastAsia="zh-CN"/>
                    </w:rPr>
                  </w:pPr>
                  <w:r>
                    <w:rPr>
                      <w:rFonts w:hint="eastAsia"/>
                      <w:lang w:val="en-US" w:eastAsia="zh-CN"/>
                    </w:rPr>
                    <w:t>符合</w:t>
                  </w:r>
                </w:p>
              </w:tc>
            </w:tr>
          </w:tbl>
          <w:p>
            <w:pPr>
              <w:pStyle w:val="50"/>
              <w:bidi w:val="0"/>
              <w:rPr>
                <w:rFonts w:hint="default"/>
                <w:lang w:val="en-US" w:eastAsia="zh-CN"/>
              </w:rPr>
            </w:pPr>
            <w:r>
              <w:rPr>
                <w:rFonts w:hint="eastAsia"/>
                <w:lang w:val="en-US" w:eastAsia="zh-CN"/>
              </w:rPr>
              <w:t>2.2《巴音郭楞蒙古自治州“三线一单”生态环境分区管控动态更新成果（2023年）》符合性分析</w:t>
            </w:r>
          </w:p>
          <w:p>
            <w:pPr>
              <w:pStyle w:val="48"/>
              <w:bidi w:val="0"/>
              <w:rPr>
                <w:rFonts w:hint="eastAsia"/>
                <w:lang w:val="en-US" w:eastAsia="zh-CN"/>
              </w:rPr>
            </w:pPr>
            <w:r>
              <w:rPr>
                <w:rFonts w:hint="eastAsia"/>
                <w:lang w:val="en-US" w:eastAsia="zh-CN"/>
              </w:rPr>
              <w:t>本工程建设地点位于新疆维吾尔自治区且末</w:t>
            </w:r>
            <w:r>
              <w:rPr>
                <w:rFonts w:hint="eastAsia"/>
              </w:rPr>
              <w:t>县</w:t>
            </w:r>
            <w:r>
              <w:rPr>
                <w:rFonts w:hint="eastAsia"/>
                <w:lang w:eastAsia="zh-CN"/>
              </w:rPr>
              <w:t>，</w:t>
            </w:r>
            <w:r>
              <w:rPr>
                <w:rFonts w:hint="eastAsia"/>
                <w:lang w:val="en-US" w:eastAsia="zh-CN"/>
              </w:rPr>
              <w:t>根据《巴音郭楞蒙古自治州“三线一单”生态环境分区管控动态更新成果（2023年）》（巴政办发〔2024〕32号），本项目涉及且末县一般管控区（ZH65282530001）和且末县大气弱扩散区（ZH65282520001），环境管控单元管控要求详见下表。</w:t>
            </w:r>
          </w:p>
          <w:p>
            <w:pPr>
              <w:pStyle w:val="56"/>
              <w:bidi w:val="0"/>
              <w:rPr>
                <w:rFonts w:hint="default"/>
                <w:lang w:val="en-US" w:eastAsia="zh-CN"/>
              </w:rPr>
            </w:pPr>
            <w:r>
              <w:rPr>
                <w:rFonts w:hint="eastAsia"/>
                <w:lang w:val="en-US" w:eastAsia="zh-CN"/>
              </w:rPr>
              <w:t>表1-6    《巴音郭楞蒙古自治州生态环境准入清单》符合性分析</w:t>
            </w:r>
          </w:p>
          <w:tbl>
            <w:tblPr>
              <w:tblStyle w:val="24"/>
              <w:tblW w:w="7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
              <w:gridCol w:w="735"/>
              <w:gridCol w:w="2619"/>
              <w:gridCol w:w="2850"/>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rPr>
                      <w:rFonts w:hint="default"/>
                      <w:lang w:val="en-US" w:eastAsia="zh-CN"/>
                    </w:rPr>
                    <w:t>环境管控单元编码</w:t>
                  </w:r>
                </w:p>
              </w:tc>
              <w:tc>
                <w:tcPr>
                  <w:tcW w:w="2619" w:type="dxa"/>
                  <w:noWrap w:val="0"/>
                  <w:vAlign w:val="center"/>
                </w:tcPr>
                <w:p>
                  <w:pPr>
                    <w:pStyle w:val="58"/>
                    <w:bidi w:val="0"/>
                    <w:rPr>
                      <w:rFonts w:hint="default"/>
                      <w:lang w:val="en-US" w:eastAsia="zh-CN"/>
                    </w:rPr>
                  </w:pPr>
                  <w:r>
                    <w:rPr>
                      <w:rFonts w:hint="default"/>
                      <w:lang w:val="en-US" w:eastAsia="zh-CN"/>
                    </w:rPr>
                    <w:t>ZH6528253</w:t>
                  </w:r>
                  <w:r>
                    <w:rPr>
                      <w:rFonts w:hint="eastAsia"/>
                      <w:lang w:val="en-US" w:eastAsia="zh-CN"/>
                    </w:rPr>
                    <w:t>0001</w:t>
                  </w:r>
                </w:p>
              </w:tc>
              <w:tc>
                <w:tcPr>
                  <w:tcW w:w="2850" w:type="dxa"/>
                  <w:vMerge w:val="restart"/>
                  <w:noWrap w:val="0"/>
                  <w:vAlign w:val="center"/>
                </w:tcPr>
                <w:p>
                  <w:pPr>
                    <w:pStyle w:val="58"/>
                    <w:bidi w:val="0"/>
                    <w:rPr>
                      <w:rFonts w:hint="eastAsia"/>
                      <w:lang w:eastAsia="zh-CN"/>
                    </w:rPr>
                  </w:pPr>
                  <w:r>
                    <w:rPr>
                      <w:rFonts w:hint="eastAsia"/>
                      <w:lang w:val="en-US" w:eastAsia="zh-CN"/>
                    </w:rPr>
                    <w:t>本工程情况</w:t>
                  </w:r>
                </w:p>
              </w:tc>
              <w:tc>
                <w:tcPr>
                  <w:tcW w:w="419" w:type="dxa"/>
                  <w:vMerge w:val="restart"/>
                  <w:noWrap w:val="0"/>
                  <w:vAlign w:val="center"/>
                </w:tcPr>
                <w:p>
                  <w:pPr>
                    <w:pStyle w:val="58"/>
                    <w:bidi w:val="0"/>
                    <w:rPr>
                      <w:rFonts w:hint="default"/>
                      <w:lang w:val="en-US" w:eastAsia="zh-CN"/>
                    </w:rPr>
                  </w:pPr>
                  <w:r>
                    <w:rPr>
                      <w:rFonts w:hint="eastAsia"/>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rPr>
                      <w:rFonts w:hint="eastAsia"/>
                      <w:lang w:val="en-US" w:eastAsia="zh-CN"/>
                    </w:rPr>
                    <w:t>环境管控单元名称</w:t>
                  </w:r>
                </w:p>
              </w:tc>
              <w:tc>
                <w:tcPr>
                  <w:tcW w:w="2619" w:type="dxa"/>
                  <w:noWrap w:val="0"/>
                  <w:vAlign w:val="center"/>
                </w:tcPr>
                <w:p>
                  <w:pPr>
                    <w:pStyle w:val="58"/>
                    <w:bidi w:val="0"/>
                    <w:rPr>
                      <w:rFonts w:hint="eastAsia"/>
                      <w:lang w:val="en-US" w:eastAsia="zh-CN"/>
                    </w:rPr>
                  </w:pPr>
                  <w:r>
                    <w:rPr>
                      <w:rFonts w:hint="eastAsia"/>
                      <w:lang w:val="en-US" w:eastAsia="zh-CN"/>
                    </w:rPr>
                    <w:t>且末</w:t>
                  </w:r>
                  <w:r>
                    <w:rPr>
                      <w:rFonts w:hint="eastAsia"/>
                    </w:rPr>
                    <w:t>县一般管控区</w:t>
                  </w:r>
                </w:p>
              </w:tc>
              <w:tc>
                <w:tcPr>
                  <w:tcW w:w="2850" w:type="dxa"/>
                  <w:vMerge w:val="continue"/>
                  <w:noWrap w:val="0"/>
                  <w:vAlign w:val="center"/>
                </w:tcPr>
                <w:p>
                  <w:pPr>
                    <w:pStyle w:val="58"/>
                    <w:bidi w:val="0"/>
                    <w:rPr>
                      <w:rFonts w:hint="eastAsia"/>
                      <w:lang w:eastAsia="zh-CN"/>
                    </w:rPr>
                  </w:pPr>
                </w:p>
              </w:tc>
              <w:tc>
                <w:tcPr>
                  <w:tcW w:w="419" w:type="dxa"/>
                  <w:vMerge w:val="continue"/>
                  <w:noWrap w:val="0"/>
                  <w:vAlign w:val="center"/>
                </w:tcPr>
                <w:p>
                  <w:pPr>
                    <w:pStyle w:val="58"/>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t>环境管控单元类别</w:t>
                  </w:r>
                </w:p>
              </w:tc>
              <w:tc>
                <w:tcPr>
                  <w:tcW w:w="2619" w:type="dxa"/>
                  <w:noWrap w:val="0"/>
                  <w:vAlign w:val="center"/>
                </w:tcPr>
                <w:p>
                  <w:pPr>
                    <w:pStyle w:val="58"/>
                    <w:bidi w:val="0"/>
                    <w:rPr>
                      <w:rFonts w:hint="eastAsia"/>
                      <w:lang w:val="en-US" w:eastAsia="zh-CN"/>
                    </w:rPr>
                  </w:pPr>
                  <w:r>
                    <w:rPr>
                      <w:rFonts w:hint="default"/>
                      <w:lang w:val="en-US" w:eastAsia="zh-CN"/>
                    </w:rPr>
                    <w:t>一般管控单元</w:t>
                  </w:r>
                </w:p>
              </w:tc>
              <w:tc>
                <w:tcPr>
                  <w:tcW w:w="2850" w:type="dxa"/>
                  <w:vMerge w:val="continue"/>
                  <w:noWrap w:val="0"/>
                  <w:vAlign w:val="center"/>
                </w:tcPr>
                <w:p>
                  <w:pPr>
                    <w:pStyle w:val="58"/>
                    <w:bidi w:val="0"/>
                    <w:rPr>
                      <w:rFonts w:hint="eastAsia"/>
                      <w:lang w:eastAsia="zh-CN"/>
                    </w:rPr>
                  </w:pPr>
                </w:p>
              </w:tc>
              <w:tc>
                <w:tcPr>
                  <w:tcW w:w="419" w:type="dxa"/>
                  <w:vMerge w:val="continue"/>
                  <w:noWrap w:val="0"/>
                  <w:vAlign w:val="center"/>
                </w:tcPr>
                <w:p>
                  <w:pPr>
                    <w:pStyle w:val="58"/>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gridSpan w:val="2"/>
                  <w:vMerge w:val="restart"/>
                  <w:noWrap w:val="0"/>
                  <w:vAlign w:val="center"/>
                </w:tcPr>
                <w:p>
                  <w:pPr>
                    <w:pStyle w:val="58"/>
                    <w:bidi w:val="0"/>
                  </w:pPr>
                  <w:r>
                    <w:rPr>
                      <w:rFonts w:hint="eastAsia"/>
                      <w:lang w:val="en-US" w:eastAsia="zh-CN"/>
                    </w:rPr>
                    <w:t>管控要求</w:t>
                  </w:r>
                </w:p>
              </w:tc>
              <w:tc>
                <w:tcPr>
                  <w:tcW w:w="735" w:type="dxa"/>
                  <w:noWrap w:val="0"/>
                  <w:vAlign w:val="center"/>
                </w:tcPr>
                <w:p>
                  <w:pPr>
                    <w:pStyle w:val="58"/>
                    <w:bidi w:val="0"/>
                    <w:rPr>
                      <w:rFonts w:hint="eastAsia"/>
                      <w:lang w:val="en-US" w:eastAsia="zh-CN"/>
                    </w:rPr>
                  </w:pPr>
                  <w:r>
                    <w:rPr>
                      <w:rFonts w:hint="default"/>
                      <w:lang w:val="en-US" w:eastAsia="zh-CN"/>
                    </w:rPr>
                    <w:t>空间布局约束</w:t>
                  </w:r>
                </w:p>
              </w:tc>
              <w:tc>
                <w:tcPr>
                  <w:tcW w:w="2619" w:type="dxa"/>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default"/>
                    </w:rPr>
                  </w:pPr>
                  <w:r>
                    <w:rPr>
                      <w:rFonts w:hint="eastAsia"/>
                      <w:lang w:val="en-US" w:eastAsia="zh-CN"/>
                    </w:rPr>
                    <w:t>1.</w:t>
                  </w:r>
                  <w:r>
                    <w:rPr>
                      <w:rFonts w:hint="default"/>
                    </w:rPr>
                    <w:t>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pPr>
                    <w:pStyle w:val="58"/>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2.</w:t>
                  </w:r>
                  <w:r>
                    <w:rPr>
                      <w:rFonts w:hint="default"/>
                    </w:rPr>
                    <w:t>金属和非金属矿山采选企业新建、改建、扩建执行《新疆维吾尔自治区重点行业生态环境准入条件（2024年）》相关要求。</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lang w:eastAsia="zh-CN"/>
                    </w:rPr>
                  </w:pPr>
                  <w:r>
                    <w:rPr>
                      <w:rFonts w:hint="eastAsia"/>
                      <w:lang w:eastAsia="zh-CN"/>
                    </w:rPr>
                    <w:t>本项目</w:t>
                  </w:r>
                  <w:r>
                    <w:rPr>
                      <w:rFonts w:hint="eastAsia"/>
                      <w:lang w:val="en-US" w:eastAsia="zh-CN"/>
                    </w:rPr>
                    <w:t>位于且末</w:t>
                  </w:r>
                  <w:r>
                    <w:rPr>
                      <w:rFonts w:hint="eastAsia"/>
                      <w:lang w:val="zh-CN" w:eastAsia="zh-CN"/>
                    </w:rPr>
                    <w:t>县城西南209°方向，直线距离150千米，行政区划隶属巴音郭</w:t>
                  </w:r>
                  <w:r>
                    <w:rPr>
                      <w:rFonts w:hint="eastAsia"/>
                      <w:lang w:val="en-US" w:eastAsia="zh-CN"/>
                    </w:rPr>
                    <w:t>楞</w:t>
                  </w:r>
                  <w:r>
                    <w:rPr>
                      <w:rFonts w:hint="eastAsia"/>
                      <w:lang w:val="zh-CN" w:eastAsia="zh-CN"/>
                    </w:rPr>
                    <w:t>蒙古自治州</w:t>
                  </w:r>
                  <w:r>
                    <w:rPr>
                      <w:rFonts w:hint="eastAsia"/>
                      <w:lang w:val="en-US" w:eastAsia="zh-CN"/>
                    </w:rPr>
                    <w:t>且末</w:t>
                  </w:r>
                  <w:r>
                    <w:rPr>
                      <w:rFonts w:hint="eastAsia"/>
                      <w:lang w:val="zh-CN" w:eastAsia="zh-CN"/>
                    </w:rPr>
                    <w:t>县管辖，本项目位于划定的矿区，周边无自然保护区、风景名胜区、世界文化和自然遗产地、海洋特别保护区、饮用水水源保护区，不处于水源涵养区，项目采用了边开挖、边回填、边复垦的勘探方式减少水土流失，</w:t>
                  </w:r>
                  <w:r>
                    <w:rPr>
                      <w:rFonts w:hint="eastAsia"/>
                      <w:lang w:eastAsia="zh-CN"/>
                    </w:rPr>
                    <w:t>勘探过程中</w:t>
                  </w:r>
                  <w:r>
                    <w:rPr>
                      <w:rFonts w:hint="eastAsia"/>
                      <w:lang w:val="en-US" w:eastAsia="zh-CN"/>
                    </w:rPr>
                    <w:t>开挖的土石方使用彩条布苫盖</w:t>
                  </w:r>
                  <w:r>
                    <w:rPr>
                      <w:rFonts w:hint="eastAsia"/>
                      <w:lang w:eastAsia="zh-CN"/>
                    </w:rPr>
                    <w:t>，对环境空气质量影响较小，不会降低区域环境空气质量，不属于严重污染大气环境的项目。本项目</w:t>
                  </w:r>
                  <w:r>
                    <w:rPr>
                      <w:rFonts w:hint="eastAsia"/>
                      <w:lang w:val="en-US" w:eastAsia="zh-CN"/>
                    </w:rPr>
                    <w:t>属于</w:t>
                  </w:r>
                  <w:r>
                    <w:rPr>
                      <w:rFonts w:hint="eastAsia"/>
                      <w:lang w:eastAsia="zh-CN"/>
                    </w:rPr>
                    <w:t>陆地矿产资源地质勘查项目，已取得所在区域的探矿权，证号：</w:t>
                  </w:r>
                  <w:r>
                    <w:rPr>
                      <w:rFonts w:hint="eastAsia"/>
                      <w:highlight w:val="none"/>
                      <w:lang w:val="en-US" w:eastAsia="zh-CN"/>
                    </w:rPr>
                    <w:t>DT6500002008063010009491</w:t>
                  </w:r>
                  <w:r>
                    <w:rPr>
                      <w:rFonts w:hint="eastAsia"/>
                      <w:highlight w:val="none"/>
                      <w:lang w:eastAsia="zh-CN"/>
                    </w:rPr>
                    <w:t>。</w:t>
                  </w:r>
                  <w:r>
                    <w:rPr>
                      <w:rFonts w:hint="eastAsia"/>
                      <w:lang w:eastAsia="zh-CN"/>
                    </w:rPr>
                    <w:t>符合该管控单元空间布局约束要求。</w:t>
                  </w:r>
                </w:p>
              </w:tc>
              <w:tc>
                <w:tcPr>
                  <w:tcW w:w="419" w:type="dxa"/>
                  <w:noWrap w:val="0"/>
                  <w:vAlign w:val="center"/>
                </w:tcPr>
                <w:p>
                  <w:pPr>
                    <w:pStyle w:val="58"/>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gridSpan w:val="2"/>
                  <w:vMerge w:val="continue"/>
                  <w:noWrap w:val="0"/>
                  <w:vAlign w:val="center"/>
                </w:tcPr>
                <w:p>
                  <w:pPr>
                    <w:pStyle w:val="58"/>
                    <w:bidi w:val="0"/>
                    <w:rPr>
                      <w:rFonts w:hint="eastAsia"/>
                      <w:lang w:val="en-US" w:eastAsia="zh-CN"/>
                    </w:rPr>
                  </w:pPr>
                </w:p>
              </w:tc>
              <w:tc>
                <w:tcPr>
                  <w:tcW w:w="735" w:type="dxa"/>
                  <w:noWrap w:val="0"/>
                  <w:vAlign w:val="center"/>
                </w:tcPr>
                <w:p>
                  <w:pPr>
                    <w:pStyle w:val="58"/>
                    <w:bidi w:val="0"/>
                    <w:rPr>
                      <w:rFonts w:hint="default"/>
                      <w:lang w:val="en-US" w:eastAsia="zh-CN"/>
                    </w:rPr>
                  </w:pPr>
                  <w:r>
                    <w:rPr>
                      <w:rFonts w:hint="default"/>
                      <w:lang w:val="en-US" w:eastAsia="zh-CN"/>
                    </w:rPr>
                    <w:t>污染物排放管控</w:t>
                  </w:r>
                </w:p>
              </w:tc>
              <w:tc>
                <w:tcPr>
                  <w:tcW w:w="2619"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1.</w:t>
                  </w:r>
                  <w:r>
                    <w:rPr>
                      <w:rFonts w:hint="default"/>
                      <w:lang w:val="en-US" w:eastAsia="zh-CN"/>
                    </w:rPr>
                    <w:t>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99%，有效控制无组织粉尘排放。采选矿各环节废气排放有行业标准的执行行业标准，否则执行《大气污染物综合排放标准》（GB16297）。一般固体废弃物应根据《一般工业固体废物贮存、处置场污染控制标准》（GB18599）进行管理，属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lang w:eastAsia="zh-CN"/>
                    </w:rPr>
                    <w:t>勘探过程中</w:t>
                  </w:r>
                  <w:r>
                    <w:rPr>
                      <w:rFonts w:hint="default"/>
                      <w:lang w:val="en-US" w:eastAsia="zh-CN"/>
                    </w:rPr>
                    <w:t>开挖的土石方使用彩条布苫盖</w:t>
                  </w:r>
                  <w:r>
                    <w:rPr>
                      <w:rFonts w:hint="default"/>
                    </w:rPr>
                    <w:t>，对环境空气质量影响较小，不会降低区域环境空气质量，勘</w:t>
                  </w:r>
                  <w:r>
                    <w:rPr>
                      <w:rFonts w:hint="eastAsia"/>
                      <w:lang w:val="en-US" w:eastAsia="zh-CN"/>
                    </w:rPr>
                    <w:t>查</w:t>
                  </w:r>
                  <w:r>
                    <w:rPr>
                      <w:rFonts w:hint="default"/>
                    </w:rPr>
                    <w:t>期颗粒物执行《大气污染物综合排放标准》（GB16297</w:t>
                  </w:r>
                  <w:r>
                    <w:rPr>
                      <w:rFonts w:hint="eastAsia"/>
                      <w:lang w:val="en-US" w:eastAsia="zh-CN"/>
                    </w:rPr>
                    <w:t>-1996</w:t>
                  </w:r>
                  <w:r>
                    <w:rPr>
                      <w:rFonts w:hint="default"/>
                    </w:rPr>
                    <w:t>）中颗粒物无组织排放浓度限值，</w:t>
                  </w:r>
                  <w:r>
                    <w:rPr>
                      <w:rFonts w:hint="default"/>
                      <w:lang w:val="en-US" w:eastAsia="zh-CN"/>
                    </w:rPr>
                    <w:t>施工营地内设置一定数量的垃圾桶，施工中产生的废料、生活垃圾等固体废物及时清理，分类存储，回收利用，定期进行现场处置及外运。</w:t>
                  </w:r>
                  <w:r>
                    <w:rPr>
                      <w:rFonts w:hint="default"/>
                    </w:rPr>
                    <w:t>符合该管控单元的污染物排放管控要求。</w:t>
                  </w:r>
                </w:p>
              </w:tc>
              <w:tc>
                <w:tcPr>
                  <w:tcW w:w="419" w:type="dxa"/>
                  <w:noWrap w:val="0"/>
                  <w:vAlign w:val="center"/>
                </w:tcPr>
                <w:p>
                  <w:pPr>
                    <w:pStyle w:val="58"/>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gridSpan w:val="2"/>
                  <w:vMerge w:val="continue"/>
                  <w:noWrap w:val="0"/>
                  <w:vAlign w:val="center"/>
                </w:tcPr>
                <w:p>
                  <w:pPr>
                    <w:pStyle w:val="58"/>
                    <w:bidi w:val="0"/>
                    <w:rPr>
                      <w:rFonts w:hint="eastAsia"/>
                      <w:lang w:val="en-US" w:eastAsia="zh-CN"/>
                    </w:rPr>
                  </w:pPr>
                </w:p>
              </w:tc>
              <w:tc>
                <w:tcPr>
                  <w:tcW w:w="735" w:type="dxa"/>
                  <w:noWrap w:val="0"/>
                  <w:vAlign w:val="center"/>
                </w:tcPr>
                <w:p>
                  <w:pPr>
                    <w:pStyle w:val="58"/>
                    <w:bidi w:val="0"/>
                    <w:rPr>
                      <w:rFonts w:hint="default"/>
                      <w:lang w:val="en-US" w:eastAsia="zh-CN"/>
                    </w:rPr>
                  </w:pPr>
                  <w:r>
                    <w:rPr>
                      <w:rFonts w:hint="default"/>
                      <w:lang w:val="en-US" w:eastAsia="zh-CN"/>
                    </w:rPr>
                    <w:t>环境风险防控</w:t>
                  </w:r>
                </w:p>
              </w:tc>
              <w:tc>
                <w:tcPr>
                  <w:tcW w:w="2619"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1.加强对矿山、油田等矿产资源开采影响区域内未利用地的环境监管，发现土壤污染问题的，要坚决查处，并及时督促有关单位采取有效防治措施消除或减轻污染。</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项目不涉及重点流域、饮用水源等环境敏感区域，勘</w:t>
                  </w:r>
                  <w:r>
                    <w:rPr>
                      <w:rFonts w:hint="eastAsia"/>
                      <w:lang w:val="en-US" w:eastAsia="zh-CN"/>
                    </w:rPr>
                    <w:t>查</w:t>
                  </w:r>
                  <w:r>
                    <w:rPr>
                      <w:rFonts w:hint="default"/>
                    </w:rPr>
                    <w:t>期建立健全的环境管理制度，防范环境污染事故发生。符合该管控单元环境风险防控要求。</w:t>
                  </w:r>
                </w:p>
              </w:tc>
              <w:tc>
                <w:tcPr>
                  <w:tcW w:w="419" w:type="dxa"/>
                  <w:noWrap w:val="0"/>
                  <w:vAlign w:val="center"/>
                </w:tcPr>
                <w:p>
                  <w:pPr>
                    <w:pStyle w:val="58"/>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gridSpan w:val="2"/>
                  <w:vMerge w:val="continue"/>
                  <w:noWrap w:val="0"/>
                  <w:vAlign w:val="center"/>
                </w:tcPr>
                <w:p>
                  <w:pPr>
                    <w:pStyle w:val="58"/>
                    <w:bidi w:val="0"/>
                    <w:rPr>
                      <w:rFonts w:hint="eastAsia"/>
                      <w:lang w:val="en-US" w:eastAsia="zh-CN"/>
                    </w:rPr>
                  </w:pPr>
                </w:p>
              </w:tc>
              <w:tc>
                <w:tcPr>
                  <w:tcW w:w="735" w:type="dxa"/>
                  <w:noWrap w:val="0"/>
                  <w:vAlign w:val="center"/>
                </w:tcPr>
                <w:p>
                  <w:pPr>
                    <w:pStyle w:val="58"/>
                    <w:bidi w:val="0"/>
                    <w:rPr>
                      <w:rFonts w:hint="default"/>
                      <w:lang w:val="en-US" w:eastAsia="zh-CN"/>
                    </w:rPr>
                  </w:pPr>
                  <w:r>
                    <w:rPr>
                      <w:rFonts w:hint="default"/>
                      <w:lang w:val="en-US" w:eastAsia="zh-CN"/>
                    </w:rPr>
                    <w:t>资源利用效率</w:t>
                  </w:r>
                </w:p>
              </w:tc>
              <w:tc>
                <w:tcPr>
                  <w:tcW w:w="2619"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1</w:t>
                  </w:r>
                  <w:r>
                    <w:rPr>
                      <w:rFonts w:hint="default"/>
                      <w:lang w:val="en-US" w:eastAsia="zh-CN"/>
                    </w:rPr>
                    <w:t>.废石综合回用、尾矿砂利用率参考《新疆维吾尔自治区重点行业生态环境准入条件（2024年）》等相关文件要求。</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本项目</w:t>
                  </w:r>
                  <w:r>
                    <w:rPr>
                      <w:rFonts w:hint="default"/>
                      <w:lang w:val="en-US" w:eastAsia="zh-CN"/>
                    </w:rPr>
                    <w:t>开挖产生</w:t>
                  </w:r>
                  <w:r>
                    <w:rPr>
                      <w:rFonts w:hint="eastAsia"/>
                      <w:lang w:val="en-US" w:eastAsia="zh-CN"/>
                    </w:rPr>
                    <w:t>的</w:t>
                  </w:r>
                  <w:r>
                    <w:rPr>
                      <w:rFonts w:hint="default"/>
                      <w:lang w:val="en-US" w:eastAsia="zh-CN"/>
                    </w:rPr>
                    <w:t>土石方在勘</w:t>
                  </w:r>
                  <w:r>
                    <w:rPr>
                      <w:rFonts w:hint="eastAsia"/>
                      <w:lang w:val="en-US" w:eastAsia="zh-CN"/>
                    </w:rPr>
                    <w:t>探</w:t>
                  </w:r>
                  <w:r>
                    <w:rPr>
                      <w:rFonts w:hint="default"/>
                      <w:lang w:val="en-US" w:eastAsia="zh-CN"/>
                    </w:rPr>
                    <w:t>期结束后全部回填至开挖地</w:t>
                  </w:r>
                  <w:r>
                    <w:rPr>
                      <w:rFonts w:hint="eastAsia"/>
                      <w:lang w:val="en-US" w:eastAsia="zh-CN"/>
                    </w:rPr>
                    <w:t>。</w:t>
                  </w:r>
                  <w:r>
                    <w:rPr>
                      <w:rFonts w:hint="default"/>
                    </w:rPr>
                    <w:t>符合该管控单元资源利用效率要求。</w:t>
                  </w:r>
                </w:p>
              </w:tc>
              <w:tc>
                <w:tcPr>
                  <w:tcW w:w="419" w:type="dxa"/>
                  <w:noWrap w:val="0"/>
                  <w:vAlign w:val="center"/>
                </w:tcPr>
                <w:p>
                  <w:pPr>
                    <w:pStyle w:val="58"/>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default"/>
                      <w:lang w:val="en-US" w:eastAsia="zh-CN"/>
                    </w:rPr>
                  </w:pPr>
                  <w:r>
                    <w:rPr>
                      <w:rFonts w:hint="default"/>
                      <w:lang w:val="en-US" w:eastAsia="zh-CN"/>
                    </w:rPr>
                    <w:t>环境管控单元编码</w:t>
                  </w:r>
                </w:p>
              </w:tc>
              <w:tc>
                <w:tcPr>
                  <w:tcW w:w="2619" w:type="dxa"/>
                  <w:noWrap w:val="0"/>
                  <w:vAlign w:val="center"/>
                </w:tcPr>
                <w:p>
                  <w:pPr>
                    <w:pStyle w:val="58"/>
                    <w:bidi w:val="0"/>
                    <w:rPr>
                      <w:rFonts w:hint="default"/>
                      <w:lang w:val="en-US" w:eastAsia="zh-CN"/>
                    </w:rPr>
                  </w:pPr>
                  <w:r>
                    <w:rPr>
                      <w:rFonts w:hint="default"/>
                      <w:lang w:val="en-US" w:eastAsia="zh-CN"/>
                    </w:rPr>
                    <w:t>ZH</w:t>
                  </w:r>
                  <w:r>
                    <w:rPr>
                      <w:rFonts w:hint="eastAsia"/>
                      <w:lang w:val="en-US" w:eastAsia="zh-CN"/>
                    </w:rPr>
                    <w:t>65282520001</w:t>
                  </w:r>
                </w:p>
              </w:tc>
              <w:tc>
                <w:tcPr>
                  <w:tcW w:w="2850" w:type="dxa"/>
                  <w:vMerge w:val="restart"/>
                  <w:noWrap w:val="0"/>
                  <w:vAlign w:val="center"/>
                </w:tcPr>
                <w:p>
                  <w:pPr>
                    <w:pStyle w:val="58"/>
                    <w:bidi w:val="0"/>
                    <w:rPr>
                      <w:rFonts w:hint="default"/>
                    </w:rPr>
                  </w:pPr>
                  <w:r>
                    <w:rPr>
                      <w:rFonts w:hint="eastAsia"/>
                      <w:lang w:val="en-US" w:eastAsia="zh-CN"/>
                    </w:rPr>
                    <w:t>本工程情况</w:t>
                  </w:r>
                </w:p>
              </w:tc>
              <w:tc>
                <w:tcPr>
                  <w:tcW w:w="419" w:type="dxa"/>
                  <w:vMerge w:val="restart"/>
                  <w:noWrap w:val="0"/>
                  <w:vAlign w:val="center"/>
                </w:tcPr>
                <w:p>
                  <w:pPr>
                    <w:pStyle w:val="58"/>
                    <w:bidi w:val="0"/>
                    <w:rPr>
                      <w:rFonts w:hint="eastAsia"/>
                      <w:lang w:val="en-US" w:eastAsia="zh-CN"/>
                    </w:rPr>
                  </w:pPr>
                  <w:r>
                    <w:rPr>
                      <w:rFonts w:hint="eastAsia"/>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rPr>
                      <w:rFonts w:hint="eastAsia"/>
                      <w:lang w:val="en-US" w:eastAsia="zh-CN"/>
                    </w:rPr>
                    <w:t>环境管控单元名称</w:t>
                  </w:r>
                </w:p>
              </w:tc>
              <w:tc>
                <w:tcPr>
                  <w:tcW w:w="2619" w:type="dxa"/>
                  <w:noWrap w:val="0"/>
                  <w:vAlign w:val="center"/>
                </w:tcPr>
                <w:p>
                  <w:pPr>
                    <w:pStyle w:val="58"/>
                    <w:bidi w:val="0"/>
                    <w:rPr>
                      <w:rFonts w:hint="default" w:eastAsia="宋体"/>
                      <w:lang w:val="en-US" w:eastAsia="zh-CN"/>
                    </w:rPr>
                  </w:pPr>
                  <w:r>
                    <w:rPr>
                      <w:rFonts w:hint="eastAsia"/>
                      <w:lang w:val="en-US" w:eastAsia="zh-CN"/>
                    </w:rPr>
                    <w:t>且末</w:t>
                  </w:r>
                  <w:r>
                    <w:rPr>
                      <w:rFonts w:hint="eastAsia"/>
                    </w:rPr>
                    <w:t>县</w:t>
                  </w:r>
                  <w:r>
                    <w:rPr>
                      <w:rFonts w:hint="eastAsia"/>
                      <w:lang w:val="en-US" w:eastAsia="zh-CN"/>
                    </w:rPr>
                    <w:t>大气弱扩散区</w:t>
                  </w:r>
                </w:p>
              </w:tc>
              <w:tc>
                <w:tcPr>
                  <w:tcW w:w="2850" w:type="dxa"/>
                  <w:vMerge w:val="continue"/>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p>
              </w:tc>
              <w:tc>
                <w:tcPr>
                  <w:tcW w:w="419" w:type="dxa"/>
                  <w:vMerge w:val="continue"/>
                  <w:noWrap w:val="0"/>
                  <w:vAlign w:val="center"/>
                </w:tcPr>
                <w:p>
                  <w:pPr>
                    <w:pStyle w:val="58"/>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pPr>
                  <w:r>
                    <w:t>环境管控单元类别</w:t>
                  </w:r>
                </w:p>
              </w:tc>
              <w:tc>
                <w:tcPr>
                  <w:tcW w:w="2619" w:type="dxa"/>
                  <w:noWrap w:val="0"/>
                  <w:vAlign w:val="center"/>
                </w:tcPr>
                <w:p>
                  <w:pPr>
                    <w:pStyle w:val="58"/>
                    <w:bidi w:val="0"/>
                    <w:rPr>
                      <w:rFonts w:hint="default"/>
                      <w:lang w:val="en-US" w:eastAsia="zh-CN"/>
                    </w:rPr>
                  </w:pPr>
                  <w:r>
                    <w:rPr>
                      <w:rFonts w:hint="eastAsia"/>
                      <w:lang w:val="en-US" w:eastAsia="zh-CN"/>
                    </w:rPr>
                    <w:t>重点管控单元</w:t>
                  </w:r>
                </w:p>
              </w:tc>
              <w:tc>
                <w:tcPr>
                  <w:tcW w:w="2850" w:type="dxa"/>
                  <w:vMerge w:val="continue"/>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p>
              </w:tc>
              <w:tc>
                <w:tcPr>
                  <w:tcW w:w="419" w:type="dxa"/>
                  <w:vMerge w:val="continue"/>
                  <w:noWrap w:val="0"/>
                  <w:vAlign w:val="center"/>
                </w:tcPr>
                <w:p>
                  <w:pPr>
                    <w:pStyle w:val="58"/>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noWrap w:val="0"/>
                  <w:vAlign w:val="center"/>
                </w:tcPr>
                <w:p>
                  <w:pPr>
                    <w:pStyle w:val="58"/>
                    <w:bidi w:val="0"/>
                  </w:pPr>
                  <w:r>
                    <w:rPr>
                      <w:rFonts w:hint="eastAsia"/>
                      <w:lang w:val="en-US" w:eastAsia="zh-CN"/>
                    </w:rPr>
                    <w:t>管控要求</w:t>
                  </w:r>
                </w:p>
              </w:tc>
              <w:tc>
                <w:tcPr>
                  <w:tcW w:w="736" w:type="dxa"/>
                  <w:gridSpan w:val="2"/>
                  <w:noWrap w:val="0"/>
                  <w:vAlign w:val="center"/>
                </w:tcPr>
                <w:p>
                  <w:pPr>
                    <w:pStyle w:val="58"/>
                    <w:bidi w:val="0"/>
                  </w:pPr>
                  <w:r>
                    <w:rPr>
                      <w:rFonts w:hint="eastAsia"/>
                      <w:lang w:val="en-US" w:eastAsia="zh-CN"/>
                    </w:rPr>
                    <w:t>空间约束布局</w:t>
                  </w:r>
                </w:p>
              </w:tc>
              <w:tc>
                <w:tcPr>
                  <w:tcW w:w="2619" w:type="dxa"/>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default"/>
                      <w:lang w:val="en-US" w:eastAsia="zh-CN"/>
                    </w:rPr>
                  </w:pPr>
                  <w:r>
                    <w:rPr>
                      <w:rFonts w:hint="default"/>
                      <w:lang w:val="en-US" w:eastAsia="zh-CN"/>
                    </w:rPr>
                    <w:t>严格建设项目节能环保准入，涉及大气污染物排放的，执行国家大气污染物排放限值，待地方大气污染物排放标准出台后一并执行。</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val="en-US" w:eastAsia="zh-CN"/>
                    </w:rPr>
                    <w:t>勘探过程中开挖的土石方使用彩条布苫盖，对环境空气质量影响较小，不会降低区域环境空气质量，勘查期颗粒物执行《大气污染物综合排放标准》（GB16297-1996）中颗粒物无组织排放浓度限值。</w:t>
                  </w:r>
                </w:p>
              </w:tc>
              <w:tc>
                <w:tcPr>
                  <w:tcW w:w="419" w:type="dxa"/>
                  <w:noWrap w:val="0"/>
                  <w:vAlign w:val="center"/>
                </w:tcPr>
                <w:p>
                  <w:pPr>
                    <w:pStyle w:val="58"/>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pPr>
                    <w:pStyle w:val="58"/>
                    <w:bidi w:val="0"/>
                    <w:rPr>
                      <w:rFonts w:hint="eastAsia"/>
                      <w:lang w:val="en-US" w:eastAsia="zh-CN"/>
                    </w:rPr>
                  </w:pPr>
                </w:p>
              </w:tc>
              <w:tc>
                <w:tcPr>
                  <w:tcW w:w="736" w:type="dxa"/>
                  <w:gridSpan w:val="2"/>
                  <w:noWrap w:val="0"/>
                  <w:vAlign w:val="center"/>
                </w:tcPr>
                <w:p>
                  <w:pPr>
                    <w:pStyle w:val="58"/>
                    <w:bidi w:val="0"/>
                    <w:rPr>
                      <w:rFonts w:hint="eastAsia"/>
                      <w:lang w:val="en-US" w:eastAsia="zh-CN"/>
                    </w:rPr>
                  </w:pPr>
                  <w:r>
                    <w:rPr>
                      <w:rFonts w:hint="eastAsia"/>
                      <w:lang w:val="en-US" w:eastAsia="zh-CN"/>
                    </w:rPr>
                    <w:t>污染物排放管控</w:t>
                  </w:r>
                </w:p>
              </w:tc>
              <w:tc>
                <w:tcPr>
                  <w:tcW w:w="2619" w:type="dxa"/>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default"/>
                      <w:lang w:val="en-US" w:eastAsia="zh-CN"/>
                    </w:rPr>
                  </w:pPr>
                  <w:r>
                    <w:rPr>
                      <w:rFonts w:hint="default"/>
                      <w:lang w:val="en-US" w:eastAsia="zh-CN"/>
                    </w:rPr>
                    <w:t>执行环境空气质量二级标准。</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eastAsia="宋体"/>
                      <w:lang w:val="en-US" w:eastAsia="zh-CN"/>
                    </w:rPr>
                  </w:pPr>
                  <w:r>
                    <w:rPr>
                      <w:rFonts w:hint="eastAsia"/>
                      <w:lang w:val="en-US" w:eastAsia="zh-CN"/>
                    </w:rPr>
                    <w:t>本项目环境空气质量执行《环境空气质量标准》（GB3095-2026）过渡阶段的二级标准</w:t>
                  </w:r>
                  <w:r>
                    <w:rPr>
                      <w:rFonts w:hint="eastAsia"/>
                      <w:lang w:eastAsia="zh-CN"/>
                    </w:rPr>
                    <w:t>。</w:t>
                  </w:r>
                </w:p>
              </w:tc>
              <w:tc>
                <w:tcPr>
                  <w:tcW w:w="419" w:type="dxa"/>
                  <w:noWrap w:val="0"/>
                  <w:vAlign w:val="center"/>
                </w:tcPr>
                <w:p>
                  <w:pPr>
                    <w:pStyle w:val="58"/>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pPr>
                    <w:pStyle w:val="58"/>
                    <w:bidi w:val="0"/>
                    <w:rPr>
                      <w:rFonts w:hint="eastAsia"/>
                      <w:lang w:val="en-US" w:eastAsia="zh-CN"/>
                    </w:rPr>
                  </w:pPr>
                </w:p>
              </w:tc>
              <w:tc>
                <w:tcPr>
                  <w:tcW w:w="736" w:type="dxa"/>
                  <w:gridSpan w:val="2"/>
                  <w:noWrap w:val="0"/>
                  <w:vAlign w:val="center"/>
                </w:tcPr>
                <w:p>
                  <w:pPr>
                    <w:pStyle w:val="58"/>
                    <w:bidi w:val="0"/>
                    <w:rPr>
                      <w:rFonts w:hint="eastAsia"/>
                      <w:lang w:val="en-US" w:eastAsia="zh-CN"/>
                    </w:rPr>
                  </w:pPr>
                  <w:r>
                    <w:rPr>
                      <w:rFonts w:hint="eastAsia"/>
                      <w:lang w:val="en-US" w:eastAsia="zh-CN"/>
                    </w:rPr>
                    <w:t>环境风险防控</w:t>
                  </w:r>
                </w:p>
              </w:tc>
              <w:tc>
                <w:tcPr>
                  <w:tcW w:w="2619" w:type="dxa"/>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default"/>
                      <w:lang w:val="en-US" w:eastAsia="zh-CN"/>
                    </w:rPr>
                  </w:pPr>
                  <w:r>
                    <w:rPr>
                      <w:rFonts w:hint="default"/>
                      <w:lang w:val="en-US" w:eastAsia="zh-CN"/>
                    </w:rPr>
                    <w:t xml:space="preserve">1.生态环境主管部门应当会同气象部门建立重污染天气监测预警、会商和信息通报等机制，进行大气环境质量预报。 </w:t>
                  </w:r>
                </w:p>
                <w:p>
                  <w:pPr>
                    <w:pStyle w:val="5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default"/>
                      <w:lang w:val="en-US" w:eastAsia="zh-CN"/>
                    </w:rPr>
                  </w:pPr>
                  <w:r>
                    <w:rPr>
                      <w:rFonts w:hint="default"/>
                      <w:lang w:val="en-US" w:eastAsia="zh-CN"/>
                    </w:rPr>
                    <w:t>2.政府应当根据重污染天气的预警等级，及时启动重污染天气应急预案，并采取与预警等级对应的响应措施，相关单位和个人应当配合。</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本项目不涉及。</w:t>
                  </w:r>
                </w:p>
              </w:tc>
              <w:tc>
                <w:tcPr>
                  <w:tcW w:w="419" w:type="dxa"/>
                  <w:noWrap w:val="0"/>
                  <w:vAlign w:val="center"/>
                </w:tcPr>
                <w:p>
                  <w:pPr>
                    <w:pStyle w:val="58"/>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pPr>
                    <w:pStyle w:val="58"/>
                    <w:bidi w:val="0"/>
                    <w:rPr>
                      <w:rFonts w:hint="eastAsia"/>
                      <w:lang w:val="en-US" w:eastAsia="zh-CN"/>
                    </w:rPr>
                  </w:pPr>
                </w:p>
              </w:tc>
              <w:tc>
                <w:tcPr>
                  <w:tcW w:w="736" w:type="dxa"/>
                  <w:gridSpan w:val="2"/>
                  <w:noWrap w:val="0"/>
                  <w:vAlign w:val="center"/>
                </w:tcPr>
                <w:p>
                  <w:pPr>
                    <w:pStyle w:val="58"/>
                    <w:bidi w:val="0"/>
                    <w:rPr>
                      <w:rFonts w:hint="eastAsia"/>
                      <w:lang w:val="en-US" w:eastAsia="zh-CN"/>
                    </w:rPr>
                  </w:pPr>
                  <w:r>
                    <w:rPr>
                      <w:rFonts w:hint="eastAsia"/>
                      <w:lang w:val="en-US" w:eastAsia="zh-CN"/>
                    </w:rPr>
                    <w:t>资源利用效率</w:t>
                  </w:r>
                </w:p>
              </w:tc>
              <w:tc>
                <w:tcPr>
                  <w:tcW w:w="2619" w:type="dxa"/>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default"/>
                      <w:lang w:val="en-US" w:eastAsia="zh-CN"/>
                    </w:rPr>
                  </w:pPr>
                  <w:r>
                    <w:rPr>
                      <w:rFonts w:hint="default"/>
                      <w:lang w:val="en-US" w:eastAsia="zh-CN"/>
                    </w:rPr>
                    <w:t>在集中供热未覆盖的区域，鼓励使用清洁能源替代，推广使用高效节能环保型锅炉。</w:t>
                  </w:r>
                </w:p>
              </w:tc>
              <w:tc>
                <w:tcPr>
                  <w:tcW w:w="285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本项目不涉及。</w:t>
                  </w:r>
                </w:p>
              </w:tc>
              <w:tc>
                <w:tcPr>
                  <w:tcW w:w="419" w:type="dxa"/>
                  <w:noWrap w:val="0"/>
                  <w:vAlign w:val="center"/>
                </w:tcPr>
                <w:p>
                  <w:pPr>
                    <w:pStyle w:val="58"/>
                    <w:bidi w:val="0"/>
                    <w:rPr>
                      <w:rFonts w:hint="eastAsia"/>
                      <w:lang w:val="en-US" w:eastAsia="zh-CN"/>
                    </w:rPr>
                  </w:pPr>
                  <w:r>
                    <w:rPr>
                      <w:rFonts w:hint="eastAsia"/>
                      <w:lang w:val="en-US" w:eastAsia="zh-CN"/>
                    </w:rPr>
                    <w:t>符合</w:t>
                  </w:r>
                </w:p>
              </w:tc>
            </w:tr>
          </w:tbl>
          <w:p>
            <w:pPr>
              <w:pStyle w:val="50"/>
              <w:bidi w:val="0"/>
              <w:rPr>
                <w:rFonts w:hint="default"/>
              </w:rPr>
            </w:pPr>
            <w:r>
              <w:rPr>
                <w:rFonts w:hint="eastAsia"/>
                <w:lang w:val="en-US" w:eastAsia="zh-CN"/>
              </w:rPr>
              <w:t>3.</w:t>
            </w:r>
            <w:r>
              <w:rPr>
                <w:rFonts w:hint="default"/>
              </w:rPr>
              <w:t>环境管理政策</w:t>
            </w:r>
            <w:r>
              <w:rPr>
                <w:rFonts w:hint="eastAsia"/>
                <w:lang w:eastAsia="zh-CN"/>
              </w:rPr>
              <w:t>、</w:t>
            </w:r>
            <w:r>
              <w:rPr>
                <w:rFonts w:hint="eastAsia"/>
                <w:lang w:val="en-US" w:eastAsia="zh-CN"/>
              </w:rPr>
              <w:t>环境保护规划</w:t>
            </w:r>
            <w:r>
              <w:rPr>
                <w:rFonts w:hint="default"/>
              </w:rPr>
              <w:t>相符性分析</w:t>
            </w:r>
          </w:p>
          <w:p>
            <w:pPr>
              <w:pStyle w:val="48"/>
              <w:bidi w:val="0"/>
              <w:rPr>
                <w:rFonts w:hint="default"/>
              </w:rPr>
            </w:pPr>
            <w:r>
              <w:rPr>
                <w:rFonts w:hint="eastAsia"/>
                <w:lang w:eastAsia="zh-CN"/>
              </w:rPr>
              <w:t>（</w:t>
            </w:r>
            <w:r>
              <w:rPr>
                <w:rFonts w:hint="eastAsia"/>
                <w:lang w:val="en-US" w:eastAsia="zh-CN"/>
              </w:rPr>
              <w:t>1</w:t>
            </w:r>
            <w:r>
              <w:rPr>
                <w:rFonts w:hint="eastAsia"/>
                <w:lang w:eastAsia="zh-CN"/>
              </w:rPr>
              <w:t>）</w:t>
            </w:r>
            <w:r>
              <w:rPr>
                <w:rFonts w:hint="default"/>
              </w:rPr>
              <w:t>《新疆维吾尔自治区重点行业生态环境准入条件（2024年）》符合性分析</w:t>
            </w:r>
          </w:p>
          <w:p>
            <w:pPr>
              <w:pStyle w:val="4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rPr>
            </w:pPr>
            <w:r>
              <w:rPr>
                <w:rFonts w:hint="default"/>
              </w:rPr>
              <w:t>根据《新疆维吾尔自治区重点行业生态环境准入条件（2024年）》</w:t>
            </w:r>
            <w:r>
              <w:rPr>
                <w:rFonts w:hint="eastAsia"/>
                <w:lang w:eastAsia="zh-CN"/>
              </w:rPr>
              <w:t>；</w:t>
            </w:r>
            <w:r>
              <w:rPr>
                <w:rFonts w:hint="default"/>
                <w:lang w:eastAsia="zh-CN"/>
              </w:rPr>
              <w:t>禁止在自然保护区、世界自然遗产地、风景名胜区、自然公园（森林公园、地质公园、湿地公园、沙漠公园等）、重要湿地、饮用水水源保护区等依法划定禁止开发建设的环境敏感区及其它法律法规规章禁止的区域进行污染环境的任何开发活动。</w:t>
            </w:r>
          </w:p>
          <w:p>
            <w:pPr>
              <w:pStyle w:val="48"/>
              <w:bidi w:val="0"/>
              <w:rPr>
                <w:rFonts w:hint="eastAsia" w:eastAsia="宋体"/>
                <w:lang w:eastAsia="zh-CN"/>
              </w:rPr>
            </w:pPr>
            <w:r>
              <w:rPr>
                <w:rFonts w:hint="default"/>
              </w:rPr>
              <w:t>根据现场勘查，</w:t>
            </w:r>
            <w:r>
              <w:rPr>
                <w:rFonts w:hint="default"/>
                <w:lang w:eastAsia="zh-CN"/>
              </w:rPr>
              <w:t>勘探</w:t>
            </w:r>
            <w:r>
              <w:rPr>
                <w:rFonts w:hint="default"/>
              </w:rPr>
              <w:t>区</w:t>
            </w:r>
            <w:r>
              <w:rPr>
                <w:rFonts w:hint="default"/>
                <w:lang w:eastAsia="zh-CN"/>
              </w:rPr>
              <w:t>不涉及自然保护区、世界自然遗产地、风景名胜区、森林公园、地质公园、重要湿地、饮用水水源保护区等重点保护区域，</w:t>
            </w:r>
            <w:r>
              <w:rPr>
                <w:rFonts w:hint="default"/>
              </w:rPr>
              <w:t>因此本项目选址符合《新疆维吾尔自治区重点行业生态环境准入条件（2024年）》的相关要求</w:t>
            </w:r>
            <w:r>
              <w:rPr>
                <w:rFonts w:hint="eastAsia"/>
                <w:lang w:eastAsia="zh-CN"/>
              </w:rPr>
              <w:t>。</w:t>
            </w:r>
          </w:p>
          <w:p>
            <w:pPr>
              <w:pStyle w:val="48"/>
              <w:numPr>
                <w:ilvl w:val="0"/>
                <w:numId w:val="0"/>
              </w:numPr>
              <w:bidi w:val="0"/>
              <w:ind w:firstLine="480" w:firstLineChars="200"/>
              <w:rPr>
                <w:rFonts w:hint="default"/>
              </w:rPr>
            </w:pPr>
            <w:r>
              <w:rPr>
                <w:rFonts w:hint="default" w:ascii="Times New Roman" w:hAnsi="Times New Roman" w:eastAsia="宋体" w:cs="宋体"/>
                <w:kern w:val="0"/>
                <w:sz w:val="24"/>
                <w:szCs w:val="24"/>
                <w:lang w:val="en-US" w:eastAsia="zh-CN" w:bidi="ar-SA"/>
              </w:rPr>
              <w:t>（2）</w:t>
            </w:r>
            <w:r>
              <w:rPr>
                <w:rFonts w:hint="eastAsia"/>
              </w:rPr>
              <w:t>《新疆生态环境保护“十四五”规划》符合性分析</w:t>
            </w:r>
          </w:p>
          <w:p>
            <w:pPr>
              <w:pStyle w:val="48"/>
              <w:bidi w:val="0"/>
              <w:rPr>
                <w:rFonts w:hint="eastAsia"/>
                <w:lang w:eastAsia="zh-CN"/>
              </w:rPr>
            </w:pPr>
            <w:r>
              <w:rPr>
                <w:rFonts w:hint="eastAsia"/>
                <w:lang w:eastAsia="zh-CN"/>
              </w:rPr>
              <w:t>健全国土空间开发保护制度。完善国土空间规划体系，划定并严格落实“三区三线”，明晰生态、农业、城镇三类空间及生态保护红线、永久基本农田、城镇开发边界三条控制线，持续优化城市化地区、农产品产区、生态功能区布局。合理确定新增建设用地规模，严格控制建设项目土地使用标准，提高资源利用效率。强化国土空间用途管制，对国土空间分级分类实施管控，推动形成优势互补、绿色低碳、高质量发展的区域经济布局。严格落实国家绿色产业指导目录标准，依法依规把好土地审批供应关，加强建设用地准入监管。全面推进绿色矿山建设，规范绿色矿山第三方评估，推广矿产资源节约与综合利用先进技术。</w:t>
            </w:r>
          </w:p>
          <w:p>
            <w:pPr>
              <w:pStyle w:val="48"/>
              <w:bidi w:val="0"/>
              <w:rPr>
                <w:rFonts w:hint="eastAsia"/>
                <w:lang w:eastAsia="zh-CN"/>
              </w:rPr>
            </w:pPr>
            <w:r>
              <w:rPr>
                <w:rFonts w:hint="eastAsia"/>
                <w:lang w:eastAsia="zh-CN"/>
              </w:rPr>
              <w:t>本项目已依法取得探矿权，</w:t>
            </w:r>
            <w:r>
              <w:rPr>
                <w:rFonts w:hint="eastAsia"/>
                <w:lang w:val="en-US" w:eastAsia="zh-CN"/>
              </w:rPr>
              <w:t>证号为</w:t>
            </w:r>
            <w:r>
              <w:rPr>
                <w:rFonts w:hint="eastAsia"/>
                <w:highlight w:val="none"/>
                <w:lang w:val="en-US" w:eastAsia="zh-CN"/>
              </w:rPr>
              <w:t>DT6500002008063010009491</w:t>
            </w:r>
            <w:r>
              <w:rPr>
                <w:rFonts w:hint="eastAsia"/>
                <w:lang w:val="en-US" w:eastAsia="zh-CN"/>
              </w:rPr>
              <w:t>，</w:t>
            </w:r>
            <w:r>
              <w:rPr>
                <w:rFonts w:hint="eastAsia"/>
                <w:lang w:eastAsia="zh-CN"/>
              </w:rPr>
              <w:t>在探矿权范围内开展勘探活动，项目用地不在生态保护红线内，</w:t>
            </w:r>
            <w:r>
              <w:rPr>
                <w:rFonts w:hint="eastAsia"/>
                <w:lang w:val="en-US" w:eastAsia="zh-CN"/>
              </w:rPr>
              <w:t>项目</w:t>
            </w:r>
            <w:r>
              <w:rPr>
                <w:rFonts w:hint="eastAsia"/>
                <w:lang w:eastAsia="zh-CN"/>
              </w:rPr>
              <w:t>占地均为临时占地，待勘探工程结束后，恢复原有地形地貌。符合《新疆生态环境保护“十四五”规划》的要求。</w:t>
            </w:r>
          </w:p>
          <w:p>
            <w:pPr>
              <w:pStyle w:val="48"/>
              <w:bidi w:val="0"/>
              <w:rPr>
                <w:rFonts w:hint="eastAsia"/>
                <w:lang w:eastAsia="zh-CN"/>
              </w:rPr>
            </w:pPr>
            <w:r>
              <w:rPr>
                <w:rFonts w:hint="eastAsia"/>
                <w:lang w:eastAsia="zh-CN"/>
              </w:rPr>
              <w:t>（</w:t>
            </w:r>
            <w:r>
              <w:rPr>
                <w:rFonts w:hint="eastAsia"/>
                <w:lang w:val="en-US" w:eastAsia="zh-CN"/>
              </w:rPr>
              <w:t>3</w:t>
            </w:r>
            <w:r>
              <w:rPr>
                <w:rFonts w:hint="eastAsia"/>
                <w:lang w:eastAsia="zh-CN"/>
              </w:rPr>
              <w:t>）《矿山生态环境保护与污染防治技术政策》符合性分析</w:t>
            </w:r>
          </w:p>
          <w:p>
            <w:pPr>
              <w:pStyle w:val="48"/>
              <w:bidi w:val="0"/>
              <w:rPr>
                <w:rFonts w:hint="eastAsia"/>
                <w:lang w:eastAsia="zh-CN"/>
              </w:rPr>
            </w:pPr>
            <w:r>
              <w:rPr>
                <w:rFonts w:hint="eastAsia"/>
                <w:lang w:eastAsia="zh-CN"/>
              </w:rPr>
              <w:t>根据《矿山生态环境保护与污染防治技术政策》，矿产资源的开发应贯彻“污染防治与生态环境保护并重，生态环境保护与生态环境建设并举；以及预防为主、防治结合、过程控制、综合治理”的指导方针。矿产资源的开发应推行循环经济的“污染物减量、资源再利用和循环利用”的技术原则。本项目属于矿产资源勘查项目，不涉及矿产资源的开采，勘探区采用了边开挖、边回填、边复垦的勘探方式，探槽开挖的临时弃土就地堆放在探槽</w:t>
            </w:r>
            <w:r>
              <w:rPr>
                <w:rFonts w:hint="eastAsia"/>
                <w:lang w:val="en-US" w:eastAsia="zh-CN"/>
              </w:rPr>
              <w:t>一</w:t>
            </w:r>
            <w:r>
              <w:rPr>
                <w:rFonts w:hint="eastAsia"/>
                <w:lang w:eastAsia="zh-CN"/>
              </w:rPr>
              <w:t>侧，并用</w:t>
            </w:r>
            <w:r>
              <w:rPr>
                <w:rFonts w:hint="eastAsia"/>
                <w:lang w:val="en-US" w:eastAsia="zh-CN"/>
              </w:rPr>
              <w:t>彩条布苫盖</w:t>
            </w:r>
            <w:r>
              <w:rPr>
                <w:rFonts w:hint="eastAsia"/>
                <w:lang w:eastAsia="zh-CN"/>
              </w:rPr>
              <w:t>，工程完成后立即回填。符合《矿山生态环境保护与污染防治技术政策》的要求。</w:t>
            </w:r>
          </w:p>
          <w:p>
            <w:pPr>
              <w:pStyle w:val="48"/>
              <w:bidi w:val="0"/>
              <w:rPr>
                <w:rFonts w:hint="eastAsia"/>
                <w:lang w:eastAsia="zh-CN"/>
              </w:rPr>
            </w:pPr>
            <w:r>
              <w:rPr>
                <w:rFonts w:hint="eastAsia"/>
                <w:lang w:eastAsia="zh-CN"/>
              </w:rPr>
              <w:t>（</w:t>
            </w:r>
            <w:r>
              <w:rPr>
                <w:rFonts w:hint="eastAsia"/>
                <w:lang w:val="en-US" w:eastAsia="zh-CN"/>
              </w:rPr>
              <w:t>4</w:t>
            </w:r>
            <w:r>
              <w:rPr>
                <w:rFonts w:hint="eastAsia"/>
                <w:lang w:eastAsia="zh-CN"/>
              </w:rPr>
              <w:t>）自然资源部、国家林草局《关于〈在新一轮找矿突破战略行动中全面实施绿色勘查〉的通知》符合性分析</w:t>
            </w:r>
          </w:p>
          <w:p>
            <w:pPr>
              <w:pStyle w:val="48"/>
              <w:bidi w:val="0"/>
              <w:rPr>
                <w:rFonts w:hint="eastAsia"/>
                <w:lang w:eastAsia="zh-CN"/>
              </w:rPr>
            </w:pPr>
            <w:r>
              <w:rPr>
                <w:rFonts w:hint="eastAsia"/>
                <w:lang w:val="en-US" w:eastAsia="zh-CN"/>
              </w:rPr>
              <w:t>①</w:t>
            </w:r>
            <w:r>
              <w:rPr>
                <w:rFonts w:hint="eastAsia"/>
                <w:lang w:eastAsia="zh-CN"/>
              </w:rPr>
              <w:t>地质勘查全行业要深入学习贯彻习近平生态文明思想，牢固树立和践行“绿水青山就是金山银山”的理念，全面实施绿色勘查，严格执行绿色勘查有关标准规范，全面提升绿色勘查技术方法、装备水平，高质量完成新一轮找矿突破战略行动目标。</w:t>
            </w:r>
          </w:p>
          <w:p>
            <w:pPr>
              <w:pStyle w:val="48"/>
              <w:bidi w:val="0"/>
              <w:rPr>
                <w:rFonts w:hint="eastAsia"/>
                <w:lang w:eastAsia="zh-CN"/>
              </w:rPr>
            </w:pPr>
            <w:r>
              <w:rPr>
                <w:rFonts w:hint="eastAsia"/>
                <w:lang w:val="en-US" w:eastAsia="zh-CN"/>
              </w:rPr>
              <w:t>②</w:t>
            </w:r>
            <w:r>
              <w:rPr>
                <w:rFonts w:hint="eastAsia"/>
                <w:lang w:eastAsia="zh-CN"/>
              </w:rPr>
              <w:t>新出让的探矿权，要将矿业权人绿色勘查义务在合同中载明，并在勘查实施方案评审中，对绿色勘查措施进行严格把关，促进矿业权人落实绿色勘查各项规定和要求。</w:t>
            </w:r>
          </w:p>
          <w:p>
            <w:pPr>
              <w:pStyle w:val="48"/>
              <w:bidi w:val="0"/>
              <w:rPr>
                <w:rFonts w:hint="eastAsia"/>
                <w:lang w:eastAsia="zh-CN"/>
              </w:rPr>
            </w:pPr>
            <w:r>
              <w:rPr>
                <w:rFonts w:hint="eastAsia"/>
                <w:lang w:val="en-US" w:eastAsia="zh-CN"/>
              </w:rPr>
              <w:t>③</w:t>
            </w:r>
            <w:r>
              <w:rPr>
                <w:rFonts w:hint="eastAsia"/>
                <w:lang w:eastAsia="zh-CN"/>
              </w:rPr>
              <w:t>地勘单位和矿山企业要在新一轮找矿突破战略行动有关地质勘查项目实施中，优先采用遥感、物探、化探等对环境影响小的地质勘查方法，必要的坑探、槽探、钻探、硐探要符合绿色勘查有关标准规范。在森林、草原、湿地地区尽可能减少使用坑探、槽探，鼓励使用以钻代槽、一基多孔等探矿手段。</w:t>
            </w:r>
          </w:p>
          <w:p>
            <w:pPr>
              <w:pStyle w:val="48"/>
              <w:bidi w:val="0"/>
              <w:rPr>
                <w:rFonts w:hint="eastAsia"/>
                <w:lang w:eastAsia="zh-CN"/>
              </w:rPr>
            </w:pPr>
            <w:r>
              <w:rPr>
                <w:rFonts w:hint="eastAsia"/>
                <w:lang w:val="en-US" w:eastAsia="zh-CN"/>
              </w:rPr>
              <w:t>④</w:t>
            </w:r>
            <w:r>
              <w:rPr>
                <w:rFonts w:hint="eastAsia"/>
                <w:lang w:eastAsia="zh-CN"/>
              </w:rPr>
              <w:t>各地要严格落实好生态环境保护有关规定和要求，勘查工作结束后，项目承担单位要及时撤除各项设施，严格按照废弃物清理有关国家标准清理施工现场各种废物、垃圾等，严格按照绿色勘查有关标准规范和勘查实施方案要求处理新建道路、施工产生的坑、沟等，严格按照森林、草原、湿地、防沙治沙有关法律法规和标准规范在规定时间内做好复绿、复植等。</w:t>
            </w:r>
          </w:p>
          <w:p>
            <w:pPr>
              <w:pStyle w:val="48"/>
              <w:bidi w:val="0"/>
              <w:rPr>
                <w:rFonts w:hint="default"/>
                <w:lang w:val="en-US" w:eastAsia="zh-CN"/>
              </w:rPr>
            </w:pPr>
            <w:r>
              <w:rPr>
                <w:rFonts w:hint="eastAsia"/>
                <w:lang w:val="en-US" w:eastAsia="zh-CN"/>
              </w:rPr>
              <w:t>本项目施工布置及施工遵循“从已知到未知，由表及里，由浅入深，由稀到密”原则。前期充分收集已有地质资料，运用地理信息系统（GIS）、遥感（RS）等技术，进行综合分析和研究，优化勘查工作布局，减少不必要的勘查活动对环境的影响。采用地质测量、钻探、槽探等工作手段开展详查评价。通过运用高效、环保的方法、技术、设备等，在地质勘查各方面和全过程中减少或控制对生态环境的影响。在勘查结束后按照相关要求撤除各项设施，清理施工现场各种废物、垃圾，及时对开挖工程进行回填，开展植被恢复工作，最大限度减少人为破坏，践行“绿水青山就是金山银山”的理念，实现绿色勘查。符合绿色勘查要求。</w:t>
            </w:r>
          </w:p>
          <w:p>
            <w:pPr>
              <w:pStyle w:val="48"/>
              <w:bidi w:val="0"/>
              <w:rPr>
                <w:rFonts w:hint="eastAsia"/>
                <w:lang w:eastAsia="zh-CN"/>
              </w:rPr>
            </w:pPr>
            <w:r>
              <w:rPr>
                <w:rFonts w:hint="eastAsia"/>
                <w:lang w:eastAsia="zh-CN"/>
              </w:rPr>
              <w:t>（</w:t>
            </w:r>
            <w:r>
              <w:rPr>
                <w:rFonts w:hint="eastAsia"/>
                <w:lang w:val="en-US" w:eastAsia="zh-CN"/>
              </w:rPr>
              <w:t>5</w:t>
            </w:r>
            <w:r>
              <w:rPr>
                <w:rFonts w:hint="eastAsia"/>
                <w:lang w:eastAsia="zh-CN"/>
              </w:rPr>
              <w:t>）《巴音郭楞蒙古自治州生态环境“十四五”规划》符合性分析</w:t>
            </w:r>
          </w:p>
          <w:p>
            <w:pPr>
              <w:pStyle w:val="48"/>
              <w:bidi w:val="0"/>
              <w:rPr>
                <w:rFonts w:hint="eastAsia"/>
                <w:lang w:eastAsia="zh-CN"/>
              </w:rPr>
            </w:pPr>
            <w:r>
              <w:rPr>
                <w:rFonts w:hint="eastAsia"/>
                <w:lang w:eastAsia="zh-CN"/>
              </w:rPr>
              <w:t>严格执行能源、矿产资源开发自治区人民政府“一支笔”审批制度、环境保护“一票否决”制度，守住生态保护红线、环境质量底线和自然资源利用上线。本项目已依法取得探矿权，在探矿权属范围内开展勘探活动，项目用地不在生态保护红线内，符合《巴音郭楞蒙古自治州生态环境“十四五”规划》的要求。</w:t>
            </w:r>
          </w:p>
          <w:p>
            <w:pPr>
              <w:pStyle w:val="48"/>
              <w:bidi w:val="0"/>
              <w:rPr>
                <w:rFonts w:hint="eastAsia"/>
                <w:lang w:val="en-US" w:eastAsia="zh-CN"/>
              </w:rPr>
            </w:pPr>
            <w:r>
              <w:rPr>
                <w:rFonts w:hint="eastAsia"/>
                <w:lang w:val="en-US" w:eastAsia="zh-CN"/>
              </w:rPr>
              <w:t>（6）《新疆维吾尔自治区2025年空气质量持续改善行动实施方案》（新政办发〔2024〕58号）符合性分析。</w:t>
            </w:r>
          </w:p>
          <w:p>
            <w:pPr>
              <w:pStyle w:val="48"/>
              <w:bidi w:val="0"/>
              <w:rPr>
                <w:rFonts w:hint="eastAsia"/>
                <w:lang w:val="en-US" w:eastAsia="zh-CN"/>
              </w:rPr>
            </w:pPr>
            <w:r>
              <w:rPr>
                <w:rFonts w:hint="eastAsia"/>
                <w:lang w:val="en-US" w:eastAsia="zh-CN"/>
              </w:rPr>
              <w:t>推进矿山生态环境综合整治。根据安全生产、水土保持、生态环境等要求，新建矿山按照绿色矿山标准规划、设计、建设和运行管理，鼓励同步建设铁路专用线或采用其他清洁运输方式；推进生产矿山绿色矿山建设，依法关闭限期整改仍不达标矿山。沙化土地范围内矿产资源开发建设项目加强防沙治沙工作。</w:t>
            </w:r>
          </w:p>
          <w:p>
            <w:pPr>
              <w:pStyle w:val="48"/>
              <w:bidi w:val="0"/>
              <w:rPr>
                <w:rFonts w:hint="eastAsia"/>
                <w:lang w:val="en-US" w:eastAsia="zh-CN"/>
              </w:rPr>
            </w:pPr>
            <w:r>
              <w:rPr>
                <w:rFonts w:hint="eastAsia"/>
                <w:lang w:val="en-US" w:eastAsia="zh-CN"/>
              </w:rPr>
              <w:t>本项目属于矿产资源勘查项目，不涉及矿产资源的开采，勘探区采用了边开挖、边回填、边复垦的勘探方式，项目区属于非沙化土地，在勘查过程中加强防沙治沙工作，防止从非沙化土地转变为沙化土地。</w:t>
            </w:r>
          </w:p>
          <w:p>
            <w:pPr>
              <w:pStyle w:val="48"/>
              <w:bidi w:val="0"/>
              <w:rPr>
                <w:rFonts w:hint="default"/>
                <w:lang w:val="en-US" w:eastAsia="zh-CN"/>
              </w:rPr>
            </w:pPr>
            <w:r>
              <w:rPr>
                <w:rFonts w:hint="eastAsia"/>
                <w:lang w:val="en-US" w:eastAsia="zh-CN"/>
              </w:rPr>
              <w:t>（7）《绿色地质勘查工作规范》（DZ/T0374-2021）符合性分析。</w:t>
            </w:r>
          </w:p>
          <w:p>
            <w:pPr>
              <w:pStyle w:val="48"/>
              <w:bidi w:val="0"/>
              <w:rPr>
                <w:rFonts w:hint="eastAsia"/>
                <w:lang w:val="en-US" w:eastAsia="zh-CN"/>
              </w:rPr>
            </w:pPr>
            <w:r>
              <w:rPr>
                <w:rFonts w:hint="eastAsia"/>
                <w:lang w:val="en-US" w:eastAsia="zh-CN"/>
              </w:rPr>
              <w:t>地质勘查工作前，应对工作人员进行绿色勘查培训，强化生态环境保护意识，掌握绿色勘查要求，地质调查工作实施中应保留绿色勘查相关记录。新修道路、驻地及探矿工程场地平整施工。绿色勘查工作质量检查应与项目工作质量检查同步开展，发现问题及时整改。地质勘查工作施工后，应按照地质勘查设计中绿色勘查内容要求，开展环境修复工作。地质勘察单位应对其开展勘查工作受影响的区域生态环境修复负责。</w:t>
            </w:r>
          </w:p>
          <w:p>
            <w:pPr>
              <w:pStyle w:val="48"/>
              <w:bidi w:val="0"/>
              <w:rPr>
                <w:rFonts w:hint="default"/>
                <w:lang w:val="en-US" w:eastAsia="zh-CN"/>
              </w:rPr>
            </w:pPr>
            <w:r>
              <w:rPr>
                <w:rFonts w:hint="eastAsia"/>
                <w:lang w:val="en-US" w:eastAsia="zh-CN"/>
              </w:rPr>
              <w:t>本项目在勘查工作前对工作人员进行绿色勘查培训。勘查过程中加强监督管理，提高勘查水平，本着谁施工、谁恢复、谁治理的原则。勘查完成后，对所破坏的环境进行恢复治理。符合绿色地质勘查工作规范。</w:t>
            </w:r>
          </w:p>
          <w:p>
            <w:pPr>
              <w:pStyle w:val="48"/>
              <w:bidi w:val="0"/>
              <w:ind w:left="0" w:leftChars="0" w:firstLine="0" w:firstLineChars="0"/>
              <w:rPr>
                <w:rFonts w:hint="default"/>
                <w:lang w:val="en-US" w:eastAsia="zh-CN"/>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二、建设内容</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地理位置</w:t>
            </w:r>
          </w:p>
        </w:tc>
        <w:tc>
          <w:tcPr>
            <w:tcW w:w="7847" w:type="dxa"/>
            <w:noWrap w:val="0"/>
            <w:vAlign w:val="center"/>
          </w:tcPr>
          <w:p>
            <w:pPr>
              <w:pStyle w:val="48"/>
              <w:bidi w:val="0"/>
              <w:rPr>
                <w:rFonts w:hint="default" w:eastAsia="宋体"/>
                <w:lang w:val="en-US" w:eastAsia="zh-CN"/>
              </w:rPr>
            </w:pPr>
            <w:r>
              <w:rPr>
                <w:rFonts w:hint="eastAsia"/>
                <w:lang w:val="en-US" w:eastAsia="zh-CN"/>
              </w:rPr>
              <w:t>本项目</w:t>
            </w:r>
            <w:r>
              <w:rPr>
                <w:rFonts w:hint="eastAsia"/>
              </w:rPr>
              <w:t>位于</w:t>
            </w:r>
            <w:r>
              <w:rPr>
                <w:rFonts w:hint="eastAsia"/>
                <w:lang w:val="en-US" w:eastAsia="zh-CN"/>
              </w:rPr>
              <w:t>新疆维吾尔自治区巴音郭楞蒙古自治州且末县城西南209°方向，直线距离150千米</w:t>
            </w:r>
            <w:r>
              <w:rPr>
                <w:rFonts w:hint="eastAsia"/>
              </w:rPr>
              <w:t>，中心点坐标（CGCS2000坐标系）：</w:t>
            </w:r>
            <w:r>
              <w:rPr>
                <w:rFonts w:hint="default" w:ascii="Times New Roman" w:hAnsi="Times New Roman" w:cs="Times New Roman"/>
              </w:rPr>
              <w:t>东经</w:t>
            </w:r>
            <w:r>
              <w:rPr>
                <w:rFonts w:hint="default" w:ascii="Times New Roman" w:hAnsi="Times New Roman" w:cs="Times New Roman"/>
                <w:lang w:val="en-US" w:eastAsia="zh-CN"/>
              </w:rPr>
              <w:t>84°40′24.109″</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北纬</w:t>
            </w:r>
            <w:r>
              <w:rPr>
                <w:rFonts w:hint="default" w:ascii="Times New Roman" w:hAnsi="Times New Roman" w:cs="Times New Roman"/>
                <w:lang w:val="en-US" w:eastAsia="zh-CN"/>
              </w:rPr>
              <w:t>36°57′19.227″</w:t>
            </w:r>
            <w:r>
              <w:rPr>
                <w:rFonts w:hint="default" w:ascii="Times New Roman" w:hAnsi="Times New Roman" w:cs="Times New Roman"/>
              </w:rPr>
              <w:t>。工作区面积</w:t>
            </w:r>
            <w:r>
              <w:rPr>
                <w:rFonts w:hint="eastAsia" w:cs="Times New Roman"/>
                <w:lang w:val="en-US" w:eastAsia="zh-CN"/>
              </w:rPr>
              <w:t>7.8476</w:t>
            </w:r>
            <w:r>
              <w:rPr>
                <w:rFonts w:hint="eastAsia"/>
              </w:rPr>
              <w:t>平方千米</w:t>
            </w:r>
            <w:r>
              <w:rPr>
                <w:rFonts w:hint="eastAsia"/>
                <w:lang w:eastAsia="zh-CN"/>
              </w:rPr>
              <w:t>，</w:t>
            </w:r>
            <w:r>
              <w:rPr>
                <w:rFonts w:hint="eastAsia"/>
              </w:rPr>
              <w:t>行政区划隶属于</w:t>
            </w:r>
            <w:r>
              <w:rPr>
                <w:rFonts w:hint="eastAsia"/>
                <w:lang w:val="en-US" w:eastAsia="zh-CN"/>
              </w:rPr>
              <w:t>且末</w:t>
            </w:r>
            <w:r>
              <w:rPr>
                <w:rFonts w:hint="eastAsia"/>
              </w:rPr>
              <w:t>县管辖。</w:t>
            </w:r>
            <w:r>
              <w:rPr>
                <w:rFonts w:hint="eastAsia"/>
                <w:lang w:val="en-US" w:eastAsia="zh-CN"/>
              </w:rPr>
              <w:t>勘探区范围由6个拐点圈定，拐点坐标见表2-1。</w:t>
            </w:r>
          </w:p>
          <w:p>
            <w:pPr>
              <w:pStyle w:val="52"/>
              <w:bidi w:val="0"/>
              <w:rPr>
                <w:rFonts w:hint="default"/>
                <w:lang w:val="en-US" w:eastAsia="zh-CN"/>
              </w:rPr>
            </w:pPr>
            <w:r>
              <w:rPr>
                <w:rFonts w:hint="eastAsia"/>
                <w:lang w:val="en-US" w:eastAsia="zh-CN"/>
              </w:rPr>
              <w:t>表2-1    勘探</w:t>
            </w:r>
            <w:r>
              <w:rPr>
                <w:rFonts w:hint="eastAsia"/>
              </w:rPr>
              <w:t>区范围拐点坐标表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79"/>
              <w:gridCol w:w="223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vMerge w:val="restart"/>
                  <w:tcBorders>
                    <w:tl2br w:val="nil"/>
                    <w:tr2bl w:val="nil"/>
                  </w:tcBorders>
                  <w:noWrap/>
                  <w:vAlign w:val="center"/>
                </w:tcPr>
                <w:p>
                  <w:pPr>
                    <w:pStyle w:val="58"/>
                    <w:bidi w:val="0"/>
                    <w:rPr>
                      <w:rFonts w:hint="default" w:ascii="Times New Roman" w:hAnsi="Times New Roman" w:cs="Times New Roman"/>
                      <w:highlight w:val="none"/>
                    </w:rPr>
                  </w:pPr>
                  <w:r>
                    <w:rPr>
                      <w:rFonts w:hint="default" w:ascii="Times New Roman" w:hAnsi="Times New Roman" w:cs="Times New Roman"/>
                      <w:highlight w:val="none"/>
                    </w:rPr>
                    <w:t>点号</w:t>
                  </w:r>
                </w:p>
              </w:tc>
              <w:tc>
                <w:tcPr>
                  <w:tcW w:w="3222" w:type="pct"/>
                  <w:gridSpan w:val="2"/>
                  <w:tcBorders>
                    <w:tl2br w:val="nil"/>
                    <w:tr2bl w:val="nil"/>
                  </w:tcBorders>
                  <w:noWrap/>
                  <w:vAlign w:val="center"/>
                </w:tcPr>
                <w:p>
                  <w:pPr>
                    <w:pStyle w:val="58"/>
                    <w:bidi w:val="0"/>
                    <w:rPr>
                      <w:rFonts w:hint="default" w:ascii="Times New Roman" w:hAnsi="Times New Roman" w:cs="Times New Roman"/>
                      <w:highlight w:val="none"/>
                    </w:rPr>
                  </w:pPr>
                  <w:r>
                    <w:rPr>
                      <w:rFonts w:hint="default" w:ascii="Times New Roman" w:hAnsi="Times New Roman" w:cs="Times New Roman"/>
                      <w:highlight w:val="none"/>
                    </w:rPr>
                    <w:t>2000国家大地坐标系</w:t>
                  </w:r>
                </w:p>
              </w:tc>
              <w:tc>
                <w:tcPr>
                  <w:tcW w:w="1313" w:type="pct"/>
                  <w:vMerge w:val="restart"/>
                  <w:tcBorders>
                    <w:tl2br w:val="nil"/>
                    <w:tr2bl w:val="nil"/>
                  </w:tcBorders>
                  <w:noWrap/>
                  <w:vAlign w:val="center"/>
                </w:tcPr>
                <w:p>
                  <w:pPr>
                    <w:pStyle w:val="58"/>
                    <w:bidi w:val="0"/>
                    <w:rPr>
                      <w:rFonts w:hint="default" w:ascii="Times New Roman" w:hAnsi="Times New Roman" w:cs="Times New Roman"/>
                      <w:highlight w:val="none"/>
                    </w:rPr>
                  </w:pPr>
                  <w:r>
                    <w:rPr>
                      <w:rFonts w:hint="default" w:ascii="Times New Roman" w:hAnsi="Times New Roman" w:cs="Times New Roman"/>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c>
                <w:tcPr>
                  <w:tcW w:w="1758" w:type="pct"/>
                  <w:tcBorders>
                    <w:tl2br w:val="nil"/>
                    <w:tr2bl w:val="nil"/>
                  </w:tcBorders>
                  <w:noWrap/>
                  <w:vAlign w:val="center"/>
                </w:tcPr>
                <w:p>
                  <w:pPr>
                    <w:pStyle w:val="58"/>
                    <w:bidi w:val="0"/>
                    <w:rPr>
                      <w:rFonts w:hint="default" w:ascii="Times New Roman" w:hAnsi="Times New Roman" w:cs="Times New Roman"/>
                      <w:highlight w:val="none"/>
                    </w:rPr>
                  </w:pPr>
                  <w:r>
                    <w:rPr>
                      <w:rFonts w:hint="default" w:ascii="Times New Roman" w:hAnsi="Times New Roman" w:cs="Times New Roman"/>
                      <w:highlight w:val="none"/>
                    </w:rPr>
                    <w:t>经度</w:t>
                  </w:r>
                </w:p>
              </w:tc>
              <w:tc>
                <w:tcPr>
                  <w:tcW w:w="1464" w:type="pct"/>
                  <w:tcBorders>
                    <w:tl2br w:val="nil"/>
                    <w:tr2bl w:val="nil"/>
                  </w:tcBorders>
                  <w:noWrap/>
                  <w:vAlign w:val="center"/>
                </w:tcPr>
                <w:p>
                  <w:pPr>
                    <w:pStyle w:val="58"/>
                    <w:bidi w:val="0"/>
                    <w:rPr>
                      <w:rFonts w:hint="default" w:ascii="Times New Roman" w:hAnsi="Times New Roman" w:cs="Times New Roman"/>
                      <w:highlight w:val="none"/>
                    </w:rPr>
                  </w:pPr>
                  <w:r>
                    <w:rPr>
                      <w:rFonts w:hint="default" w:ascii="Times New Roman" w:hAnsi="Times New Roman" w:cs="Times New Roman"/>
                      <w:highlight w:val="none"/>
                    </w:rPr>
                    <w:t>纬度</w:t>
                  </w:r>
                </w:p>
              </w:tc>
              <w:tc>
                <w:tcPr>
                  <w:tcW w:w="1313"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tcBorders>
                    <w:tl2br w:val="nil"/>
                    <w:tr2bl w:val="nil"/>
                  </w:tcBorders>
                  <w:noWrap/>
                  <w:vAlign w:val="center"/>
                </w:tcPr>
                <w:p>
                  <w:pPr>
                    <w:pStyle w:val="58"/>
                    <w:bidi w:val="0"/>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1</w:t>
                  </w:r>
                </w:p>
              </w:tc>
              <w:tc>
                <w:tcPr>
                  <w:tcW w:w="1758" w:type="pct"/>
                  <w:tcBorders>
                    <w:tl2br w:val="nil"/>
                    <w:tr2bl w:val="nil"/>
                  </w:tcBorders>
                  <w:noWrap/>
                  <w:vAlign w:val="center"/>
                </w:tcPr>
                <w:p>
                  <w:pPr>
                    <w:widowControl/>
                    <w:adjustRightInd w:val="0"/>
                    <w:snapToGrid w:val="0"/>
                    <w:jc w:val="center"/>
                    <w:textAlignment w:val="bottom"/>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84°39′07.000″</w:t>
                  </w:r>
                </w:p>
              </w:tc>
              <w:tc>
                <w:tcPr>
                  <w:tcW w:w="1464" w:type="pct"/>
                  <w:tcBorders>
                    <w:tl2br w:val="nil"/>
                    <w:tr2bl w:val="nil"/>
                  </w:tcBorders>
                  <w:noWrap/>
                  <w:vAlign w:val="center"/>
                </w:tcPr>
                <w:p>
                  <w:pPr>
                    <w:widowControl/>
                    <w:adjustRightInd w:val="0"/>
                    <w:snapToGrid w:val="0"/>
                    <w:jc w:val="center"/>
                    <w:textAlignment w:val="bottom"/>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36°58′01.000″</w:t>
                  </w:r>
                </w:p>
              </w:tc>
              <w:tc>
                <w:tcPr>
                  <w:tcW w:w="1313" w:type="pct"/>
                  <w:vMerge w:val="restart"/>
                  <w:tcBorders>
                    <w:tl2br w:val="nil"/>
                    <w:tr2bl w:val="nil"/>
                  </w:tcBorders>
                  <w:noWrap w:val="0"/>
                  <w:vAlign w:val="center"/>
                </w:tcPr>
                <w:p>
                  <w:pPr>
                    <w:pStyle w:val="58"/>
                    <w:bidi w:val="0"/>
                    <w:rPr>
                      <w:rFonts w:hint="default" w:ascii="Times New Roman" w:hAnsi="Times New Roman" w:cs="Times New Roman"/>
                      <w:highlight w:val="none"/>
                    </w:rPr>
                  </w:pPr>
                  <w:r>
                    <w:rPr>
                      <w:rFonts w:hint="default" w:ascii="Times New Roman" w:hAnsi="Times New Roman" w:cs="Times New Roman"/>
                      <w:highlight w:val="none"/>
                    </w:rPr>
                    <w:t>共由</w:t>
                  </w:r>
                  <w:r>
                    <w:rPr>
                      <w:rFonts w:hint="eastAsia" w:cs="Times New Roman"/>
                      <w:highlight w:val="none"/>
                      <w:lang w:val="en-US" w:eastAsia="zh-CN"/>
                    </w:rPr>
                    <w:t>6</w:t>
                  </w:r>
                  <w:r>
                    <w:rPr>
                      <w:rFonts w:hint="default" w:ascii="Times New Roman" w:hAnsi="Times New Roman" w:cs="Times New Roman"/>
                      <w:highlight w:val="none"/>
                    </w:rPr>
                    <w:t>个拐点圈连，面积</w:t>
                  </w:r>
                  <w:r>
                    <w:rPr>
                      <w:rFonts w:hint="eastAsia" w:cs="Times New Roman"/>
                      <w:highlight w:val="none"/>
                      <w:lang w:val="en-US" w:eastAsia="zh-CN"/>
                    </w:rPr>
                    <w:t>7.8476</w:t>
                  </w:r>
                  <w:r>
                    <w:rPr>
                      <w:rFonts w:hint="default" w:ascii="Times New Roman" w:hAnsi="Times New Roman" w:cs="Times New Roman"/>
                      <w:highlight w:val="none"/>
                    </w:rPr>
                    <w:t>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tcBorders>
                    <w:tl2br w:val="nil"/>
                    <w:tr2bl w:val="nil"/>
                  </w:tcBorders>
                  <w:noWrap/>
                  <w:vAlign w:val="center"/>
                </w:tcPr>
                <w:p>
                  <w:pPr>
                    <w:pStyle w:val="58"/>
                    <w:bidi w:val="0"/>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2</w:t>
                  </w:r>
                </w:p>
              </w:tc>
              <w:tc>
                <w:tcPr>
                  <w:tcW w:w="1758" w:type="pct"/>
                  <w:tcBorders>
                    <w:tl2br w:val="nil"/>
                    <w:tr2bl w:val="nil"/>
                  </w:tcBorders>
                  <w:noWrap/>
                  <w:vAlign w:val="center"/>
                </w:tcPr>
                <w:p>
                  <w:pPr>
                    <w:widowControl/>
                    <w:adjustRightInd w:val="0"/>
                    <w:snapToGrid w:val="0"/>
                    <w:jc w:val="center"/>
                    <w:textAlignment w:val="bottom"/>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84°41′44.000″</w:t>
                  </w:r>
                </w:p>
              </w:tc>
              <w:tc>
                <w:tcPr>
                  <w:tcW w:w="1464" w:type="pct"/>
                  <w:tcBorders>
                    <w:tl2br w:val="nil"/>
                    <w:tr2bl w:val="nil"/>
                  </w:tcBorders>
                  <w:noWrap/>
                  <w:vAlign w:val="center"/>
                </w:tcPr>
                <w:p>
                  <w:pPr>
                    <w:widowControl/>
                    <w:adjustRightInd w:val="0"/>
                    <w:snapToGrid w:val="0"/>
                    <w:jc w:val="center"/>
                    <w:textAlignment w:val="bottom"/>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36°58′01.000″</w:t>
                  </w:r>
                </w:p>
              </w:tc>
              <w:tc>
                <w:tcPr>
                  <w:tcW w:w="1313"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tcBorders>
                    <w:tl2br w:val="nil"/>
                    <w:tr2bl w:val="nil"/>
                  </w:tcBorders>
                  <w:noWrap/>
                  <w:vAlign w:val="center"/>
                </w:tcPr>
                <w:p>
                  <w:pPr>
                    <w:pStyle w:val="58"/>
                    <w:bidi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p>
              </w:tc>
              <w:tc>
                <w:tcPr>
                  <w:tcW w:w="1758" w:type="pct"/>
                  <w:tcBorders>
                    <w:tl2br w:val="nil"/>
                    <w:tr2bl w:val="nil"/>
                  </w:tcBorders>
                  <w:noWrap/>
                  <w:vAlign w:val="center"/>
                </w:tcPr>
                <w:p>
                  <w:pPr>
                    <w:widowControl/>
                    <w:adjustRightInd w:val="0"/>
                    <w:snapToGrid w:val="0"/>
                    <w:jc w:val="center"/>
                    <w:textAlignment w:val="bottom"/>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84°41′44.000″</w:t>
                  </w:r>
                </w:p>
              </w:tc>
              <w:tc>
                <w:tcPr>
                  <w:tcW w:w="1464" w:type="pct"/>
                  <w:tcBorders>
                    <w:tl2br w:val="nil"/>
                    <w:tr2bl w:val="nil"/>
                  </w:tcBorders>
                  <w:noWrap/>
                  <w:vAlign w:val="center"/>
                </w:tcPr>
                <w:p>
                  <w:pPr>
                    <w:widowControl/>
                    <w:adjustRightInd w:val="0"/>
                    <w:snapToGrid w:val="0"/>
                    <w:jc w:val="center"/>
                    <w:textAlignment w:val="bottom"/>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36°57′03.000″</w:t>
                  </w:r>
                </w:p>
              </w:tc>
              <w:tc>
                <w:tcPr>
                  <w:tcW w:w="1313"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tcBorders>
                    <w:tl2br w:val="nil"/>
                    <w:tr2bl w:val="nil"/>
                  </w:tcBorders>
                  <w:noWrap/>
                  <w:vAlign w:val="center"/>
                </w:tcPr>
                <w:p>
                  <w:pPr>
                    <w:pStyle w:val="58"/>
                    <w:bidi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4</w:t>
                  </w:r>
                </w:p>
              </w:tc>
              <w:tc>
                <w:tcPr>
                  <w:tcW w:w="1758" w:type="pct"/>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84°40′38.650″</w:t>
                  </w:r>
                </w:p>
              </w:tc>
              <w:tc>
                <w:tcPr>
                  <w:tcW w:w="1464" w:type="pct"/>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36°57′03.000″</w:t>
                  </w:r>
                </w:p>
              </w:tc>
              <w:tc>
                <w:tcPr>
                  <w:tcW w:w="1313"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tcBorders>
                    <w:tl2br w:val="nil"/>
                    <w:tr2bl w:val="nil"/>
                  </w:tcBorders>
                  <w:noWrap/>
                  <w:vAlign w:val="center"/>
                </w:tcPr>
                <w:p>
                  <w:pPr>
                    <w:pStyle w:val="58"/>
                    <w:bidi w:val="0"/>
                    <w:rPr>
                      <w:rFonts w:hint="default" w:ascii="Times New Roman" w:hAnsi="Times New Roman" w:cs="Times New Roman"/>
                      <w:highlight w:val="none"/>
                      <w:lang w:val="en-US" w:eastAsia="zh-CN"/>
                    </w:rPr>
                  </w:pPr>
                  <w:r>
                    <w:rPr>
                      <w:rFonts w:hint="eastAsia" w:cs="Times New Roman"/>
                      <w:highlight w:val="none"/>
                      <w:lang w:val="en-US" w:eastAsia="zh-CN"/>
                    </w:rPr>
                    <w:t>5</w:t>
                  </w:r>
                </w:p>
              </w:tc>
              <w:tc>
                <w:tcPr>
                  <w:tcW w:w="1758" w:type="pct"/>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84°40′38.650″</w:t>
                  </w:r>
                </w:p>
              </w:tc>
              <w:tc>
                <w:tcPr>
                  <w:tcW w:w="1464" w:type="pct"/>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36°56′50.000″</w:t>
                  </w:r>
                </w:p>
              </w:tc>
              <w:tc>
                <w:tcPr>
                  <w:tcW w:w="1313"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4" w:type="pct"/>
                  <w:tcBorders>
                    <w:tl2br w:val="nil"/>
                    <w:tr2bl w:val="nil"/>
                  </w:tcBorders>
                  <w:noWrap/>
                  <w:vAlign w:val="center"/>
                </w:tcPr>
                <w:p>
                  <w:pPr>
                    <w:pStyle w:val="58"/>
                    <w:bidi w:val="0"/>
                    <w:rPr>
                      <w:rFonts w:hint="default" w:ascii="Times New Roman" w:hAnsi="Times New Roman" w:cs="Times New Roman"/>
                      <w:highlight w:val="none"/>
                      <w:lang w:val="en-US" w:eastAsia="zh-CN"/>
                    </w:rPr>
                  </w:pPr>
                  <w:r>
                    <w:rPr>
                      <w:rFonts w:hint="eastAsia" w:cs="Times New Roman"/>
                      <w:highlight w:val="none"/>
                      <w:lang w:val="en-US" w:eastAsia="zh-CN"/>
                    </w:rPr>
                    <w:t>6</w:t>
                  </w:r>
                </w:p>
              </w:tc>
              <w:tc>
                <w:tcPr>
                  <w:tcW w:w="1758" w:type="pct"/>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84°39′07.000″</w:t>
                  </w:r>
                </w:p>
              </w:tc>
              <w:tc>
                <w:tcPr>
                  <w:tcW w:w="1464" w:type="pct"/>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36°56′50.000″</w:t>
                  </w:r>
                </w:p>
              </w:tc>
              <w:tc>
                <w:tcPr>
                  <w:tcW w:w="1313" w:type="pct"/>
                  <w:vMerge w:val="continue"/>
                  <w:tcBorders>
                    <w:tl2br w:val="nil"/>
                    <w:tr2bl w:val="nil"/>
                  </w:tcBorders>
                  <w:noWrap w:val="0"/>
                  <w:vAlign w:val="center"/>
                </w:tcPr>
                <w:p>
                  <w:pPr>
                    <w:pStyle w:val="58"/>
                    <w:bidi w:val="0"/>
                    <w:rPr>
                      <w:rFonts w:hint="default" w:ascii="Times New Roman" w:hAnsi="Times New Roman" w:cs="Times New Roman"/>
                      <w:highlight w:val="none"/>
                    </w:rPr>
                  </w:pPr>
                </w:p>
              </w:tc>
            </w:tr>
          </w:tbl>
          <w:p>
            <w:pPr>
              <w:pStyle w:val="48"/>
              <w:bidi w:val="0"/>
              <w:rPr>
                <w:rFonts w:hint="default" w:eastAsia="宋体"/>
                <w:lang w:val="en-US" w:eastAsia="zh-CN"/>
              </w:rPr>
            </w:pPr>
            <w:r>
              <w:rPr>
                <w:rFonts w:hint="eastAsia"/>
                <w:lang w:val="en-US" w:eastAsia="zh-CN"/>
              </w:rPr>
              <w:t>本区交通以公路为主，由且末县城出发，沿和若高速向西行驶150km至38团，后向南行90千米，至石门水库，路面为柏油路面。石门水库至色日克阔勒村矿区22千米为能通行汽车的简易道路，交通条件一般。矿区外修建3km道路通往矿区，矿区内修建2km道路便于勘查工作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项目组成及规模</w:t>
            </w:r>
          </w:p>
        </w:tc>
        <w:tc>
          <w:tcPr>
            <w:tcW w:w="7847" w:type="dxa"/>
            <w:noWrap w:val="0"/>
            <w:vAlign w:val="center"/>
          </w:tcPr>
          <w:p>
            <w:pPr>
              <w:pStyle w:val="50"/>
              <w:bidi w:val="0"/>
              <w:rPr>
                <w:rFonts w:hint="default"/>
                <w:highlight w:val="none"/>
                <w:lang w:val="en-US" w:eastAsia="zh-CN"/>
              </w:rPr>
            </w:pPr>
            <w:r>
              <w:rPr>
                <w:rFonts w:hint="eastAsia"/>
                <w:highlight w:val="none"/>
                <w:lang w:val="en-US" w:eastAsia="zh-CN"/>
              </w:rPr>
              <w:t>1.项目基本情况</w:t>
            </w:r>
          </w:p>
          <w:p>
            <w:pPr>
              <w:pStyle w:val="48"/>
              <w:bidi w:val="0"/>
              <w:jc w:val="left"/>
              <w:rPr>
                <w:rFonts w:hint="default"/>
                <w:highlight w:val="green"/>
              </w:rPr>
            </w:pPr>
            <w:r>
              <w:rPr>
                <w:rFonts w:hint="eastAsia"/>
                <w:lang w:val="en-US" w:eastAsia="zh-CN"/>
              </w:rPr>
              <w:t>且末县磊鑫矿业有限公司于</w:t>
            </w:r>
            <w:r>
              <w:rPr>
                <w:rFonts w:hint="eastAsia"/>
                <w:highlight w:val="none"/>
                <w:lang w:val="en-US" w:eastAsia="zh-CN"/>
              </w:rPr>
              <w:t>2026年3月24日取得“</w:t>
            </w:r>
            <w:r>
              <w:rPr>
                <w:rFonts w:hint="eastAsia"/>
                <w:highlight w:val="none"/>
                <w:lang w:eastAsia="zh-CN"/>
              </w:rPr>
              <w:t>新疆</w:t>
            </w:r>
            <w:r>
              <w:rPr>
                <w:rFonts w:hint="eastAsia"/>
                <w:highlight w:val="none"/>
                <w:lang w:val="en-US" w:eastAsia="zh-CN"/>
              </w:rPr>
              <w:t>且末县色日克库里铜多金属矿勘探”</w:t>
            </w:r>
            <w:r>
              <w:rPr>
                <w:rFonts w:hint="default"/>
                <w:highlight w:val="none"/>
              </w:rPr>
              <w:t>探矿权</w:t>
            </w:r>
            <w:r>
              <w:rPr>
                <w:rFonts w:hint="eastAsia"/>
                <w:highlight w:val="none"/>
                <w:lang w:eastAsia="zh-CN"/>
              </w:rPr>
              <w:t>。</w:t>
            </w:r>
          </w:p>
          <w:p>
            <w:pPr>
              <w:pStyle w:val="48"/>
              <w:bidi w:val="0"/>
              <w:jc w:val="left"/>
              <w:rPr>
                <w:rFonts w:hint="default"/>
              </w:rPr>
            </w:pPr>
            <w:r>
              <w:rPr>
                <w:rFonts w:hint="default"/>
              </w:rPr>
              <w:t>探矿权基本信息如下（探矿权拐点坐标见表</w:t>
            </w:r>
            <w:r>
              <w:rPr>
                <w:rFonts w:hint="default"/>
                <w:lang w:val="en-US" w:eastAsia="zh-CN"/>
              </w:rPr>
              <w:t>2</w:t>
            </w:r>
            <w:r>
              <w:rPr>
                <w:rFonts w:hint="default"/>
              </w:rPr>
              <w:t>-</w:t>
            </w:r>
            <w:r>
              <w:rPr>
                <w:rFonts w:hint="default"/>
                <w:lang w:val="en-US" w:eastAsia="zh-CN"/>
              </w:rPr>
              <w:t>1</w:t>
            </w:r>
            <w:r>
              <w:rPr>
                <w:rFonts w:hint="default"/>
              </w:rPr>
              <w:t>）：</w:t>
            </w:r>
          </w:p>
          <w:p>
            <w:pPr>
              <w:pStyle w:val="48"/>
              <w:bidi w:val="0"/>
              <w:rPr>
                <w:rFonts w:hint="default"/>
                <w:lang w:val="en-US" w:eastAsia="zh-CN"/>
              </w:rPr>
            </w:pPr>
            <w:r>
              <w:rPr>
                <w:rFonts w:hint="eastAsia"/>
                <w:lang w:val="en-US" w:eastAsia="zh-CN"/>
              </w:rPr>
              <w:t>证号：</w:t>
            </w:r>
            <w:r>
              <w:rPr>
                <w:rFonts w:hint="eastAsia"/>
                <w:highlight w:val="none"/>
                <w:lang w:val="en-US" w:eastAsia="zh-CN"/>
              </w:rPr>
              <w:t>DT6500002008063010009491</w:t>
            </w:r>
          </w:p>
          <w:p>
            <w:pPr>
              <w:pStyle w:val="48"/>
              <w:bidi w:val="0"/>
              <w:rPr>
                <w:rFonts w:hint="eastAsia"/>
                <w:lang w:val="en-US" w:eastAsia="zh-CN"/>
              </w:rPr>
            </w:pPr>
            <w:r>
              <w:rPr>
                <w:rFonts w:hint="eastAsia"/>
                <w:lang w:val="en-US" w:eastAsia="zh-CN"/>
              </w:rPr>
              <w:t>项目名称：新疆且末县色日克库里铜多金属矿勘探</w:t>
            </w:r>
          </w:p>
          <w:p>
            <w:pPr>
              <w:pStyle w:val="48"/>
              <w:bidi w:val="0"/>
              <w:rPr>
                <w:rFonts w:hint="eastAsia"/>
                <w:lang w:val="en-US" w:eastAsia="zh-CN"/>
              </w:rPr>
            </w:pPr>
            <w:r>
              <w:rPr>
                <w:rFonts w:hint="default"/>
                <w:lang w:val="en-US" w:eastAsia="zh-CN"/>
              </w:rPr>
              <w:t>探矿权人：</w:t>
            </w:r>
            <w:r>
              <w:rPr>
                <w:rFonts w:hint="eastAsia"/>
                <w:lang w:val="en-US" w:eastAsia="zh-CN"/>
              </w:rPr>
              <w:t>且末县磊鑫矿业有限公司</w:t>
            </w:r>
          </w:p>
          <w:p>
            <w:pPr>
              <w:pStyle w:val="48"/>
              <w:bidi w:val="0"/>
              <w:rPr>
                <w:rFonts w:hint="default"/>
                <w:lang w:val="en-US" w:eastAsia="zh-CN"/>
              </w:rPr>
            </w:pPr>
            <w:r>
              <w:rPr>
                <w:rFonts w:hint="default"/>
                <w:lang w:val="en-US" w:eastAsia="zh-CN"/>
              </w:rPr>
              <w:t>地理位置：新疆维吾尔自治区巴音郭楞蒙古自治州</w:t>
            </w:r>
            <w:r>
              <w:rPr>
                <w:rFonts w:hint="eastAsia"/>
                <w:lang w:val="en-US" w:eastAsia="zh-CN"/>
              </w:rPr>
              <w:t>且末</w:t>
            </w:r>
            <w:r>
              <w:rPr>
                <w:rFonts w:hint="default"/>
                <w:lang w:val="en-US" w:eastAsia="zh-CN"/>
              </w:rPr>
              <w:t>县</w:t>
            </w:r>
          </w:p>
          <w:p>
            <w:pPr>
              <w:pStyle w:val="48"/>
              <w:bidi w:val="0"/>
              <w:rPr>
                <w:rFonts w:hint="default"/>
                <w:lang w:val="en-US" w:eastAsia="zh-CN"/>
              </w:rPr>
            </w:pPr>
            <w:r>
              <w:rPr>
                <w:rFonts w:hint="default"/>
                <w:lang w:val="en-US" w:eastAsia="zh-CN"/>
              </w:rPr>
              <w:t>勘查面积：</w:t>
            </w:r>
            <w:r>
              <w:rPr>
                <w:rFonts w:hint="eastAsia"/>
                <w:lang w:val="en-US" w:eastAsia="zh-CN"/>
              </w:rPr>
              <w:t>7.8476平方公里</w:t>
            </w:r>
          </w:p>
          <w:p>
            <w:pPr>
              <w:pStyle w:val="48"/>
              <w:keepNext w:val="0"/>
              <w:keepLines w:val="0"/>
              <w:pageBreakBefore w:val="0"/>
              <w:widowControl w:val="0"/>
              <w:kinsoku/>
              <w:wordWrap w:val="0"/>
              <w:overflowPunct/>
              <w:topLinePunct w:val="0"/>
              <w:autoSpaceDE/>
              <w:autoSpaceDN/>
              <w:bidi w:val="0"/>
              <w:adjustRightInd w:val="0"/>
              <w:snapToGrid w:val="0"/>
              <w:textAlignment w:val="auto"/>
              <w:rPr>
                <w:rFonts w:hint="default"/>
                <w:lang w:val="en-US" w:eastAsia="zh-CN"/>
              </w:rPr>
            </w:pPr>
            <w:r>
              <w:rPr>
                <w:rFonts w:hint="eastAsia"/>
                <w:lang w:val="en-US" w:eastAsia="zh-CN"/>
              </w:rPr>
              <w:t>权利</w:t>
            </w:r>
            <w:r>
              <w:rPr>
                <w:rFonts w:hint="default"/>
                <w:lang w:val="en-US" w:eastAsia="zh-CN"/>
              </w:rPr>
              <w:t>期限：</w:t>
            </w:r>
            <w:r>
              <w:rPr>
                <w:rFonts w:hint="eastAsia"/>
                <w:highlight w:val="none"/>
                <w:lang w:val="en-US" w:eastAsia="zh-CN"/>
              </w:rPr>
              <w:t>2026</w:t>
            </w:r>
            <w:r>
              <w:rPr>
                <w:rFonts w:hint="default"/>
                <w:highlight w:val="none"/>
                <w:lang w:val="en-US" w:eastAsia="zh-CN"/>
              </w:rPr>
              <w:t>年</w:t>
            </w:r>
            <w:r>
              <w:rPr>
                <w:rFonts w:hint="eastAsia"/>
                <w:highlight w:val="none"/>
                <w:lang w:val="en-US" w:eastAsia="zh-CN"/>
              </w:rPr>
              <w:t>3月23</w:t>
            </w:r>
            <w:r>
              <w:rPr>
                <w:rFonts w:hint="default"/>
                <w:highlight w:val="none"/>
                <w:lang w:val="en-US" w:eastAsia="zh-CN"/>
              </w:rPr>
              <w:t>日至20</w:t>
            </w:r>
            <w:r>
              <w:rPr>
                <w:rFonts w:hint="eastAsia"/>
                <w:highlight w:val="none"/>
                <w:lang w:val="en-US" w:eastAsia="zh-CN"/>
              </w:rPr>
              <w:t>31</w:t>
            </w:r>
            <w:r>
              <w:rPr>
                <w:rFonts w:hint="default"/>
                <w:highlight w:val="none"/>
                <w:lang w:val="en-US" w:eastAsia="zh-CN"/>
              </w:rPr>
              <w:t>年</w:t>
            </w:r>
            <w:r>
              <w:rPr>
                <w:rFonts w:hint="eastAsia"/>
                <w:highlight w:val="none"/>
                <w:lang w:val="en-US" w:eastAsia="zh-CN"/>
              </w:rPr>
              <w:t>3</w:t>
            </w:r>
            <w:r>
              <w:rPr>
                <w:rFonts w:hint="default"/>
                <w:highlight w:val="none"/>
                <w:lang w:val="en-US" w:eastAsia="zh-CN"/>
              </w:rPr>
              <w:t>月</w:t>
            </w:r>
            <w:r>
              <w:rPr>
                <w:rFonts w:hint="eastAsia"/>
                <w:highlight w:val="none"/>
                <w:lang w:val="en-US" w:eastAsia="zh-CN"/>
              </w:rPr>
              <w:t>22</w:t>
            </w:r>
            <w:r>
              <w:rPr>
                <w:rFonts w:hint="default"/>
                <w:highlight w:val="none"/>
                <w:lang w:val="en-US" w:eastAsia="zh-CN"/>
              </w:rPr>
              <w:t>日</w:t>
            </w:r>
          </w:p>
          <w:p>
            <w:pPr>
              <w:pStyle w:val="48"/>
              <w:keepNext w:val="0"/>
              <w:keepLines w:val="0"/>
              <w:pageBreakBefore w:val="0"/>
              <w:widowControl w:val="0"/>
              <w:kinsoku/>
              <w:wordWrap w:val="0"/>
              <w:overflowPunct/>
              <w:topLinePunct w:val="0"/>
              <w:autoSpaceDE/>
              <w:autoSpaceDN/>
              <w:bidi w:val="0"/>
              <w:adjustRightInd w:val="0"/>
              <w:snapToGrid w:val="0"/>
              <w:textAlignment w:val="auto"/>
              <w:rPr>
                <w:rFonts w:hint="default"/>
                <w:color w:val="auto"/>
                <w:lang w:val="en-US" w:eastAsia="zh-CN"/>
              </w:rPr>
            </w:pPr>
            <w:r>
              <w:rPr>
                <w:rFonts w:hint="eastAsia"/>
                <w:lang w:val="en-US" w:eastAsia="zh-CN"/>
              </w:rPr>
              <w:t>且末县磊鑫矿业有限公司</w:t>
            </w:r>
            <w:r>
              <w:rPr>
                <w:rFonts w:hint="eastAsia"/>
                <w:highlight w:val="none"/>
                <w:lang w:val="en-US" w:eastAsia="zh-CN"/>
              </w:rPr>
              <w:t>成立于2008年1月9日，法定代表人为吴建海，</w:t>
            </w:r>
            <w:r>
              <w:rPr>
                <w:rFonts w:hint="eastAsia"/>
                <w:color w:val="auto"/>
                <w:highlight w:val="none"/>
                <w:lang w:val="en-US" w:eastAsia="zh-CN"/>
              </w:rPr>
              <w:t>统一社会信用代码：91652825670210963U。</w:t>
            </w:r>
          </w:p>
          <w:p>
            <w:pPr>
              <w:pStyle w:val="50"/>
              <w:bidi w:val="0"/>
              <w:rPr>
                <w:rFonts w:hint="default"/>
                <w:color w:val="auto"/>
                <w:lang w:val="en-US" w:eastAsia="zh-CN"/>
              </w:rPr>
            </w:pPr>
            <w:r>
              <w:rPr>
                <w:rFonts w:hint="eastAsia"/>
                <w:color w:val="auto"/>
                <w:lang w:val="en-US" w:eastAsia="zh-CN"/>
              </w:rPr>
              <w:t>2.项目主要建设内容</w:t>
            </w:r>
          </w:p>
          <w:p>
            <w:pPr>
              <w:pStyle w:val="48"/>
              <w:bidi w:val="0"/>
              <w:rPr>
                <w:rFonts w:hint="eastAsia"/>
                <w:color w:val="auto"/>
                <w:lang w:val="en-US" w:eastAsia="zh-CN"/>
              </w:rPr>
            </w:pPr>
            <w:r>
              <w:rPr>
                <w:rFonts w:hint="eastAsia"/>
                <w:color w:val="auto"/>
                <w:lang w:val="en-US" w:eastAsia="zh-CN"/>
              </w:rPr>
              <w:t>根据本项目目的任务，以及工作区内实际情况，拟采用地形测量、地质测量、电法测量、水工环测量、槽探、钻探及样品采集等手段来开展勘查工作。本次选择1:10000地质修测、1:10000激电中梯测量、1:2000地形测量、1:2000地质测量、1:2000激电测深剖面测量、1:2000水工环地质测量、1:1000剖面测量、1:500勘查线剖面测量、槽探、钻探、水文钻探及采样等探矿工程手段对该矿进行勘查评价工作。</w:t>
            </w:r>
          </w:p>
          <w:p>
            <w:pPr>
              <w:pStyle w:val="48"/>
              <w:bidi w:val="0"/>
              <w:rPr>
                <w:rFonts w:hint="eastAsia"/>
                <w:color w:val="auto"/>
                <w:lang w:val="en-US" w:eastAsia="zh-CN"/>
              </w:rPr>
            </w:pPr>
            <w:r>
              <w:rPr>
                <w:rFonts w:hint="eastAsia"/>
                <w:color w:val="auto"/>
                <w:lang w:val="en-US" w:eastAsia="zh-CN"/>
              </w:rPr>
              <w:t>项目主要建设内容见表2-2。</w:t>
            </w:r>
          </w:p>
          <w:p>
            <w:pPr>
              <w:pStyle w:val="52"/>
              <w:bidi w:val="0"/>
              <w:rPr>
                <w:rFonts w:hint="eastAsia"/>
                <w:color w:val="auto"/>
                <w:lang w:val="en-US" w:eastAsia="zh-CN"/>
              </w:rPr>
            </w:pPr>
            <w:r>
              <w:rPr>
                <w:rFonts w:hint="eastAsia"/>
                <w:color w:val="auto"/>
                <w:lang w:val="en-US" w:eastAsia="zh-CN"/>
              </w:rPr>
              <w:t>表2-2    主要建设内容一览表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92"/>
              <w:gridCol w:w="6"/>
              <w:gridCol w:w="1233"/>
              <w:gridCol w:w="1823"/>
              <w:gridCol w:w="107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84"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2005"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建设内容</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计量单位</w:t>
                  </w:r>
                </w:p>
              </w:tc>
              <w:tc>
                <w:tcPr>
                  <w:tcW w:w="1004"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涉及总工作量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主体工程</w:t>
                  </w: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地质测量</w:t>
                  </w:r>
                </w:p>
              </w:tc>
              <w:tc>
                <w:tcPr>
                  <w:tcW w:w="2005"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地形测量</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004"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1:10000地质填图(修测)</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004" w:type="pct"/>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7.8476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1:2000地质测量</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004" w:type="pct"/>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1:2000水</w:t>
                  </w:r>
                  <w:r>
                    <w:rPr>
                      <w:rFonts w:hint="eastAsia" w:cs="Times New Roman"/>
                      <w:color w:val="auto"/>
                      <w:sz w:val="21"/>
                      <w:szCs w:val="21"/>
                      <w:highlight w:val="none"/>
                      <w:lang w:val="en-US" w:eastAsia="zh-CN"/>
                    </w:rPr>
                    <w:t>、工、环</w:t>
                  </w:r>
                  <w:r>
                    <w:rPr>
                      <w:rFonts w:hint="default" w:ascii="Times New Roman" w:hAnsi="Times New Roman" w:eastAsia="宋体" w:cs="Times New Roman"/>
                      <w:color w:val="auto"/>
                      <w:sz w:val="21"/>
                      <w:szCs w:val="21"/>
                      <w:highlight w:val="none"/>
                      <w:lang w:val="en-US" w:eastAsia="zh-CN"/>
                    </w:rPr>
                    <w:t>地质</w:t>
                  </w:r>
                  <w:r>
                    <w:rPr>
                      <w:rFonts w:hint="eastAsia" w:cs="Times New Roman"/>
                      <w:color w:val="auto"/>
                      <w:sz w:val="21"/>
                      <w:szCs w:val="21"/>
                      <w:highlight w:val="none"/>
                      <w:lang w:val="en-US" w:eastAsia="zh-CN"/>
                    </w:rPr>
                    <w:t>测量</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004" w:type="pct"/>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剖面测量</w:t>
                  </w: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1:1000剖面测量</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千米</w:t>
                  </w:r>
                </w:p>
              </w:tc>
              <w:tc>
                <w:tcPr>
                  <w:tcW w:w="1004" w:type="pct"/>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1:500勘查线地质剖面测量</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米</w:t>
                  </w:r>
                </w:p>
              </w:tc>
              <w:tc>
                <w:tcPr>
                  <w:tcW w:w="1004" w:type="pct"/>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电法测量</w:t>
                  </w: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1:1万激电中梯（短导线）测量</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004" w:type="pct"/>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探矿工程</w:t>
                  </w:r>
                </w:p>
              </w:tc>
              <w:tc>
                <w:tcPr>
                  <w:tcW w:w="2005" w:type="pct"/>
                  <w:gridSpan w:val="2"/>
                  <w:shd w:val="clear" w:color="auto" w:fill="auto"/>
                  <w:noWrap w:val="0"/>
                  <w:vAlign w:val="center"/>
                </w:tcPr>
                <w:p>
                  <w:pPr>
                    <w:pStyle w:val="58"/>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槽探</w:t>
                  </w:r>
                </w:p>
              </w:tc>
              <w:tc>
                <w:tcPr>
                  <w:tcW w:w="706" w:type="pct"/>
                  <w:shd w:val="clear" w:color="auto" w:fill="auto"/>
                  <w:noWrap w:val="0"/>
                  <w:vAlign w:val="center"/>
                </w:tcPr>
                <w:p>
                  <w:pPr>
                    <w:pStyle w:val="58"/>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立方米</w:t>
                  </w:r>
                </w:p>
              </w:tc>
              <w:tc>
                <w:tcPr>
                  <w:tcW w:w="1004" w:type="pct"/>
                  <w:shd w:val="clear" w:color="auto" w:fill="auto"/>
                  <w:noWrap w:val="0"/>
                  <w:vAlign w:val="center"/>
                </w:tcPr>
                <w:p>
                  <w:pPr>
                    <w:pStyle w:val="58"/>
                    <w:bidi w:val="0"/>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5000</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64</w:t>
                  </w:r>
                  <w:r>
                    <w:rPr>
                      <w:rFonts w:hint="eastAsia" w:ascii="Times New Roman" w:hAnsi="Times New Roman" w:eastAsia="宋体" w:cs="Times New Roman"/>
                      <w:color w:val="auto"/>
                      <w:sz w:val="21"/>
                      <w:szCs w:val="21"/>
                      <w:lang w:val="en-US" w:eastAsia="zh-CN"/>
                    </w:rPr>
                    <w:t>条</w:t>
                  </w:r>
                  <w:r>
                    <w:rPr>
                      <w:rFonts w:hint="eastAsia"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钻探</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米</w:t>
                  </w:r>
                </w:p>
              </w:tc>
              <w:tc>
                <w:tcPr>
                  <w:tcW w:w="1004"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7300（49个）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tcBorders>
                    <w:top w:val="single" w:color="000000" w:sz="4" w:space="0"/>
                  </w:tcBorders>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采样与分析</w:t>
                  </w:r>
                </w:p>
              </w:tc>
              <w:tc>
                <w:tcPr>
                  <w:tcW w:w="2005" w:type="pct"/>
                  <w:gridSpan w:val="2"/>
                  <w:tcBorders>
                    <w:top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16" w:lineRule="auto"/>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各种样品</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件</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line="216" w:lineRule="auto"/>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32"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辅助工程</w:t>
                  </w: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生活营地</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vertAlign w:val="baseline"/>
                      <w:lang w:val="en-US" w:eastAsia="zh-CN"/>
                    </w:rPr>
                  </w:pPr>
                  <w:r>
                    <w:rPr>
                      <w:rFonts w:hint="eastAsia" w:eastAsia="宋体" w:cs="Times New Roman"/>
                      <w:color w:val="auto"/>
                      <w:sz w:val="21"/>
                      <w:szCs w:val="21"/>
                      <w:lang w:val="en-US" w:eastAsia="zh-CN"/>
                    </w:rPr>
                    <w:t>设置一个生活营地</w:t>
                  </w:r>
                  <w:r>
                    <w:rPr>
                      <w:rFonts w:hint="eastAsia" w:cs="Times New Roman"/>
                      <w:color w:val="auto"/>
                      <w:sz w:val="21"/>
                      <w:szCs w:val="21"/>
                      <w:lang w:val="en-US" w:eastAsia="zh-CN"/>
                    </w:rPr>
                    <w:t>，包含设备存放区</w:t>
                  </w:r>
                  <w:r>
                    <w:rPr>
                      <w:rFonts w:hint="default" w:ascii="Times New Roman" w:hAnsi="Times New Roman" w:eastAsia="宋体" w:cs="Times New Roman"/>
                      <w:color w:val="auto"/>
                      <w:sz w:val="21"/>
                      <w:szCs w:val="21"/>
                      <w:lang w:val="en-US" w:eastAsia="zh-CN"/>
                    </w:rPr>
                    <w:t>，占地</w:t>
                  </w:r>
                  <w:r>
                    <w:rPr>
                      <w:rFonts w:hint="eastAsia"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eastAsia" w:cs="Times New Roman"/>
                      <w:color w:val="auto"/>
                      <w:sz w:val="21"/>
                      <w:szCs w:val="21"/>
                      <w:highlight w:val="none"/>
                      <w:vertAlign w:val="baseline"/>
                      <w:lang w:val="en-US" w:eastAsia="zh-CN"/>
                    </w:rPr>
                    <w:t>，待勘探工作完成后，拆除生活营地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储运</w:t>
                  </w:r>
                  <w:r>
                    <w:rPr>
                      <w:rFonts w:hint="default" w:ascii="Times New Roman" w:hAnsi="Times New Roman" w:eastAsia="宋体" w:cs="Times New Roman"/>
                      <w:color w:val="auto"/>
                      <w:sz w:val="21"/>
                      <w:szCs w:val="21"/>
                    </w:rPr>
                    <w:t>工程</w:t>
                  </w: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进矿道路</w:t>
                  </w:r>
                </w:p>
              </w:tc>
              <w:tc>
                <w:tcPr>
                  <w:tcW w:w="3715" w:type="pct"/>
                  <w:gridSpan w:val="4"/>
                  <w:noWrap w:val="0"/>
                  <w:vAlign w:val="center"/>
                </w:tcPr>
                <w:p>
                  <w:pPr>
                    <w:pStyle w:val="58"/>
                    <w:bidi w:val="0"/>
                    <w:rPr>
                      <w:rFonts w:hint="default" w:cs="Times New Roman"/>
                      <w:color w:val="auto"/>
                      <w:sz w:val="21"/>
                      <w:szCs w:val="21"/>
                      <w:lang w:val="en-US" w:eastAsia="zh-CN"/>
                    </w:rPr>
                  </w:pPr>
                  <w:r>
                    <w:rPr>
                      <w:rFonts w:hint="eastAsia" w:cs="Times New Roman"/>
                      <w:color w:val="auto"/>
                      <w:sz w:val="21"/>
                      <w:szCs w:val="21"/>
                      <w:lang w:val="en-US" w:eastAsia="zh-CN"/>
                    </w:rPr>
                    <w:t>修建矿区外道路3km，路宽7m，占地21000m</w:t>
                  </w:r>
                  <w:r>
                    <w:rPr>
                      <w:rFonts w:hint="eastAsia" w:cs="Times New Roman"/>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eastAsia="zh-CN"/>
                    </w:rPr>
                  </w:pPr>
                </w:p>
              </w:tc>
              <w:tc>
                <w:tcPr>
                  <w:tcW w:w="852" w:type="pct"/>
                  <w:gridSpan w:val="2"/>
                  <w:noWrap w:val="0"/>
                  <w:vAlign w:val="center"/>
                </w:tcPr>
                <w:p>
                  <w:pPr>
                    <w:pStyle w:val="58"/>
                    <w:bidi w:val="0"/>
                    <w:rPr>
                      <w:rFonts w:hint="eastAsia" w:cs="Times New Roman"/>
                      <w:color w:val="auto"/>
                      <w:sz w:val="21"/>
                      <w:szCs w:val="21"/>
                      <w:lang w:val="en-US" w:eastAsia="zh-CN"/>
                    </w:rPr>
                  </w:pPr>
                  <w:r>
                    <w:rPr>
                      <w:rFonts w:hint="eastAsia" w:cs="Times New Roman"/>
                      <w:color w:val="auto"/>
                      <w:sz w:val="21"/>
                      <w:szCs w:val="21"/>
                      <w:lang w:val="en-US" w:eastAsia="zh-CN"/>
                    </w:rPr>
                    <w:t>探矿</w:t>
                  </w:r>
                  <w:r>
                    <w:rPr>
                      <w:rFonts w:hint="default" w:ascii="Times New Roman" w:hAnsi="Times New Roman" w:eastAsia="宋体" w:cs="Times New Roman"/>
                      <w:color w:val="auto"/>
                      <w:sz w:val="21"/>
                      <w:szCs w:val="21"/>
                      <w:lang w:eastAsia="zh-CN"/>
                    </w:rPr>
                    <w:t>道路</w:t>
                  </w:r>
                </w:p>
              </w:tc>
              <w:tc>
                <w:tcPr>
                  <w:tcW w:w="3715" w:type="pct"/>
                  <w:gridSpan w:val="4"/>
                  <w:noWrap w:val="0"/>
                  <w:vAlign w:val="center"/>
                </w:tcPr>
                <w:p>
                  <w:pPr>
                    <w:pStyle w:val="58"/>
                    <w:bidi w:val="0"/>
                    <w:rPr>
                      <w:rFonts w:hint="default" w:cs="Times New Roman"/>
                      <w:color w:val="auto"/>
                      <w:sz w:val="21"/>
                      <w:szCs w:val="21"/>
                      <w:lang w:val="en-US" w:eastAsia="zh-CN"/>
                    </w:rPr>
                  </w:pPr>
                  <w:r>
                    <w:rPr>
                      <w:rFonts w:hint="eastAsia" w:cs="Times New Roman"/>
                      <w:color w:val="auto"/>
                      <w:sz w:val="21"/>
                      <w:szCs w:val="21"/>
                      <w:lang w:val="en-US" w:eastAsia="zh-CN"/>
                    </w:rPr>
                    <w:t>修建矿区内道路2km，路宽7m，占地14000m</w:t>
                  </w:r>
                  <w:r>
                    <w:rPr>
                      <w:rFonts w:hint="eastAsia" w:cs="Times New Roman"/>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临时堆场</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设置</w:t>
                  </w:r>
                  <w:r>
                    <w:rPr>
                      <w:rFonts w:hint="eastAsia"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en-US" w:eastAsia="zh-CN"/>
                    </w:rPr>
                    <w:t>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临时堆场（每两条探槽中间设置一个临时堆场）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柴油贮存点</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生活营地内设有10m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铺有防渗地膜的柴油贮存点，采用不锈钢油桶盛装柴油</w:t>
                  </w:r>
                  <w:r>
                    <w:rPr>
                      <w:rFonts w:hint="eastAsia" w:eastAsia="宋体" w:cs="Times New Roman"/>
                      <w:color w:val="auto"/>
                      <w:sz w:val="21"/>
                      <w:szCs w:val="21"/>
                      <w:highlight w:val="none"/>
                      <w:lang w:val="en-US" w:eastAsia="zh-CN"/>
                    </w:rPr>
                    <w:t>堆放在柴油贮存点，贮存点做好防日晒、防雨淋、防渗漏措施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公用工程</w:t>
                  </w: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供水</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lang w:val="en-US"/>
                    </w:rPr>
                  </w:pPr>
                  <w:r>
                    <w:rPr>
                      <w:rFonts w:hint="eastAsia" w:eastAsia="宋体" w:cs="Times New Roman"/>
                      <w:color w:val="auto"/>
                      <w:sz w:val="21"/>
                      <w:szCs w:val="21"/>
                      <w:lang w:val="en-US" w:eastAsia="zh-CN"/>
                    </w:rPr>
                    <w:t>定期从附近乡镇拉运至生活营地内储水箱储存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排水</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生活污水排入</w:t>
                  </w:r>
                  <w:r>
                    <w:rPr>
                      <w:rFonts w:hint="eastAsia" w:cs="Times New Roman"/>
                      <w:color w:val="auto"/>
                      <w:sz w:val="21"/>
                      <w:szCs w:val="21"/>
                      <w:lang w:val="en-US" w:eastAsia="zh-CN"/>
                    </w:rPr>
                    <w:t>一体化污水处理设施</w:t>
                  </w:r>
                  <w:r>
                    <w:rPr>
                      <w:rFonts w:hint="default" w:ascii="Times New Roman" w:hAnsi="Times New Roman" w:eastAsia="宋体" w:cs="Times New Roman"/>
                      <w:color w:val="auto"/>
                      <w:sz w:val="21"/>
                      <w:szCs w:val="21"/>
                      <w:lang w:val="en-US" w:eastAsia="zh-CN"/>
                    </w:rPr>
                    <w:t>处理达标后，用于</w:t>
                  </w:r>
                  <w:r>
                    <w:rPr>
                      <w:rFonts w:hint="eastAsia"/>
                      <w:lang w:val="en-US" w:eastAsia="zh-CN"/>
                    </w:rPr>
                    <w:t>洒水绿化</w:t>
                  </w:r>
                  <w:r>
                    <w:rPr>
                      <w:rFonts w:hint="default" w:ascii="Times New Roman" w:hAnsi="Times New Roman" w:eastAsia="宋体" w:cs="Times New Roman"/>
                      <w:color w:val="auto"/>
                      <w:sz w:val="21"/>
                      <w:szCs w:val="21"/>
                      <w:lang w:val="en-US" w:eastAsia="zh-CN"/>
                    </w:rPr>
                    <w:t>，不外排</w:t>
                  </w:r>
                  <w:r>
                    <w:rPr>
                      <w:rFonts w:hint="eastAsia" w:cs="Times New Roman"/>
                      <w:color w:val="auto"/>
                      <w:sz w:val="21"/>
                      <w:szCs w:val="21"/>
                      <w:lang w:val="en-US" w:eastAsia="zh-CN"/>
                    </w:rPr>
                    <w:t>；设备冲洗水排入沉淀池后蒸发逸散，不外排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供电</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柴油发电机发电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环保工程</w:t>
                  </w: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扬尘</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开挖土</w:t>
                  </w:r>
                  <w:r>
                    <w:rPr>
                      <w:rFonts w:hint="default" w:ascii="Times New Roman" w:hAnsi="Times New Roman" w:eastAsia="宋体" w:cs="Times New Roman"/>
                      <w:color w:val="auto"/>
                      <w:sz w:val="21"/>
                      <w:szCs w:val="21"/>
                      <w:lang w:val="en-US" w:eastAsia="zh-CN"/>
                    </w:rPr>
                    <w:t>石</w:t>
                  </w:r>
                  <w:r>
                    <w:rPr>
                      <w:rFonts w:hint="default" w:ascii="Times New Roman" w:hAnsi="Times New Roman" w:eastAsia="宋体" w:cs="Times New Roman"/>
                      <w:color w:val="auto"/>
                      <w:sz w:val="21"/>
                      <w:szCs w:val="21"/>
                    </w:rPr>
                    <w:t>方使用</w:t>
                  </w:r>
                  <w:r>
                    <w:rPr>
                      <w:rFonts w:hint="eastAsia" w:cs="Times New Roman"/>
                      <w:color w:val="auto"/>
                      <w:sz w:val="21"/>
                      <w:szCs w:val="21"/>
                      <w:lang w:val="en-US" w:eastAsia="zh-CN"/>
                    </w:rPr>
                    <w:t>彩条布</w:t>
                  </w:r>
                  <w:r>
                    <w:rPr>
                      <w:rFonts w:hint="default" w:ascii="Times New Roman" w:hAnsi="Times New Roman" w:eastAsia="宋体" w:cs="Times New Roman"/>
                      <w:color w:val="auto"/>
                      <w:sz w:val="21"/>
                      <w:szCs w:val="21"/>
                      <w:lang w:val="en-US" w:eastAsia="zh-CN"/>
                    </w:rPr>
                    <w:t>苫盖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燃油废气</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对柴油发电机及运输车辆定期维护保养，使用正品燃油，减少尾气排放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废水治理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排入</w:t>
                  </w:r>
                  <w:r>
                    <w:rPr>
                      <w:rFonts w:hint="eastAsia" w:cs="Times New Roman"/>
                      <w:color w:val="auto"/>
                      <w:sz w:val="21"/>
                      <w:szCs w:val="21"/>
                      <w:lang w:val="en-US" w:eastAsia="zh-CN"/>
                    </w:rPr>
                    <w:t>一体化污水处理设施</w:t>
                  </w:r>
                  <w:r>
                    <w:rPr>
                      <w:rFonts w:hint="eastAsia" w:ascii="Times New Roman" w:hAnsi="Times New Roman" w:eastAsia="宋体" w:cs="Times New Roman"/>
                      <w:color w:val="auto"/>
                      <w:sz w:val="21"/>
                      <w:szCs w:val="21"/>
                      <w:lang w:val="en-US" w:eastAsia="zh-CN"/>
                    </w:rPr>
                    <w:t>处理达标后，用于</w:t>
                  </w:r>
                  <w:r>
                    <w:rPr>
                      <w:rFonts w:hint="eastAsia" w:cs="Times New Roman"/>
                      <w:color w:val="auto"/>
                      <w:sz w:val="21"/>
                      <w:szCs w:val="21"/>
                      <w:lang w:val="en-US" w:eastAsia="zh-CN"/>
                    </w:rPr>
                    <w:t>洒水绿化</w:t>
                  </w:r>
                  <w:r>
                    <w:rPr>
                      <w:rFonts w:hint="eastAsia" w:ascii="Times New Roman" w:hAnsi="Times New Roman" w:eastAsia="宋体" w:cs="Times New Roman"/>
                      <w:color w:val="auto"/>
                      <w:sz w:val="21"/>
                      <w:szCs w:val="21"/>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p>
              </w:tc>
              <w:tc>
                <w:tcPr>
                  <w:tcW w:w="809"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钻井</w:t>
                  </w:r>
                  <w:r>
                    <w:rPr>
                      <w:rFonts w:hint="default"/>
                      <w:lang w:eastAsia="zh-CN"/>
                    </w:rPr>
                    <w:t>设备冲洗水</w:t>
                  </w:r>
                </w:p>
              </w:tc>
              <w:tc>
                <w:tcPr>
                  <w:tcW w:w="2906" w:type="pct"/>
                  <w:gridSpan w:val="3"/>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防渗</w:t>
                  </w:r>
                  <w:r>
                    <w:rPr>
                      <w:rFonts w:hint="default"/>
                      <w:lang w:eastAsia="zh-CN"/>
                    </w:rPr>
                    <w:t>沉淀池收集</w:t>
                  </w:r>
                  <w:r>
                    <w:rPr>
                      <w:rFonts w:hint="eastAsia"/>
                      <w:lang w:val="en-US" w:eastAsia="zh-CN"/>
                    </w:rPr>
                    <w:t>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p>
              </w:tc>
              <w:tc>
                <w:tcPr>
                  <w:tcW w:w="809"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泥浆废水</w:t>
                  </w:r>
                </w:p>
              </w:tc>
              <w:tc>
                <w:tcPr>
                  <w:tcW w:w="2906" w:type="pct"/>
                  <w:gridSpan w:val="3"/>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排入移动式泥浆沉淀池（10m³，沉淀池采用防渗混凝土硬化，满足等效黏土防渗层Mb≥1.5m，渗透系数K≤1×10</w:t>
                  </w:r>
                  <w:r>
                    <w:rPr>
                      <w:rFonts w:hint="eastAsia"/>
                      <w:vertAlign w:val="superscript"/>
                      <w:lang w:val="en-US" w:eastAsia="zh-CN"/>
                    </w:rPr>
                    <w:t>-7</w:t>
                  </w:r>
                  <w:r>
                    <w:rPr>
                      <w:rFonts w:hint="eastAsia"/>
                      <w:lang w:val="en-US" w:eastAsia="zh-CN"/>
                    </w:rPr>
                    <w:t>cm/s），处理后全部回用于泥浆配制，循环使用，不外排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生活垃圾</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集中收集后送至</w:t>
                  </w:r>
                  <w:r>
                    <w:rPr>
                      <w:rFonts w:hint="eastAsia" w:cs="Times New Roman"/>
                      <w:color w:val="auto"/>
                      <w:sz w:val="21"/>
                      <w:szCs w:val="21"/>
                      <w:lang w:val="en-US" w:eastAsia="zh-CN"/>
                    </w:rPr>
                    <w:t>且末</w:t>
                  </w:r>
                  <w:r>
                    <w:rPr>
                      <w:rFonts w:hint="eastAsia" w:eastAsia="宋体" w:cs="Times New Roman"/>
                      <w:color w:val="auto"/>
                      <w:sz w:val="21"/>
                      <w:szCs w:val="21"/>
                      <w:lang w:val="en-US" w:eastAsia="zh-CN"/>
                    </w:rPr>
                    <w:t>县</w:t>
                  </w:r>
                  <w:r>
                    <w:rPr>
                      <w:rFonts w:hint="default" w:ascii="Times New Roman" w:hAnsi="Times New Roman" w:eastAsia="宋体" w:cs="Times New Roman"/>
                      <w:color w:val="auto"/>
                      <w:sz w:val="21"/>
                      <w:szCs w:val="21"/>
                      <w:lang w:val="en-US" w:eastAsia="zh-CN"/>
                    </w:rPr>
                    <w:t>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开挖土石</w:t>
                  </w:r>
                  <w:r>
                    <w:rPr>
                      <w:rFonts w:hint="default" w:ascii="Times New Roman" w:hAnsi="Times New Roman" w:eastAsia="宋体" w:cs="Times New Roman"/>
                      <w:color w:val="auto"/>
                      <w:sz w:val="21"/>
                      <w:szCs w:val="21"/>
                      <w:lang w:val="en-US" w:eastAsia="zh-CN"/>
                    </w:rPr>
                    <w:t>方</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全部回填</w:t>
                  </w:r>
                  <w:r>
                    <w:rPr>
                      <w:rFonts w:hint="eastAsia" w:eastAsia="宋体" w:cs="Times New Roman"/>
                      <w:color w:val="auto"/>
                      <w:sz w:val="21"/>
                      <w:szCs w:val="21"/>
                      <w:highlight w:val="none"/>
                      <w:lang w:val="en-US" w:eastAsia="zh-CN"/>
                    </w:rPr>
                    <w:t>或用于周边场地平整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无弃方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沉淀池沉渣</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default"/>
                      <w:lang w:eastAsia="zh-CN"/>
                    </w:rPr>
                    <w:t>钻井泥浆</w:t>
                  </w:r>
                </w:p>
              </w:tc>
              <w:tc>
                <w:tcPr>
                  <w:tcW w:w="2906" w:type="pct"/>
                  <w:gridSpan w:val="3"/>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eastAsia"/>
                      <w:lang w:val="en-US" w:eastAsia="zh-CN"/>
                    </w:rPr>
                    <w:t>泥浆分散在各钻孔地配制，固化后就地填埋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default"/>
                      <w:lang w:val="en-US" w:eastAsia="zh-CN"/>
                    </w:rPr>
                    <w:t>钻井岩心</w:t>
                  </w:r>
                </w:p>
              </w:tc>
              <w:tc>
                <w:tcPr>
                  <w:tcW w:w="2906" w:type="pct"/>
                  <w:gridSpan w:val="3"/>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default"/>
                      <w:lang w:val="en-US" w:eastAsia="zh-CN"/>
                    </w:rPr>
                    <w:t>统一收集保管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lang w:val="en-US" w:eastAsia="zh-CN"/>
                    </w:rPr>
                    <w:t>废润滑油及油桶</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lang w:val="en-US" w:eastAsia="zh-CN"/>
                    </w:rPr>
                    <w:t>集中收集后</w:t>
                  </w:r>
                  <w:r>
                    <w:rPr>
                      <w:rFonts w:hint="default"/>
                      <w:lang w:val="en-US" w:eastAsia="zh-CN"/>
                    </w:rPr>
                    <w:t>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噪声治理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施工设备噪声</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对连续接触高噪声源的操作人员，佩戴个人防护装备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0"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生态保护与恢复工程</w:t>
                  </w:r>
                </w:p>
              </w:tc>
              <w:tc>
                <w:tcPr>
                  <w:tcW w:w="3719" w:type="pct"/>
                  <w:gridSpan w:val="5"/>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勘探工作完成后，拆除临时设施，及时回填并恢复原有地貌，后期采取自然恢复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80"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环境风险防范工程</w:t>
                  </w:r>
                </w:p>
              </w:tc>
              <w:tc>
                <w:tcPr>
                  <w:tcW w:w="3719" w:type="pct"/>
                  <w:gridSpan w:val="5"/>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制定环境风险管理制度</w:t>
                  </w:r>
                </w:p>
              </w:tc>
            </w:tr>
          </w:tbl>
          <w:p>
            <w:pPr>
              <w:pStyle w:val="50"/>
              <w:numPr>
                <w:ilvl w:val="0"/>
                <w:numId w:val="0"/>
              </w:numPr>
              <w:bidi w:val="0"/>
              <w:rPr>
                <w:rFonts w:hint="default"/>
                <w:color w:val="auto"/>
                <w:highlight w:val="none"/>
                <w:lang w:eastAsia="zh-CN"/>
              </w:rPr>
            </w:pPr>
            <w:r>
              <w:rPr>
                <w:rFonts w:hint="eastAsia"/>
                <w:color w:val="auto"/>
                <w:highlight w:val="none"/>
                <w:lang w:val="en-US" w:eastAsia="zh-CN"/>
              </w:rPr>
              <w:t>3.</w:t>
            </w:r>
            <w:r>
              <w:rPr>
                <w:rFonts w:hint="default"/>
                <w:color w:val="auto"/>
                <w:highlight w:val="none"/>
                <w:lang w:eastAsia="zh-CN"/>
              </w:rPr>
              <w:t>主要勘探设备及原、辅材料</w:t>
            </w:r>
          </w:p>
          <w:p>
            <w:pPr>
              <w:pStyle w:val="48"/>
              <w:bidi w:val="0"/>
              <w:rPr>
                <w:rFonts w:hint="default"/>
                <w:color w:val="auto"/>
              </w:rPr>
            </w:pPr>
            <w:r>
              <w:rPr>
                <w:rFonts w:hint="default"/>
                <w:color w:val="auto"/>
              </w:rPr>
              <w:t>本项目所需主要勘探设备见</w:t>
            </w:r>
            <w:r>
              <w:rPr>
                <w:rFonts w:hint="eastAsia"/>
                <w:color w:val="auto"/>
                <w:lang w:val="en-US" w:eastAsia="zh-CN"/>
              </w:rPr>
              <w:t>表</w:t>
            </w:r>
            <w:r>
              <w:rPr>
                <w:rFonts w:hint="default"/>
                <w:color w:val="auto"/>
                <w:lang w:val="en-US" w:eastAsia="zh-CN"/>
              </w:rPr>
              <w:t>2-</w:t>
            </w:r>
            <w:r>
              <w:rPr>
                <w:rFonts w:hint="eastAsia"/>
                <w:color w:val="auto"/>
                <w:lang w:val="en-US" w:eastAsia="zh-CN"/>
              </w:rPr>
              <w:t>3</w:t>
            </w:r>
            <w:r>
              <w:rPr>
                <w:rFonts w:hint="default"/>
                <w:color w:val="auto"/>
              </w:rPr>
              <w:t>，原辅材料消耗见</w:t>
            </w:r>
            <w:r>
              <w:rPr>
                <w:rFonts w:hint="eastAsia"/>
                <w:color w:val="auto"/>
                <w:lang w:val="en-US" w:eastAsia="zh-CN"/>
              </w:rPr>
              <w:t>表</w:t>
            </w:r>
            <w:r>
              <w:rPr>
                <w:rFonts w:hint="default"/>
                <w:color w:val="auto"/>
                <w:lang w:val="en-US" w:eastAsia="zh-CN"/>
              </w:rPr>
              <w:t>2-</w:t>
            </w:r>
            <w:r>
              <w:rPr>
                <w:rFonts w:hint="eastAsia"/>
                <w:color w:val="auto"/>
                <w:lang w:val="en-US" w:eastAsia="zh-CN"/>
              </w:rPr>
              <w:t>4</w:t>
            </w:r>
            <w:r>
              <w:rPr>
                <w:rFonts w:hint="default"/>
                <w:color w:val="auto"/>
              </w:rPr>
              <w:t>。</w:t>
            </w:r>
          </w:p>
          <w:p>
            <w:pPr>
              <w:pStyle w:val="52"/>
              <w:bidi w:val="0"/>
              <w:rPr>
                <w:rFonts w:hint="default"/>
                <w:color w:val="auto"/>
              </w:rPr>
            </w:pPr>
            <w:r>
              <w:rPr>
                <w:rFonts w:hint="default"/>
                <w:color w:val="auto"/>
                <w:lang w:val="en-US" w:eastAsia="zh-CN"/>
              </w:rPr>
              <w:t>表2-</w:t>
            </w:r>
            <w:r>
              <w:rPr>
                <w:rFonts w:hint="eastAsia"/>
                <w:color w:val="auto"/>
                <w:lang w:val="en-US" w:eastAsia="zh-CN"/>
              </w:rPr>
              <w:t xml:space="preserve">3    </w:t>
            </w:r>
            <w:r>
              <w:rPr>
                <w:rFonts w:hint="default"/>
                <w:color w:val="auto"/>
              </w:rPr>
              <w:t>工程主要设备一览表</w:t>
            </w:r>
          </w:p>
          <w:tbl>
            <w:tblPr>
              <w:tblStyle w:val="23"/>
              <w:tblW w:w="48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1"/>
              <w:gridCol w:w="2339"/>
              <w:gridCol w:w="2105"/>
              <w:gridCol w:w="1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序号</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技术装备名称</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型号规格</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1</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对讲机</w:t>
                  </w:r>
                </w:p>
              </w:tc>
              <w:tc>
                <w:tcPr>
                  <w:tcW w:w="1413"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MotorolaA8</w:t>
                  </w:r>
                </w:p>
              </w:tc>
              <w:tc>
                <w:tcPr>
                  <w:tcW w:w="102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6台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2</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卫星电话</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发电机</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雅马哈2000W</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4</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手提电脑</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HP</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5</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GPS</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Garmin</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6</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照相机</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NIKON</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7</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打印机</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8</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越野车</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9</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皮卡车</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eastAsia="宋体" w:cs="Times New Roman"/>
                      <w:color w:val="auto"/>
                      <w:lang w:val="en-US" w:eastAsia="zh-CN"/>
                    </w:rPr>
                    <w:t>0</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全站仪</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eastAsia="宋体" w:cs="Times New Roman"/>
                      <w:color w:val="auto"/>
                      <w:lang w:val="en-US" w:eastAsia="zh-CN"/>
                    </w:rPr>
                    <w:t>1</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大功率激电测量系统</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WDFZ-10</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eastAsia="宋体" w:cs="Times New Roman"/>
                      <w:color w:val="auto"/>
                      <w:lang w:val="en-US" w:eastAsia="zh-CN"/>
                    </w:rPr>
                    <w:t>2</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钻机</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Xy-300</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1台</w:t>
                  </w:r>
                </w:p>
              </w:tc>
            </w:tr>
          </w:tbl>
          <w:p>
            <w:pPr>
              <w:pStyle w:val="52"/>
              <w:bidi w:val="0"/>
              <w:rPr>
                <w:rFonts w:hint="default"/>
                <w:color w:val="auto"/>
                <w:highlight w:val="none"/>
              </w:rPr>
            </w:pPr>
            <w:r>
              <w:rPr>
                <w:rFonts w:hint="default"/>
                <w:color w:val="auto"/>
                <w:highlight w:val="none"/>
                <w:lang w:val="en-US" w:eastAsia="zh-CN"/>
              </w:rPr>
              <w:t>表2-</w:t>
            </w:r>
            <w:r>
              <w:rPr>
                <w:rFonts w:hint="eastAsia"/>
                <w:color w:val="auto"/>
                <w:highlight w:val="none"/>
                <w:lang w:val="en-US" w:eastAsia="zh-CN"/>
              </w:rPr>
              <w:t xml:space="preserve">4    </w:t>
            </w:r>
            <w:r>
              <w:rPr>
                <w:rFonts w:hint="default"/>
                <w:color w:val="auto"/>
                <w:highlight w:val="none"/>
              </w:rPr>
              <w:t>工程主要原、辅材料一览表</w:t>
            </w:r>
          </w:p>
          <w:tbl>
            <w:tblPr>
              <w:tblStyle w:val="2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48"/>
              <w:gridCol w:w="980"/>
              <w:gridCol w:w="953"/>
              <w:gridCol w:w="1744"/>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332" w:type="pct"/>
                  <w:noWrap w:val="0"/>
                  <w:vAlign w:val="center"/>
                </w:tcPr>
                <w:p>
                  <w:pPr>
                    <w:pStyle w:val="58"/>
                    <w:bidi w:val="0"/>
                    <w:rPr>
                      <w:rFonts w:hint="default"/>
                      <w:color w:val="auto"/>
                      <w:highlight w:val="none"/>
                    </w:rPr>
                  </w:pPr>
                  <w:r>
                    <w:rPr>
                      <w:rFonts w:hint="default"/>
                      <w:color w:val="auto"/>
                      <w:highlight w:val="none"/>
                    </w:rPr>
                    <w:t>序号</w:t>
                  </w:r>
                </w:p>
              </w:tc>
              <w:tc>
                <w:tcPr>
                  <w:tcW w:w="360"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类别</w:t>
                  </w:r>
                </w:p>
              </w:tc>
              <w:tc>
                <w:tcPr>
                  <w:tcW w:w="644" w:type="pct"/>
                  <w:noWrap w:val="0"/>
                  <w:vAlign w:val="center"/>
                </w:tcPr>
                <w:p>
                  <w:pPr>
                    <w:pStyle w:val="58"/>
                    <w:bidi w:val="0"/>
                    <w:rPr>
                      <w:rFonts w:hint="default"/>
                      <w:color w:val="auto"/>
                      <w:highlight w:val="none"/>
                    </w:rPr>
                  </w:pPr>
                  <w:r>
                    <w:rPr>
                      <w:rFonts w:hint="default"/>
                      <w:color w:val="auto"/>
                      <w:highlight w:val="none"/>
                    </w:rPr>
                    <w:t>名称</w:t>
                  </w:r>
                </w:p>
              </w:tc>
              <w:tc>
                <w:tcPr>
                  <w:tcW w:w="626" w:type="pct"/>
                  <w:noWrap w:val="0"/>
                  <w:vAlign w:val="center"/>
                </w:tcPr>
                <w:p>
                  <w:pPr>
                    <w:pStyle w:val="58"/>
                    <w:bidi w:val="0"/>
                    <w:rPr>
                      <w:rFonts w:hint="default"/>
                      <w:color w:val="auto"/>
                      <w:highlight w:val="none"/>
                    </w:rPr>
                  </w:pPr>
                  <w:r>
                    <w:rPr>
                      <w:rFonts w:hint="default"/>
                      <w:color w:val="auto"/>
                      <w:highlight w:val="none"/>
                    </w:rPr>
                    <w:t>用量</w:t>
                  </w:r>
                </w:p>
              </w:tc>
              <w:tc>
                <w:tcPr>
                  <w:tcW w:w="1146" w:type="pct"/>
                  <w:noWrap w:val="0"/>
                  <w:vAlign w:val="center"/>
                </w:tcPr>
                <w:p>
                  <w:pPr>
                    <w:pStyle w:val="58"/>
                    <w:bidi w:val="0"/>
                    <w:rPr>
                      <w:rFonts w:hint="default"/>
                      <w:color w:val="auto"/>
                      <w:highlight w:val="none"/>
                    </w:rPr>
                  </w:pPr>
                  <w:r>
                    <w:rPr>
                      <w:rFonts w:hint="default"/>
                      <w:color w:val="auto"/>
                      <w:highlight w:val="none"/>
                    </w:rPr>
                    <w:t>来源</w:t>
                  </w:r>
                </w:p>
              </w:tc>
              <w:tc>
                <w:tcPr>
                  <w:tcW w:w="1890" w:type="pct"/>
                  <w:noWrap w:val="0"/>
                  <w:vAlign w:val="center"/>
                </w:tcPr>
                <w:p>
                  <w:pPr>
                    <w:pStyle w:val="58"/>
                    <w:bidi w:val="0"/>
                    <w:rPr>
                      <w:rFonts w:hint="default"/>
                      <w:color w:val="auto"/>
                      <w:highlight w:val="none"/>
                    </w:rPr>
                  </w:pPr>
                  <w:r>
                    <w:rPr>
                      <w:rFonts w:hint="default"/>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32" w:type="pct"/>
                  <w:noWrap w:val="0"/>
                  <w:vAlign w:val="center"/>
                </w:tcPr>
                <w:p>
                  <w:pPr>
                    <w:pStyle w:val="58"/>
                    <w:bidi w:val="0"/>
                    <w:rPr>
                      <w:rFonts w:hint="default"/>
                      <w:color w:val="auto"/>
                      <w:highlight w:val="none"/>
                    </w:rPr>
                  </w:pPr>
                  <w:r>
                    <w:rPr>
                      <w:rFonts w:hint="default"/>
                      <w:color w:val="auto"/>
                      <w:highlight w:val="none"/>
                    </w:rPr>
                    <w:t>1</w:t>
                  </w:r>
                </w:p>
              </w:tc>
              <w:tc>
                <w:tcPr>
                  <w:tcW w:w="360"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辅料</w:t>
                  </w:r>
                </w:p>
              </w:tc>
              <w:tc>
                <w:tcPr>
                  <w:tcW w:w="644"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彩条布</w:t>
                  </w:r>
                </w:p>
              </w:tc>
              <w:tc>
                <w:tcPr>
                  <w:tcW w:w="62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1000m</w:t>
                  </w:r>
                </w:p>
              </w:tc>
              <w:tc>
                <w:tcPr>
                  <w:tcW w:w="114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外购</w:t>
                  </w:r>
                </w:p>
              </w:tc>
              <w:tc>
                <w:tcPr>
                  <w:tcW w:w="1890" w:type="pct"/>
                  <w:noWrap w:val="0"/>
                  <w:vAlign w:val="center"/>
                </w:tcPr>
                <w:p>
                  <w:pPr>
                    <w:pStyle w:val="58"/>
                    <w:bidi w:val="0"/>
                    <w:rPr>
                      <w:rFonts w:hint="default"/>
                      <w:color w:val="auto"/>
                      <w:highlight w:val="none"/>
                      <w:lang w:val="en-US" w:eastAsia="zh-CN"/>
                    </w:rPr>
                  </w:pPr>
                  <w:r>
                    <w:rPr>
                      <w:rFonts w:hint="default"/>
                      <w:color w:val="auto"/>
                      <w:highlight w:val="none"/>
                      <w:lang w:val="en-US" w:eastAsia="zh-CN"/>
                    </w:rPr>
                    <w:t>对暂时露天放置的设备</w:t>
                  </w:r>
                  <w:r>
                    <w:rPr>
                      <w:rFonts w:hint="eastAsia"/>
                      <w:color w:val="auto"/>
                      <w:highlight w:val="none"/>
                      <w:lang w:val="en-US" w:eastAsia="zh-CN"/>
                    </w:rPr>
                    <w:t>、</w:t>
                  </w:r>
                  <w:r>
                    <w:rPr>
                      <w:rFonts w:hint="default"/>
                      <w:color w:val="auto"/>
                      <w:highlight w:val="none"/>
                      <w:lang w:val="en-US" w:eastAsia="zh-CN"/>
                    </w:rPr>
                    <w:t>槽探开挖石料进行</w:t>
                  </w:r>
                  <w:r>
                    <w:rPr>
                      <w:rFonts w:hint="eastAsia"/>
                      <w:color w:val="auto"/>
                      <w:highlight w:val="none"/>
                      <w:lang w:val="en-US" w:eastAsia="zh-CN"/>
                    </w:rPr>
                    <w:t>苫盖</w:t>
                  </w:r>
                  <w:r>
                    <w:rPr>
                      <w:rFonts w:hint="default"/>
                      <w:color w:val="auto"/>
                      <w:highlight w:val="none"/>
                      <w:lang w:val="en-US" w:eastAsia="zh-CN"/>
                    </w:rPr>
                    <w:t>。使用后回收并无害化处理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32" w:type="pct"/>
                  <w:noWrap w:val="0"/>
                  <w:vAlign w:val="center"/>
                </w:tcPr>
                <w:p>
                  <w:pPr>
                    <w:pStyle w:val="58"/>
                    <w:bidi w:val="0"/>
                    <w:rPr>
                      <w:rFonts w:hint="eastAsia" w:eastAsia="宋体"/>
                      <w:color w:val="auto"/>
                      <w:highlight w:val="none"/>
                      <w:lang w:eastAsia="zh-CN"/>
                    </w:rPr>
                  </w:pPr>
                  <w:r>
                    <w:rPr>
                      <w:rFonts w:hint="eastAsia"/>
                      <w:color w:val="auto"/>
                      <w:highlight w:val="none"/>
                      <w:lang w:val="en-US" w:eastAsia="zh-CN"/>
                    </w:rPr>
                    <w:t>2</w:t>
                  </w:r>
                </w:p>
              </w:tc>
              <w:tc>
                <w:tcPr>
                  <w:tcW w:w="360" w:type="pct"/>
                  <w:vMerge w:val="restar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资源</w:t>
                  </w:r>
                </w:p>
              </w:tc>
              <w:tc>
                <w:tcPr>
                  <w:tcW w:w="644" w:type="pct"/>
                  <w:noWrap w:val="0"/>
                  <w:vAlign w:val="center"/>
                </w:tcPr>
                <w:p>
                  <w:pPr>
                    <w:pStyle w:val="58"/>
                    <w:bidi w:val="0"/>
                    <w:rPr>
                      <w:rFonts w:hint="default"/>
                      <w:color w:val="auto"/>
                      <w:highlight w:val="none"/>
                      <w:lang w:val="en-US" w:eastAsia="zh-CN"/>
                    </w:rPr>
                  </w:pPr>
                  <w:r>
                    <w:rPr>
                      <w:rFonts w:hint="default"/>
                      <w:color w:val="auto"/>
                      <w:highlight w:val="none"/>
                    </w:rPr>
                    <w:t>水</w:t>
                  </w:r>
                </w:p>
              </w:tc>
              <w:tc>
                <w:tcPr>
                  <w:tcW w:w="62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367</w:t>
                  </w:r>
                  <w:r>
                    <w:rPr>
                      <w:rFonts w:hint="default"/>
                      <w:color w:val="auto"/>
                      <w:highlight w:val="none"/>
                      <w:lang w:eastAsia="zh-CN"/>
                    </w:rPr>
                    <w:t>m</w:t>
                  </w:r>
                  <w:r>
                    <w:rPr>
                      <w:rFonts w:hint="eastAsia"/>
                      <w:color w:val="auto"/>
                      <w:highlight w:val="none"/>
                      <w:vertAlign w:val="superscript"/>
                      <w:lang w:val="en-US" w:eastAsia="zh-CN"/>
                    </w:rPr>
                    <w:t>3</w:t>
                  </w:r>
                  <w:r>
                    <w:rPr>
                      <w:rFonts w:hint="default"/>
                      <w:color w:val="auto"/>
                      <w:highlight w:val="none"/>
                      <w:lang w:eastAsia="zh-CN"/>
                    </w:rPr>
                    <w:t>/</w:t>
                  </w:r>
                  <w:r>
                    <w:rPr>
                      <w:rFonts w:hint="eastAsia"/>
                      <w:color w:val="auto"/>
                      <w:highlight w:val="none"/>
                      <w:lang w:val="en-US" w:eastAsia="zh-CN"/>
                    </w:rPr>
                    <w:t>探矿期</w:t>
                  </w:r>
                </w:p>
              </w:tc>
              <w:tc>
                <w:tcPr>
                  <w:tcW w:w="114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定期从附近乡镇拉运至生活营地内储水箱储存</w:t>
                  </w:r>
                </w:p>
              </w:tc>
              <w:tc>
                <w:tcPr>
                  <w:tcW w:w="1890"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3</w:t>
                  </w:r>
                </w:p>
              </w:tc>
              <w:tc>
                <w:tcPr>
                  <w:tcW w:w="360" w:type="pct"/>
                  <w:vMerge w:val="continue"/>
                  <w:noWrap w:val="0"/>
                  <w:vAlign w:val="center"/>
                </w:tcPr>
                <w:p>
                  <w:pPr>
                    <w:pStyle w:val="58"/>
                    <w:bidi w:val="0"/>
                    <w:rPr>
                      <w:rFonts w:hint="default"/>
                      <w:color w:val="auto"/>
                      <w:highlight w:val="none"/>
                    </w:rPr>
                  </w:pPr>
                </w:p>
              </w:tc>
              <w:tc>
                <w:tcPr>
                  <w:tcW w:w="644"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柴油</w:t>
                  </w:r>
                </w:p>
              </w:tc>
              <w:tc>
                <w:tcPr>
                  <w:tcW w:w="62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10t</w:t>
                  </w:r>
                </w:p>
              </w:tc>
              <w:tc>
                <w:tcPr>
                  <w:tcW w:w="1146" w:type="pct"/>
                  <w:noWrap w:val="0"/>
                  <w:vAlign w:val="center"/>
                </w:tcPr>
                <w:p>
                  <w:pPr>
                    <w:pStyle w:val="58"/>
                    <w:bidi w:val="0"/>
                    <w:rPr>
                      <w:rFonts w:hint="default"/>
                      <w:color w:val="auto"/>
                      <w:highlight w:val="none"/>
                      <w:lang w:val="en-US" w:eastAsia="zh-CN"/>
                    </w:rPr>
                  </w:pPr>
                  <w:r>
                    <w:rPr>
                      <w:rFonts w:hint="default"/>
                      <w:color w:val="auto"/>
                      <w:highlight w:val="none"/>
                      <w:lang w:val="en-US" w:eastAsia="zh-CN"/>
                    </w:rPr>
                    <w:t>定期从</w:t>
                  </w:r>
                  <w:r>
                    <w:rPr>
                      <w:rFonts w:hint="eastAsia"/>
                      <w:color w:val="auto"/>
                      <w:highlight w:val="none"/>
                      <w:lang w:val="en-US" w:eastAsia="zh-CN"/>
                    </w:rPr>
                    <w:t>且末</w:t>
                  </w:r>
                  <w:r>
                    <w:rPr>
                      <w:rFonts w:hint="default"/>
                      <w:color w:val="auto"/>
                      <w:highlight w:val="none"/>
                      <w:lang w:val="en-US" w:eastAsia="zh-CN"/>
                    </w:rPr>
                    <w:t>县拉运</w:t>
                  </w:r>
                </w:p>
              </w:tc>
              <w:tc>
                <w:tcPr>
                  <w:tcW w:w="1890"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油桶储存，最大储存量为5t，</w:t>
                  </w:r>
                  <w:r>
                    <w:rPr>
                      <w:rFonts w:hint="default" w:ascii="Times New Roman" w:hAnsi="Times New Roman" w:eastAsia="宋体" w:cs="Times New Roman"/>
                      <w:color w:val="auto"/>
                      <w:sz w:val="21"/>
                      <w:szCs w:val="21"/>
                      <w:highlight w:val="none"/>
                      <w:lang w:val="en-US" w:eastAsia="zh-CN"/>
                    </w:rPr>
                    <w:t>设置铺有防渗地膜的柴油贮存区</w:t>
                  </w:r>
                </w:p>
              </w:tc>
            </w:tr>
          </w:tbl>
          <w:p>
            <w:pPr>
              <w:pStyle w:val="50"/>
              <w:bidi w:val="0"/>
              <w:rPr>
                <w:rFonts w:hint="default"/>
                <w:color w:val="auto"/>
                <w:lang w:val="en-US" w:eastAsia="zh-CN"/>
              </w:rPr>
            </w:pPr>
            <w:r>
              <w:rPr>
                <w:rFonts w:hint="eastAsia"/>
                <w:color w:val="auto"/>
                <w:lang w:val="en-US" w:eastAsia="zh-CN"/>
              </w:rPr>
              <w:t>4</w:t>
            </w:r>
            <w:r>
              <w:rPr>
                <w:rFonts w:hint="eastAsia"/>
                <w:color w:val="auto"/>
                <w:highlight w:val="none"/>
                <w:lang w:val="en-US" w:eastAsia="zh-CN"/>
              </w:rPr>
              <w:t>.公用工程</w:t>
            </w:r>
          </w:p>
          <w:p>
            <w:pPr>
              <w:pStyle w:val="50"/>
              <w:bidi w:val="0"/>
              <w:rPr>
                <w:rFonts w:hint="default"/>
                <w:color w:val="auto"/>
                <w:lang w:val="en-US" w:eastAsia="zh-CN"/>
              </w:rPr>
            </w:pPr>
            <w:r>
              <w:rPr>
                <w:rFonts w:hint="eastAsia"/>
                <w:color w:val="auto"/>
                <w:lang w:val="en-US" w:eastAsia="zh-CN"/>
              </w:rPr>
              <w:t>4.1给水</w:t>
            </w:r>
          </w:p>
          <w:p>
            <w:pPr>
              <w:pStyle w:val="48"/>
              <w:bidi w:val="0"/>
              <w:rPr>
                <w:rFonts w:hint="default"/>
                <w:color w:val="auto"/>
                <w:lang w:val="en-US" w:eastAsia="zh-CN"/>
              </w:rPr>
            </w:pPr>
            <w:r>
              <w:rPr>
                <w:rFonts w:hint="eastAsia"/>
                <w:color w:val="auto"/>
                <w:lang w:val="en-US" w:eastAsia="zh-CN"/>
              </w:rPr>
              <w:t>本项目用水定期从附近乡镇拉运至生活营地内储水箱储存</w:t>
            </w:r>
            <w:r>
              <w:rPr>
                <w:rFonts w:hint="eastAsia" w:cs="Times New Roman"/>
                <w:color w:val="auto"/>
                <w:sz w:val="24"/>
                <w:szCs w:val="24"/>
                <w:highlight w:val="none"/>
                <w:lang w:val="en-US" w:eastAsia="zh-CN"/>
              </w:rPr>
              <w:t>。</w:t>
            </w:r>
          </w:p>
          <w:p>
            <w:pPr>
              <w:pStyle w:val="48"/>
              <w:bidi w:val="0"/>
              <w:rPr>
                <w:rFonts w:hint="default"/>
                <w:color w:val="auto"/>
                <w:lang w:val="en-US" w:eastAsia="zh-CN"/>
              </w:rPr>
            </w:pPr>
            <w:r>
              <w:rPr>
                <w:rFonts w:hint="eastAsia"/>
                <w:color w:val="auto"/>
                <w:lang w:val="en-US" w:eastAsia="zh-CN"/>
              </w:rPr>
              <w:t>（1）生活用水</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勘探过程中，劳动定员约为</w:t>
            </w:r>
            <w:r>
              <w:rPr>
                <w:rFonts w:hint="eastAsia" w:cs="Times New Roman"/>
                <w:color w:val="auto"/>
                <w:sz w:val="24"/>
                <w:szCs w:val="24"/>
                <w:highlight w:val="none"/>
                <w:lang w:val="en-US" w:eastAsia="zh-CN"/>
              </w:rPr>
              <w:t>14</w:t>
            </w:r>
            <w:r>
              <w:rPr>
                <w:rFonts w:hint="eastAsia" w:ascii="Times New Roman" w:hAnsi="Times New Roman"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lang w:eastAsia="zh-CN"/>
              </w:rPr>
              <w:t>，职工</w:t>
            </w:r>
            <w:r>
              <w:rPr>
                <w:rFonts w:hint="eastAsia" w:ascii="Times New Roman" w:hAnsi="Times New Roman" w:eastAsia="宋体" w:cs="Times New Roman"/>
                <w:color w:val="auto"/>
                <w:sz w:val="24"/>
                <w:szCs w:val="24"/>
                <w:highlight w:val="none"/>
                <w:lang w:eastAsia="zh-CN"/>
              </w:rPr>
              <w:t>均</w:t>
            </w:r>
            <w:r>
              <w:rPr>
                <w:rFonts w:hint="default" w:ascii="Times New Roman" w:hAnsi="Times New Roman" w:eastAsia="宋体" w:cs="Times New Roman"/>
                <w:color w:val="auto"/>
                <w:sz w:val="24"/>
                <w:szCs w:val="24"/>
                <w:highlight w:val="none"/>
                <w:lang w:eastAsia="zh-CN"/>
              </w:rPr>
              <w:t>在矿区</w:t>
            </w:r>
            <w:r>
              <w:rPr>
                <w:rFonts w:hint="eastAsia" w:cs="Times New Roman"/>
                <w:color w:val="auto"/>
                <w:sz w:val="24"/>
                <w:szCs w:val="24"/>
                <w:highlight w:val="none"/>
                <w:lang w:val="en-US" w:eastAsia="zh-CN"/>
              </w:rPr>
              <w:t>临时生活营地</w:t>
            </w:r>
            <w:r>
              <w:rPr>
                <w:rFonts w:hint="default" w:ascii="Times New Roman" w:hAnsi="Times New Roman" w:eastAsia="宋体" w:cs="Times New Roman"/>
                <w:color w:val="auto"/>
                <w:sz w:val="24"/>
                <w:szCs w:val="24"/>
                <w:highlight w:val="none"/>
                <w:lang w:eastAsia="zh-CN"/>
              </w:rPr>
              <w:t>食宿，</w:t>
            </w:r>
            <w:r>
              <w:rPr>
                <w:rFonts w:hint="eastAsia" w:cs="Times New Roman"/>
                <w:color w:val="auto"/>
                <w:sz w:val="24"/>
                <w:szCs w:val="24"/>
                <w:highlight w:val="none"/>
                <w:lang w:val="en-US" w:eastAsia="zh-CN"/>
              </w:rPr>
              <w:t>生</w:t>
            </w:r>
            <w:r>
              <w:rPr>
                <w:rFonts w:hint="default" w:ascii="Times New Roman" w:hAnsi="Times New Roman" w:eastAsia="宋体" w:cs="Times New Roman"/>
                <w:color w:val="auto"/>
                <w:sz w:val="24"/>
                <w:szCs w:val="24"/>
                <w:highlight w:val="none"/>
                <w:lang w:eastAsia="zh-CN"/>
              </w:rPr>
              <w:t>活用水量根据《新疆维吾尔自治区生活用水定额》为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lang w:eastAsia="zh-CN"/>
              </w:rPr>
              <w:t>L/d·人，</w:t>
            </w:r>
            <w:r>
              <w:rPr>
                <w:rFonts w:hint="eastAsia" w:cs="Times New Roman"/>
                <w:color w:val="auto"/>
                <w:sz w:val="24"/>
                <w:szCs w:val="24"/>
                <w:highlight w:val="none"/>
                <w:lang w:val="en-US" w:eastAsia="zh-CN"/>
              </w:rPr>
              <w:t>施工期和勘探期共计750</w:t>
            </w:r>
            <w:r>
              <w:rPr>
                <w:rFonts w:hint="default" w:ascii="Times New Roman" w:hAnsi="Times New Roman" w:eastAsia="宋体" w:cs="Times New Roman"/>
                <w:color w:val="auto"/>
                <w:sz w:val="24"/>
                <w:szCs w:val="24"/>
                <w:highlight w:val="none"/>
                <w:lang w:eastAsia="zh-CN"/>
              </w:rPr>
              <w:t>d，则可知本项目生活用水量为</w:t>
            </w:r>
            <w:r>
              <w:rPr>
                <w:rFonts w:hint="eastAsia" w:cs="Times New Roman"/>
                <w:color w:val="auto"/>
                <w:sz w:val="24"/>
                <w:szCs w:val="24"/>
                <w:highlight w:val="none"/>
                <w:lang w:val="en-US" w:eastAsia="zh-CN"/>
              </w:rPr>
              <w:t>0.42</w:t>
            </w:r>
            <w:r>
              <w:rPr>
                <w:rFonts w:hint="default" w:ascii="Times New Roman" w:hAnsi="Times New Roman" w:eastAsia="宋体" w:cs="Times New Roman"/>
                <w:color w:val="auto"/>
                <w:sz w:val="24"/>
                <w:szCs w:val="24"/>
                <w:highlight w:val="none"/>
                <w:lang w:eastAsia="zh-CN"/>
              </w:rPr>
              <w:t>m³/d</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生活用水总量为315</w:t>
            </w:r>
            <w:r>
              <w:rPr>
                <w:rFonts w:hint="default" w:ascii="Times New Roman" w:hAnsi="Times New Roman" w:eastAsia="宋体" w:cs="Times New Roman"/>
                <w:color w:val="auto"/>
                <w:sz w:val="24"/>
                <w:szCs w:val="24"/>
                <w:highlight w:val="none"/>
                <w:lang w:eastAsia="zh-CN"/>
              </w:rPr>
              <w:t>m³。</w:t>
            </w:r>
          </w:p>
          <w:p>
            <w:pPr>
              <w:pStyle w:val="48"/>
              <w:bidi w:val="0"/>
              <w:rPr>
                <w:rFonts w:hint="default"/>
                <w:color w:val="auto"/>
                <w:lang w:val="en-US" w:eastAsia="zh-CN"/>
              </w:rPr>
            </w:pPr>
            <w:r>
              <w:rPr>
                <w:rFonts w:hint="eastAsia"/>
                <w:color w:val="auto"/>
                <w:lang w:val="en-US" w:eastAsia="zh-CN"/>
              </w:rPr>
              <w:t>（2）生产用水</w:t>
            </w:r>
          </w:p>
          <w:p>
            <w:pPr>
              <w:pStyle w:val="48"/>
              <w:bidi w:val="0"/>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lang w:val="en-US" w:eastAsia="zh-CN"/>
              </w:rPr>
              <w:t>泥浆调配用水：项目钻井期间泥浆调配用水量</w:t>
            </w:r>
            <w:r>
              <w:rPr>
                <w:rFonts w:hint="eastAsia" w:cs="Times New Roman"/>
                <w:sz w:val="24"/>
                <w:szCs w:val="24"/>
                <w:highlight w:val="none"/>
                <w:lang w:val="en-US" w:eastAsia="zh-CN"/>
              </w:rPr>
              <w:t>补充量</w:t>
            </w:r>
            <w:r>
              <w:rPr>
                <w:rFonts w:hint="eastAsia" w:ascii="Times New Roman" w:hAnsi="Times New Roman" w:eastAsia="宋体" w:cs="Times New Roman"/>
                <w:sz w:val="24"/>
                <w:szCs w:val="24"/>
                <w:highlight w:val="none"/>
                <w:lang w:val="en-US" w:eastAsia="zh-CN"/>
              </w:rPr>
              <w:t>为</w:t>
            </w:r>
            <w:r>
              <w:rPr>
                <w:rFonts w:hint="eastAsia" w:cs="Times New Roman"/>
                <w:sz w:val="24"/>
                <w:szCs w:val="24"/>
                <w:highlight w:val="none"/>
                <w:lang w:val="en-US" w:eastAsia="zh-CN"/>
              </w:rPr>
              <w:t>50m</w:t>
            </w:r>
            <w:r>
              <w:rPr>
                <w:rFonts w:hint="eastAsia" w:cs="Times New Roman"/>
                <w:sz w:val="24"/>
                <w:szCs w:val="24"/>
                <w:highlight w:val="none"/>
                <w:vertAlign w:val="superscript"/>
                <w:lang w:val="en-US" w:eastAsia="zh-CN"/>
              </w:rPr>
              <w:t>3</w:t>
            </w:r>
            <w:r>
              <w:rPr>
                <w:rFonts w:hint="eastAsia" w:ascii="Times New Roman" w:hAnsi="Times New Roman" w:eastAsia="宋体" w:cs="Times New Roman"/>
                <w:sz w:val="24"/>
                <w:szCs w:val="24"/>
                <w:highlight w:val="none"/>
                <w:vertAlign w:val="baseline"/>
                <w:lang w:val="en-US" w:eastAsia="zh-CN"/>
              </w:rPr>
              <w:t>，调配好的泥浆循环使用。</w:t>
            </w:r>
          </w:p>
          <w:p>
            <w:pPr>
              <w:pStyle w:val="48"/>
              <w:bidi w:val="0"/>
              <w:rPr>
                <w:rFonts w:hint="eastAsia"/>
                <w:color w:val="auto"/>
                <w:lang w:val="en-US" w:eastAsia="zh-CN"/>
              </w:rPr>
            </w:pPr>
            <w:r>
              <w:rPr>
                <w:rFonts w:hint="eastAsia"/>
                <w:lang w:val="en-US" w:eastAsia="zh-CN"/>
              </w:rPr>
              <w:t>钻井设备冲洗用水：经沉淀池处理后循环使用，定期补充，不外排，钻探期间用水补充量为2m</w:t>
            </w:r>
            <w:r>
              <w:rPr>
                <w:rFonts w:hint="eastAsia"/>
                <w:vertAlign w:val="superscript"/>
                <w:lang w:val="en-US" w:eastAsia="zh-CN"/>
              </w:rPr>
              <w:t>3</w:t>
            </w:r>
            <w:r>
              <w:rPr>
                <w:rFonts w:hint="eastAsia"/>
                <w:lang w:val="en-US" w:eastAsia="zh-CN"/>
              </w:rPr>
              <w:t>。</w:t>
            </w:r>
          </w:p>
          <w:p>
            <w:pPr>
              <w:pStyle w:val="50"/>
              <w:bidi w:val="0"/>
              <w:rPr>
                <w:rFonts w:hint="default"/>
                <w:color w:val="auto"/>
                <w:lang w:val="en-US" w:eastAsia="zh-CN"/>
              </w:rPr>
            </w:pPr>
            <w:r>
              <w:rPr>
                <w:rFonts w:hint="eastAsia"/>
                <w:color w:val="auto"/>
                <w:lang w:val="en-US" w:eastAsia="zh-CN"/>
              </w:rPr>
              <w:t>4.2排水</w:t>
            </w:r>
          </w:p>
          <w:p>
            <w:pPr>
              <w:pStyle w:val="48"/>
              <w:numPr>
                <w:ilvl w:val="0"/>
                <w:numId w:val="0"/>
              </w:numPr>
              <w:bidi w:val="0"/>
              <w:ind w:firstLine="480" w:firstLineChars="200"/>
              <w:rPr>
                <w:rFonts w:hint="eastAsia"/>
                <w:color w:val="auto"/>
                <w:lang w:val="en-US" w:eastAsia="zh-CN"/>
              </w:rPr>
            </w:pPr>
            <w:r>
              <w:rPr>
                <w:rFonts w:hint="eastAsia" w:ascii="Times New Roman" w:hAnsi="Times New Roman" w:eastAsia="宋体" w:cs="宋体"/>
                <w:color w:val="auto"/>
                <w:kern w:val="0"/>
                <w:sz w:val="24"/>
                <w:szCs w:val="24"/>
                <w:lang w:val="en-US" w:eastAsia="zh-CN" w:bidi="ar-SA"/>
              </w:rPr>
              <w:t>（1）</w:t>
            </w:r>
            <w:r>
              <w:rPr>
                <w:rFonts w:hint="eastAsia"/>
                <w:color w:val="auto"/>
                <w:lang w:val="en-US" w:eastAsia="zh-CN"/>
              </w:rPr>
              <w:t>生活污水</w:t>
            </w:r>
          </w:p>
          <w:p>
            <w:pPr>
              <w:pStyle w:val="48"/>
              <w:bidi w:val="0"/>
              <w:rPr>
                <w:rFonts w:hint="default"/>
                <w:color w:val="auto"/>
                <w:lang w:val="en-US" w:eastAsia="zh-CN"/>
              </w:rPr>
            </w:pPr>
            <w:r>
              <w:rPr>
                <w:rFonts w:hint="eastAsia"/>
                <w:color w:val="auto"/>
                <w:lang w:val="en-US" w:eastAsia="zh-CN"/>
              </w:rPr>
              <w:t>生活污水产生量较少，生活污水排入一体化污水处理设施后，其出水标准可达到《农村生活污水处理排放标准》（DB654275-2019）表2中C级标准，用于洒水绿化，不外排。</w:t>
            </w:r>
            <w:r>
              <w:rPr>
                <w:rFonts w:hint="default"/>
                <w:color w:val="auto"/>
                <w:lang w:val="en-US" w:eastAsia="zh-CN"/>
              </w:rPr>
              <w:t>生活污水量以生活用水量的80%计，则可知本项目探矿期生活污水产生量为</w:t>
            </w:r>
            <w:r>
              <w:rPr>
                <w:rFonts w:hint="eastAsia"/>
                <w:color w:val="auto"/>
                <w:highlight w:val="none"/>
                <w:lang w:val="en-US" w:eastAsia="zh-CN"/>
              </w:rPr>
              <w:t>252</w:t>
            </w:r>
            <w:r>
              <w:rPr>
                <w:rFonts w:hint="default"/>
                <w:color w:val="auto"/>
                <w:highlight w:val="none"/>
                <w:lang w:val="en-US" w:eastAsia="zh-CN"/>
              </w:rPr>
              <w:t>m³</w:t>
            </w:r>
            <w:r>
              <w:rPr>
                <w:rFonts w:hint="eastAsia"/>
                <w:color w:val="auto"/>
                <w:highlight w:val="none"/>
                <w:lang w:val="en-US" w:eastAsia="zh-CN"/>
              </w:rPr>
              <w:t>（0.336m³/d）</w:t>
            </w:r>
            <w:r>
              <w:rPr>
                <w:rFonts w:hint="default"/>
                <w:color w:val="auto"/>
                <w:highlight w:val="none"/>
                <w:lang w:val="en-US" w:eastAsia="zh-CN"/>
              </w:rPr>
              <w:t>。</w:t>
            </w:r>
          </w:p>
          <w:p>
            <w:pPr>
              <w:pStyle w:val="48"/>
              <w:bidi w:val="0"/>
              <w:rPr>
                <w:rFonts w:hint="eastAsia"/>
                <w:color w:val="auto"/>
                <w:lang w:val="en-US" w:eastAsia="zh-CN"/>
              </w:rPr>
            </w:pPr>
            <w:r>
              <w:rPr>
                <w:rFonts w:hint="eastAsia"/>
                <w:color w:val="auto"/>
                <w:lang w:val="en-US" w:eastAsia="zh-CN"/>
              </w:rPr>
              <w:t>（2）生产废水</w:t>
            </w:r>
          </w:p>
          <w:p>
            <w:pPr>
              <w:pStyle w:val="48"/>
              <w:bidi w:val="0"/>
              <w:rPr>
                <w:rFonts w:hint="eastAsia"/>
                <w:lang w:val="en-US" w:eastAsia="zh-CN"/>
              </w:rPr>
            </w:pPr>
            <w:r>
              <w:rPr>
                <w:rFonts w:hint="eastAsia"/>
                <w:lang w:val="en-US" w:eastAsia="zh-CN"/>
              </w:rPr>
              <w:t>泥浆废水：经防渗沉淀池处理后全部回用于钻孔泥浆配制，定期补充，循环使用，不外排，勘探期补充量为50m</w:t>
            </w:r>
            <w:r>
              <w:rPr>
                <w:rFonts w:hint="eastAsia"/>
                <w:vertAlign w:val="superscript"/>
                <w:lang w:val="en-US" w:eastAsia="zh-CN"/>
              </w:rPr>
              <w:t>3</w:t>
            </w:r>
            <w:r>
              <w:rPr>
                <w:rFonts w:hint="eastAsia"/>
                <w:lang w:val="en-US" w:eastAsia="zh-CN"/>
              </w:rPr>
              <w:t>。</w:t>
            </w:r>
          </w:p>
          <w:p>
            <w:pPr>
              <w:pStyle w:val="48"/>
              <w:keepNext w:val="0"/>
              <w:keepLines w:val="0"/>
              <w:pageBreakBefore w:val="0"/>
              <w:widowControl w:val="0"/>
              <w:kinsoku/>
              <w:wordWrap/>
              <w:overflowPunct/>
              <w:topLinePunct w:val="0"/>
              <w:autoSpaceDE/>
              <w:autoSpaceDN/>
              <w:bidi w:val="0"/>
              <w:adjustRightInd w:val="0"/>
              <w:snapToGrid w:val="0"/>
              <w:textAlignment w:val="auto"/>
              <w:rPr>
                <w:rFonts w:hint="eastAsia"/>
                <w:color w:val="auto"/>
                <w:lang w:val="en-US" w:eastAsia="zh-CN"/>
              </w:rPr>
            </w:pPr>
            <w:r>
              <w:rPr>
                <w:rFonts w:hint="eastAsia"/>
                <w:lang w:val="en-US" w:eastAsia="zh-CN"/>
              </w:rPr>
              <w:t>钻井设备冲洗用水：经沉淀池处理后循环使用，定期补充，不外排，勘探期补充量为2m</w:t>
            </w:r>
            <w:r>
              <w:rPr>
                <w:rFonts w:hint="eastAsia"/>
                <w:vertAlign w:val="superscript"/>
                <w:lang w:val="en-US" w:eastAsia="zh-CN"/>
              </w:rPr>
              <w:t>3</w:t>
            </w:r>
            <w:r>
              <w:rPr>
                <w:rFonts w:hint="eastAsia"/>
                <w:lang w:val="en-US" w:eastAsia="zh-CN"/>
              </w:rPr>
              <w:t>。</w:t>
            </w:r>
          </w:p>
          <w:p>
            <w:pPr>
              <w:pStyle w:val="48"/>
              <w:bidi w:val="0"/>
              <w:spacing w:line="240" w:lineRule="auto"/>
              <w:ind w:left="0" w:leftChars="0" w:firstLine="0" w:firstLineChars="0"/>
              <w:jc w:val="center"/>
              <w:rPr>
                <w:rFonts w:hint="eastAsia"/>
                <w:color w:val="auto"/>
                <w:lang w:val="en-US" w:eastAsia="zh-CN"/>
              </w:rPr>
            </w:pPr>
            <w:r>
              <w:rPr>
                <w:rFonts w:hint="eastAsia"/>
                <w:color w:val="auto"/>
                <w:lang w:val="en-US" w:eastAsia="zh-CN"/>
              </w:rPr>
              <w:drawing>
                <wp:inline distT="0" distB="0" distL="114300" distR="114300">
                  <wp:extent cx="5001260" cy="3870325"/>
                  <wp:effectExtent l="0" t="0" r="0" b="0"/>
                  <wp:docPr id="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wps"/>
                          <pic:cNvPicPr>
                            <a:picLocks noChangeAspect="1"/>
                          </pic:cNvPicPr>
                        </pic:nvPicPr>
                        <pic:blipFill>
                          <a:blip r:embed="rId7"/>
                          <a:stretch>
                            <a:fillRect/>
                          </a:stretch>
                        </pic:blipFill>
                        <pic:spPr>
                          <a:xfrm>
                            <a:off x="0" y="0"/>
                            <a:ext cx="5001260" cy="3870325"/>
                          </a:xfrm>
                          <a:prstGeom prst="rect">
                            <a:avLst/>
                          </a:prstGeom>
                        </pic:spPr>
                      </pic:pic>
                    </a:graphicData>
                  </a:graphic>
                </wp:inline>
              </w:drawing>
            </w:r>
          </w:p>
          <w:p>
            <w:pPr>
              <w:jc w:val="center"/>
              <w:rPr>
                <w:rFonts w:hint="default" w:eastAsia="宋体"/>
                <w:color w:val="auto"/>
                <w:highlight w:val="none"/>
                <w:lang w:val="en-US" w:eastAsia="zh-CN"/>
              </w:rPr>
            </w:pPr>
            <w:r>
              <w:rPr>
                <w:rStyle w:val="53"/>
                <w:rFonts w:hint="eastAsia"/>
                <w:color w:val="auto"/>
                <w:highlight w:val="none"/>
                <w:lang w:val="en-US" w:eastAsia="zh-CN"/>
              </w:rPr>
              <w:t>图2-1    探矿工作期水平衡示意图    （m</w:t>
            </w:r>
            <w:r>
              <w:rPr>
                <w:rStyle w:val="53"/>
                <w:rFonts w:hint="eastAsia"/>
                <w:color w:val="auto"/>
                <w:highlight w:val="none"/>
                <w:vertAlign w:val="superscript"/>
                <w:lang w:val="en-US" w:eastAsia="zh-CN"/>
              </w:rPr>
              <w:t>3</w:t>
            </w:r>
            <w:r>
              <w:rPr>
                <w:rStyle w:val="53"/>
                <w:rFonts w:hint="eastAsia"/>
                <w:color w:val="auto"/>
                <w:highlight w:val="none"/>
                <w:lang w:val="en-US" w:eastAsia="zh-CN"/>
              </w:rPr>
              <w:t>/探矿期）</w:t>
            </w:r>
          </w:p>
          <w:p>
            <w:pPr>
              <w:pStyle w:val="50"/>
              <w:bidi w:val="0"/>
              <w:rPr>
                <w:rFonts w:hint="default"/>
                <w:color w:val="auto"/>
                <w:lang w:val="en-US" w:eastAsia="zh-CN"/>
              </w:rPr>
            </w:pPr>
            <w:r>
              <w:rPr>
                <w:rFonts w:hint="eastAsia"/>
                <w:color w:val="auto"/>
                <w:lang w:val="en-US" w:eastAsia="zh-CN"/>
              </w:rPr>
              <w:t>4.3供电</w:t>
            </w:r>
          </w:p>
          <w:p>
            <w:pPr>
              <w:pStyle w:val="48"/>
              <w:bidi w:val="0"/>
              <w:rPr>
                <w:rFonts w:hint="eastAsia" w:ascii="Times New Roman" w:hAnsi="Times New Roman" w:eastAsia="宋体" w:cs="宋体"/>
                <w:b w:val="0"/>
                <w:kern w:val="0"/>
                <w:sz w:val="24"/>
                <w:szCs w:val="24"/>
                <w:lang w:val="en-US" w:eastAsia="zh-CN" w:bidi="ar-SA"/>
              </w:rPr>
            </w:pPr>
            <w:r>
              <w:rPr>
                <w:rFonts w:hint="eastAsia"/>
                <w:color w:val="auto"/>
                <w:lang w:eastAsia="zh-CN"/>
              </w:rPr>
              <w:t>使用</w:t>
            </w:r>
            <w:r>
              <w:rPr>
                <w:rFonts w:hint="eastAsia"/>
                <w:color w:val="auto"/>
                <w:lang w:val="en-US" w:eastAsia="zh-CN"/>
              </w:rPr>
              <w:t>柴油</w:t>
            </w:r>
            <w:r>
              <w:rPr>
                <w:rFonts w:hint="eastAsia"/>
                <w:color w:val="auto"/>
                <w:lang w:eastAsia="zh-CN"/>
              </w:rPr>
              <w:t>发电机供电。</w:t>
            </w:r>
            <w:r>
              <w:rPr>
                <w:rFonts w:hint="eastAsia"/>
                <w:color w:val="auto"/>
                <w:lang w:val="en-US" w:eastAsia="zh-CN"/>
              </w:rPr>
              <w:t>柴油使用油桶储存，存放于铺有防渗地膜（高密度聚乙烯土工膜，厚度≥1.5mm）的柴油贮存点。</w:t>
            </w:r>
          </w:p>
          <w:p>
            <w:pPr>
              <w:pStyle w:val="50"/>
              <w:bidi w:val="0"/>
              <w:rPr>
                <w:rFonts w:hint="default"/>
                <w:color w:val="auto"/>
                <w:highlight w:val="none"/>
              </w:rPr>
            </w:pPr>
            <w:r>
              <w:rPr>
                <w:rFonts w:hint="eastAsia"/>
                <w:color w:val="auto"/>
                <w:highlight w:val="none"/>
                <w:lang w:val="en-US" w:eastAsia="zh-CN"/>
              </w:rPr>
              <w:t>5.劳动定员及工作</w:t>
            </w:r>
            <w:r>
              <w:rPr>
                <w:rFonts w:hint="default"/>
                <w:color w:val="auto"/>
                <w:highlight w:val="none"/>
              </w:rPr>
              <w:t>制度</w:t>
            </w:r>
          </w:p>
          <w:p>
            <w:pPr>
              <w:pStyle w:val="48"/>
              <w:bidi w:val="0"/>
              <w:rPr>
                <w:rFonts w:hint="default"/>
                <w:color w:val="auto"/>
                <w:lang w:val="en-US" w:eastAsia="zh-CN"/>
              </w:rPr>
            </w:pPr>
            <w:r>
              <w:rPr>
                <w:rFonts w:hint="eastAsia"/>
                <w:color w:val="auto"/>
                <w:lang w:val="en-US" w:eastAsia="zh-CN"/>
              </w:rPr>
              <w:t>本项目劳动定员为14人，建设周期为2026年—2030年，每年6月—10月。共计750天，其中施工期30天，勘查期720天，采取8小时工作制</w:t>
            </w: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总平面及现场布置</w:t>
            </w:r>
          </w:p>
        </w:tc>
        <w:tc>
          <w:tcPr>
            <w:tcW w:w="7847" w:type="dxa"/>
            <w:noWrap w:val="0"/>
            <w:vAlign w:val="center"/>
          </w:tcPr>
          <w:p>
            <w:pPr>
              <w:pStyle w:val="48"/>
              <w:bidi w:val="0"/>
              <w:rPr>
                <w:rFonts w:hint="default"/>
                <w:color w:val="auto"/>
                <w:lang w:val="en-US" w:eastAsia="zh-CN"/>
              </w:rPr>
            </w:pPr>
            <w:r>
              <w:rPr>
                <w:rFonts w:hint="eastAsia"/>
                <w:lang w:val="en-US" w:eastAsia="zh-CN"/>
              </w:rPr>
              <w:t>工程</w:t>
            </w:r>
            <w:r>
              <w:rPr>
                <w:rFonts w:hint="default"/>
                <w:lang w:val="en-US" w:eastAsia="zh-CN"/>
              </w:rPr>
              <w:t>布置应综合考虑工程规模、施工方案及工期、造价等因素，按照因地制宜、因时制宜、有利生产、方便生活、易于管理、安全可靠的原则，在满足环保与水</w:t>
            </w:r>
            <w:r>
              <w:rPr>
                <w:rFonts w:hint="default"/>
                <w:color w:val="auto"/>
                <w:lang w:val="en-US" w:eastAsia="zh-CN"/>
              </w:rPr>
              <w:t>保要求的条件下布置施工场地。</w:t>
            </w:r>
          </w:p>
          <w:p>
            <w:pPr>
              <w:pStyle w:val="48"/>
              <w:bidi w:val="0"/>
              <w:rPr>
                <w:rFonts w:hint="eastAsia" w:cs="Times New Roman"/>
                <w:bCs/>
                <w:color w:val="auto"/>
                <w:kern w:val="0"/>
                <w:sz w:val="24"/>
                <w:szCs w:val="24"/>
                <w:lang w:val="en-US" w:eastAsia="zh-CN" w:bidi="ar-SA"/>
              </w:rPr>
            </w:pPr>
            <w:r>
              <w:rPr>
                <w:rFonts w:hint="eastAsia" w:cs="Times New Roman"/>
                <w:bCs/>
                <w:color w:val="auto"/>
                <w:kern w:val="0"/>
                <w:sz w:val="24"/>
                <w:szCs w:val="24"/>
                <w:lang w:val="en-US" w:eastAsia="zh-CN" w:bidi="ar-SA"/>
              </w:rPr>
              <w:t>1、道路修建</w:t>
            </w:r>
          </w:p>
          <w:p>
            <w:pPr>
              <w:pStyle w:val="48"/>
              <w:bidi w:val="0"/>
              <w:rPr>
                <w:rFonts w:hint="eastAsia" w:cs="Times New Roman"/>
                <w:bCs/>
                <w:color w:val="auto"/>
                <w:kern w:val="0"/>
                <w:sz w:val="24"/>
                <w:szCs w:val="24"/>
                <w:lang w:val="en-US" w:eastAsia="zh-CN" w:bidi="ar-SA"/>
              </w:rPr>
            </w:pPr>
            <w:r>
              <w:rPr>
                <w:rFonts w:hint="eastAsia" w:cs="Times New Roman"/>
                <w:bCs/>
                <w:color w:val="auto"/>
                <w:kern w:val="0"/>
                <w:sz w:val="24"/>
                <w:szCs w:val="24"/>
                <w:lang w:val="en-US" w:eastAsia="zh-CN" w:bidi="ar-SA"/>
              </w:rPr>
              <w:t>本项目道路修建共计5千米（矿区外道路3km，矿区内道路2km，道路宽7m），雨季洪水泛滥道路常被冲毁，道路施工为方便工作人员进行勘探工作建设，将对道路进行简单的场地平整，压实，方便物资运输以及勘探工作的开展。</w:t>
            </w:r>
          </w:p>
          <w:p>
            <w:pPr>
              <w:pStyle w:val="48"/>
              <w:bidi w:val="0"/>
              <w:rPr>
                <w:rFonts w:hint="eastAsia"/>
                <w:color w:val="auto"/>
                <w:lang w:val="en-US" w:eastAsia="zh-CN"/>
              </w:rPr>
            </w:pPr>
            <w:r>
              <w:rPr>
                <w:rFonts w:hint="eastAsia" w:cs="Times New Roman"/>
                <w:bCs/>
                <w:color w:val="auto"/>
                <w:kern w:val="0"/>
                <w:sz w:val="24"/>
                <w:szCs w:val="24"/>
                <w:lang w:val="en-US" w:eastAsia="zh-CN" w:bidi="ar-SA"/>
              </w:rPr>
              <w:t>2、</w:t>
            </w:r>
            <w:r>
              <w:rPr>
                <w:rFonts w:hint="eastAsia"/>
                <w:color w:val="auto"/>
                <w:lang w:val="en-US" w:eastAsia="zh-CN"/>
              </w:rPr>
              <w:t>临时营地</w:t>
            </w:r>
          </w:p>
          <w:p>
            <w:pPr>
              <w:pStyle w:val="48"/>
              <w:bidi w:val="0"/>
              <w:rPr>
                <w:rFonts w:hint="eastAsia"/>
                <w:color w:val="auto"/>
                <w:lang w:val="en-US" w:eastAsia="zh-CN"/>
              </w:rPr>
            </w:pPr>
            <w:r>
              <w:rPr>
                <w:rFonts w:hint="eastAsia"/>
                <w:color w:val="auto"/>
                <w:lang w:val="en-US" w:eastAsia="zh-CN"/>
              </w:rPr>
              <w:t>项目在矿区内设置一个临时生活营地，占地面积共100m</w:t>
            </w:r>
            <w:r>
              <w:rPr>
                <w:rFonts w:hint="eastAsia"/>
                <w:color w:val="auto"/>
                <w:vertAlign w:val="superscript"/>
                <w:lang w:val="en-US" w:eastAsia="zh-CN"/>
              </w:rPr>
              <w:t>2</w:t>
            </w:r>
            <w:r>
              <w:rPr>
                <w:rFonts w:hint="eastAsia"/>
                <w:color w:val="auto"/>
                <w:lang w:val="en-US" w:eastAsia="zh-CN"/>
              </w:rPr>
              <w:t>，布置在地势平缓植被稀疏处，探矿工作结束后对临时生活营地进行拆除和恢复。</w:t>
            </w:r>
          </w:p>
          <w:p>
            <w:pPr>
              <w:pStyle w:val="48"/>
              <w:bidi w:val="0"/>
              <w:rPr>
                <w:rFonts w:hint="eastAsia"/>
                <w:color w:val="auto"/>
                <w:lang w:val="en-US" w:eastAsia="zh-CN"/>
              </w:rPr>
            </w:pPr>
            <w:r>
              <w:rPr>
                <w:rFonts w:hint="eastAsia"/>
                <w:color w:val="auto"/>
                <w:lang w:val="en-US" w:eastAsia="zh-CN"/>
              </w:rPr>
              <w:t>3、勘探工程</w:t>
            </w:r>
          </w:p>
          <w:p>
            <w:pPr>
              <w:pStyle w:val="48"/>
              <w:bidi w:val="0"/>
              <w:rPr>
                <w:rFonts w:hint="eastAsia"/>
                <w:color w:val="auto"/>
                <w:lang w:val="en-US" w:eastAsia="zh-CN"/>
              </w:rPr>
            </w:pPr>
            <w:r>
              <w:rPr>
                <w:rFonts w:hint="eastAsia"/>
                <w:color w:val="auto"/>
                <w:lang w:val="en-US" w:eastAsia="zh-CN"/>
              </w:rPr>
              <w:t>本项目勘查工作布设</w:t>
            </w:r>
            <w:r>
              <w:rPr>
                <w:rFonts w:hint="default"/>
                <w:color w:val="auto"/>
                <w:highlight w:val="none"/>
                <w:lang w:val="en-US" w:eastAsia="zh-CN"/>
              </w:rPr>
              <w:t>探槽</w:t>
            </w:r>
            <w:r>
              <w:rPr>
                <w:rFonts w:hint="eastAsia"/>
                <w:color w:val="auto"/>
                <w:highlight w:val="none"/>
                <w:lang w:val="en-US" w:eastAsia="zh-CN"/>
              </w:rPr>
              <w:t>64</w:t>
            </w:r>
            <w:r>
              <w:rPr>
                <w:rFonts w:hint="default"/>
                <w:color w:val="auto"/>
                <w:highlight w:val="none"/>
                <w:lang w:val="en-US" w:eastAsia="zh-CN"/>
              </w:rPr>
              <w:t>条</w:t>
            </w:r>
            <w:r>
              <w:rPr>
                <w:rFonts w:hint="eastAsia"/>
                <w:color w:val="auto"/>
                <w:highlight w:val="none"/>
                <w:lang w:val="en-US" w:eastAsia="zh-CN"/>
              </w:rPr>
              <w:t>，</w:t>
            </w:r>
            <w:r>
              <w:rPr>
                <w:rFonts w:hint="default"/>
                <w:color w:val="auto"/>
                <w:highlight w:val="none"/>
                <w:lang w:val="en-US" w:eastAsia="zh-CN"/>
              </w:rPr>
              <w:t>工作量</w:t>
            </w:r>
            <w:r>
              <w:rPr>
                <w:rFonts w:hint="eastAsia"/>
                <w:color w:val="auto"/>
                <w:highlight w:val="none"/>
                <w:lang w:val="en-US" w:eastAsia="zh-CN"/>
              </w:rPr>
              <w:t>5000m³，探槽施工深度一般2-3米，本项目按2.5米计，故探槽占地2000m</w:t>
            </w:r>
            <w:r>
              <w:rPr>
                <w:rFonts w:hint="eastAsia"/>
                <w:color w:val="auto"/>
                <w:highlight w:val="none"/>
                <w:vertAlign w:val="superscript"/>
                <w:lang w:val="en-US" w:eastAsia="zh-CN"/>
              </w:rPr>
              <w:t>2</w:t>
            </w:r>
            <w:r>
              <w:rPr>
                <w:rFonts w:hint="eastAsia"/>
                <w:color w:val="auto"/>
                <w:highlight w:val="none"/>
                <w:lang w:val="en-US" w:eastAsia="zh-CN"/>
              </w:rPr>
              <w:t>。</w:t>
            </w:r>
            <w:r>
              <w:rPr>
                <w:rFonts w:hint="eastAsia"/>
                <w:highlight w:val="none"/>
                <w:lang w:val="en-US" w:eastAsia="zh-CN"/>
              </w:rPr>
              <w:t>布设46个钻孔，钻孔位于探槽倾斜坡面，不额外占用土地，</w:t>
            </w:r>
            <w:r>
              <w:rPr>
                <w:rFonts w:hint="eastAsia"/>
                <w:lang w:val="en-US" w:eastAsia="zh-CN"/>
              </w:rPr>
              <w:t>钻探工程所需材料利用便道随用随卸，不单设固定的施工场地，设置10m</w:t>
            </w:r>
            <w:r>
              <w:rPr>
                <w:rFonts w:hint="eastAsia"/>
                <w:vertAlign w:val="superscript"/>
                <w:lang w:val="en-US" w:eastAsia="zh-CN"/>
              </w:rPr>
              <w:t>3</w:t>
            </w:r>
            <w:r>
              <w:rPr>
                <w:rFonts w:hint="eastAsia"/>
                <w:highlight w:val="none"/>
                <w:lang w:val="en-US" w:eastAsia="zh-CN"/>
              </w:rPr>
              <w:t>泥浆沉淀池占地5m</w:t>
            </w:r>
            <w:r>
              <w:rPr>
                <w:rFonts w:hint="eastAsia"/>
                <w:highlight w:val="none"/>
                <w:vertAlign w:val="superscript"/>
                <w:lang w:val="en-US" w:eastAsia="zh-CN"/>
              </w:rPr>
              <w:t>2</w:t>
            </w:r>
            <w:r>
              <w:rPr>
                <w:rFonts w:hint="eastAsia"/>
                <w:highlight w:val="none"/>
                <w:lang w:val="en-US" w:eastAsia="zh-CN"/>
              </w:rPr>
              <w:t>。</w:t>
            </w:r>
          </w:p>
          <w:p>
            <w:pPr>
              <w:pStyle w:val="48"/>
              <w:bidi w:val="0"/>
              <w:rPr>
                <w:rFonts w:hint="default"/>
                <w:color w:val="auto"/>
                <w:lang w:val="en-US" w:eastAsia="zh-CN"/>
              </w:rPr>
            </w:pPr>
            <w:r>
              <w:rPr>
                <w:rFonts w:hint="default"/>
                <w:color w:val="auto"/>
                <w:lang w:val="en-US" w:eastAsia="zh-CN"/>
              </w:rPr>
              <w:t>本项目占地类型一览表见下表。</w:t>
            </w:r>
          </w:p>
          <w:p>
            <w:pPr>
              <w:pStyle w:val="52"/>
              <w:bidi w:val="0"/>
              <w:rPr>
                <w:rFonts w:hint="default"/>
                <w:color w:val="auto"/>
                <w:lang w:val="en-US" w:eastAsia="zh-CN"/>
              </w:rPr>
            </w:pPr>
            <w:r>
              <w:rPr>
                <w:rFonts w:hint="default"/>
                <w:color w:val="auto"/>
                <w:lang w:val="en-US" w:eastAsia="zh-CN"/>
              </w:rPr>
              <w:t>表2-</w:t>
            </w:r>
            <w:r>
              <w:rPr>
                <w:rFonts w:hint="eastAsia"/>
                <w:color w:val="auto"/>
                <w:lang w:val="en-US" w:eastAsia="zh-CN"/>
              </w:rPr>
              <w:t>5</w:t>
            </w:r>
            <w:r>
              <w:rPr>
                <w:rFonts w:hint="default"/>
                <w:color w:val="auto"/>
                <w:lang w:val="en-US" w:eastAsia="zh-CN"/>
              </w:rPr>
              <w:t xml:space="preserve">    项目占地类型一览表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469"/>
              <w:gridCol w:w="1065"/>
              <w:gridCol w:w="966"/>
              <w:gridCol w:w="2061"/>
              <w:gridCol w:w="1123"/>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1300" w:type="pct"/>
                  <w:gridSpan w:val="3"/>
                  <w:noWrap w:val="0"/>
                  <w:vAlign w:val="center"/>
                </w:tcPr>
                <w:p>
                  <w:pPr>
                    <w:pStyle w:val="54"/>
                    <w:bidi w:val="0"/>
                    <w:rPr>
                      <w:rFonts w:hint="default"/>
                      <w:lang w:val="en-US" w:eastAsia="zh-CN"/>
                    </w:rPr>
                  </w:pPr>
                  <w:r>
                    <w:rPr>
                      <w:rFonts w:hint="default"/>
                      <w:lang w:val="en-US" w:eastAsia="zh-CN"/>
                    </w:rPr>
                    <w:t>名称</w:t>
                  </w:r>
                </w:p>
              </w:tc>
              <w:tc>
                <w:tcPr>
                  <w:tcW w:w="634" w:type="pct"/>
                  <w:noWrap w:val="0"/>
                  <w:vAlign w:val="center"/>
                </w:tcPr>
                <w:p>
                  <w:pPr>
                    <w:pStyle w:val="54"/>
                    <w:bidi w:val="0"/>
                    <w:rPr>
                      <w:rFonts w:hint="default"/>
                      <w:lang w:val="en-US" w:eastAsia="zh-CN"/>
                    </w:rPr>
                  </w:pPr>
                  <w:r>
                    <w:rPr>
                      <w:rFonts w:hint="default"/>
                      <w:lang w:val="en-US" w:eastAsia="zh-CN"/>
                    </w:rPr>
                    <w:t>占地面积（m</w:t>
                  </w:r>
                  <w:r>
                    <w:rPr>
                      <w:rFonts w:hint="default"/>
                      <w:vertAlign w:val="superscript"/>
                      <w:lang w:val="en-US" w:eastAsia="zh-CN"/>
                    </w:rPr>
                    <w:t>2</w:t>
                  </w:r>
                  <w:r>
                    <w:rPr>
                      <w:rFonts w:hint="default"/>
                      <w:lang w:val="en-US" w:eastAsia="zh-CN"/>
                    </w:rPr>
                    <w:t>）</w:t>
                  </w:r>
                </w:p>
              </w:tc>
              <w:tc>
                <w:tcPr>
                  <w:tcW w:w="1352" w:type="pct"/>
                  <w:noWrap w:val="0"/>
                  <w:vAlign w:val="center"/>
                </w:tcPr>
                <w:p>
                  <w:pPr>
                    <w:pStyle w:val="54"/>
                    <w:bidi w:val="0"/>
                    <w:rPr>
                      <w:rFonts w:hint="default"/>
                      <w:highlight w:val="none"/>
                      <w:lang w:val="en-US" w:eastAsia="zh-CN"/>
                    </w:rPr>
                  </w:pPr>
                  <w:r>
                    <w:rPr>
                      <w:rFonts w:hint="default"/>
                      <w:highlight w:val="none"/>
                      <w:lang w:val="en-US" w:eastAsia="zh-CN"/>
                    </w:rPr>
                    <w:t>占地类型</w:t>
                  </w:r>
                </w:p>
              </w:tc>
              <w:tc>
                <w:tcPr>
                  <w:tcW w:w="737" w:type="pct"/>
                  <w:noWrap w:val="0"/>
                  <w:vAlign w:val="center"/>
                </w:tcPr>
                <w:p>
                  <w:pPr>
                    <w:pStyle w:val="54"/>
                    <w:bidi w:val="0"/>
                    <w:rPr>
                      <w:rFonts w:hint="default"/>
                      <w:lang w:val="en-US" w:eastAsia="zh-CN"/>
                    </w:rPr>
                  </w:pPr>
                  <w:r>
                    <w:rPr>
                      <w:rFonts w:hint="default"/>
                      <w:lang w:val="en-US" w:eastAsia="zh-CN"/>
                    </w:rPr>
                    <w:t>占地性质</w:t>
                  </w:r>
                </w:p>
              </w:tc>
              <w:tc>
                <w:tcPr>
                  <w:tcW w:w="975" w:type="pct"/>
                  <w:noWrap w:val="0"/>
                  <w:vAlign w:val="center"/>
                </w:tcPr>
                <w:p>
                  <w:pPr>
                    <w:pStyle w:val="54"/>
                    <w:bidi w:val="0"/>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00" w:type="pct"/>
                  <w:gridSpan w:val="3"/>
                  <w:noWrap w:val="0"/>
                  <w:vAlign w:val="center"/>
                </w:tcPr>
                <w:p>
                  <w:pPr>
                    <w:pStyle w:val="54"/>
                    <w:bidi w:val="0"/>
                    <w:rPr>
                      <w:rFonts w:hint="default"/>
                      <w:lang w:val="en-US" w:eastAsia="zh-CN"/>
                    </w:rPr>
                  </w:pPr>
                  <w:r>
                    <w:rPr>
                      <w:rFonts w:hint="default"/>
                      <w:lang w:val="en-US" w:eastAsia="zh-CN"/>
                    </w:rPr>
                    <w:t>探矿权范围</w:t>
                  </w:r>
                </w:p>
              </w:tc>
              <w:tc>
                <w:tcPr>
                  <w:tcW w:w="634" w:type="pct"/>
                  <w:noWrap w:val="0"/>
                  <w:vAlign w:val="center"/>
                </w:tcPr>
                <w:p>
                  <w:pPr>
                    <w:pStyle w:val="54"/>
                    <w:bidi w:val="0"/>
                    <w:rPr>
                      <w:rFonts w:hint="default"/>
                      <w:lang w:val="en-US" w:eastAsia="zh-CN"/>
                    </w:rPr>
                  </w:pPr>
                  <w:r>
                    <w:rPr>
                      <w:rFonts w:hint="eastAsia"/>
                      <w:lang w:val="en-US" w:eastAsia="zh-CN"/>
                    </w:rPr>
                    <w:t>7847600</w:t>
                  </w:r>
                </w:p>
              </w:tc>
              <w:tc>
                <w:tcPr>
                  <w:tcW w:w="1352" w:type="pct"/>
                  <w:noWrap w:val="0"/>
                  <w:vAlign w:val="center"/>
                </w:tcPr>
                <w:p>
                  <w:pPr>
                    <w:pStyle w:val="54"/>
                    <w:bidi w:val="0"/>
                    <w:rPr>
                      <w:rFonts w:hint="default"/>
                      <w:highlight w:val="none"/>
                      <w:lang w:val="en-US" w:eastAsia="zh-CN"/>
                    </w:rPr>
                  </w:pPr>
                  <w:r>
                    <w:rPr>
                      <w:rFonts w:hint="default"/>
                      <w:highlight w:val="none"/>
                      <w:lang w:val="en-US" w:eastAsia="zh-CN"/>
                    </w:rPr>
                    <w:t>裸岩石砾地</w:t>
                  </w:r>
                  <w:r>
                    <w:rPr>
                      <w:rFonts w:hint="eastAsia"/>
                      <w:highlight w:val="none"/>
                      <w:lang w:val="en-US" w:eastAsia="zh-CN"/>
                    </w:rPr>
                    <w:t>、</w:t>
                  </w:r>
                  <w:r>
                    <w:rPr>
                      <w:rFonts w:hint="default"/>
                      <w:highlight w:val="none"/>
                      <w:lang w:val="en-US" w:eastAsia="zh-CN"/>
                    </w:rPr>
                    <w:t>低覆盖度草地</w:t>
                  </w:r>
                  <w:r>
                    <w:rPr>
                      <w:rFonts w:hint="eastAsia"/>
                      <w:highlight w:val="none"/>
                      <w:lang w:val="en-US" w:eastAsia="zh-CN"/>
                    </w:rPr>
                    <w:t>、中覆盖度草地、高覆盖度草地</w:t>
                  </w:r>
                </w:p>
              </w:tc>
              <w:tc>
                <w:tcPr>
                  <w:tcW w:w="737" w:type="pct"/>
                  <w:noWrap w:val="0"/>
                  <w:vAlign w:val="center"/>
                </w:tcPr>
                <w:p>
                  <w:pPr>
                    <w:pStyle w:val="54"/>
                    <w:bidi w:val="0"/>
                    <w:rPr>
                      <w:rFonts w:hint="default"/>
                      <w:lang w:val="en-US" w:eastAsia="zh-CN"/>
                    </w:rPr>
                  </w:pPr>
                  <w:r>
                    <w:rPr>
                      <w:rFonts w:hint="default"/>
                      <w:lang w:val="en-US" w:eastAsia="zh-CN"/>
                    </w:rPr>
                    <w:t>临时占地</w:t>
                  </w:r>
                </w:p>
              </w:tc>
              <w:tc>
                <w:tcPr>
                  <w:tcW w:w="975" w:type="pct"/>
                  <w:noWrap w:val="0"/>
                  <w:vAlign w:val="center"/>
                </w:tcPr>
                <w:p>
                  <w:pPr>
                    <w:pStyle w:val="54"/>
                    <w:bidi w:val="0"/>
                    <w:rPr>
                      <w:rFonts w:hint="default"/>
                      <w:lang w:val="en-US" w:eastAsia="zh-CN"/>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94" w:type="pct"/>
                  <w:vMerge w:val="restart"/>
                  <w:noWrap w:val="0"/>
                  <w:vAlign w:val="center"/>
                </w:tcPr>
                <w:p>
                  <w:pPr>
                    <w:pStyle w:val="54"/>
                    <w:bidi w:val="0"/>
                    <w:rPr>
                      <w:rFonts w:hint="default"/>
                      <w:lang w:val="en-US" w:eastAsia="zh-CN"/>
                    </w:rPr>
                  </w:pPr>
                  <w:r>
                    <w:rPr>
                      <w:rFonts w:hint="default"/>
                      <w:lang w:val="en-US" w:eastAsia="zh-CN"/>
                    </w:rPr>
                    <w:t>其中</w:t>
                  </w:r>
                </w:p>
              </w:tc>
              <w:tc>
                <w:tcPr>
                  <w:tcW w:w="1006" w:type="pct"/>
                  <w:gridSpan w:val="2"/>
                  <w:noWrap w:val="0"/>
                  <w:vAlign w:val="center"/>
                </w:tcPr>
                <w:p>
                  <w:pPr>
                    <w:pStyle w:val="54"/>
                    <w:bidi w:val="0"/>
                    <w:rPr>
                      <w:rFonts w:hint="default"/>
                      <w:lang w:val="en-US" w:eastAsia="zh-CN"/>
                    </w:rPr>
                  </w:pPr>
                  <w:r>
                    <w:rPr>
                      <w:rFonts w:hint="default"/>
                      <w:lang w:val="en-US" w:eastAsia="zh-CN"/>
                    </w:rPr>
                    <w:t>槽探区</w:t>
                  </w:r>
                </w:p>
              </w:tc>
              <w:tc>
                <w:tcPr>
                  <w:tcW w:w="634" w:type="pct"/>
                  <w:noWrap w:val="0"/>
                  <w:vAlign w:val="center"/>
                </w:tcPr>
                <w:p>
                  <w:pPr>
                    <w:pStyle w:val="54"/>
                    <w:bidi w:val="0"/>
                    <w:rPr>
                      <w:rFonts w:hint="default"/>
                      <w:lang w:val="en-US" w:eastAsia="zh-CN"/>
                    </w:rPr>
                  </w:pPr>
                  <w:r>
                    <w:rPr>
                      <w:rFonts w:hint="eastAsia"/>
                      <w:lang w:val="en-US" w:eastAsia="zh-CN"/>
                    </w:rPr>
                    <w:t>2000</w:t>
                  </w:r>
                </w:p>
              </w:tc>
              <w:tc>
                <w:tcPr>
                  <w:tcW w:w="1352" w:type="pct"/>
                  <w:noWrap w:val="0"/>
                  <w:vAlign w:val="center"/>
                </w:tcPr>
                <w:p>
                  <w:pPr>
                    <w:pStyle w:val="54"/>
                    <w:bidi w:val="0"/>
                    <w:rPr>
                      <w:rFonts w:hint="default"/>
                      <w:highlight w:val="none"/>
                      <w:lang w:val="en-US" w:eastAsia="zh-CN"/>
                    </w:rPr>
                  </w:pPr>
                  <w:r>
                    <w:rPr>
                      <w:rFonts w:hint="default"/>
                      <w:highlight w:val="none"/>
                      <w:lang w:val="en-US" w:eastAsia="zh-CN"/>
                    </w:rPr>
                    <w:t>低覆盖度草地、中覆盖度草地</w:t>
                  </w:r>
                </w:p>
              </w:tc>
              <w:tc>
                <w:tcPr>
                  <w:tcW w:w="737" w:type="pct"/>
                  <w:noWrap w:val="0"/>
                  <w:vAlign w:val="center"/>
                </w:tcPr>
                <w:p>
                  <w:pPr>
                    <w:pStyle w:val="54"/>
                    <w:bidi w:val="0"/>
                    <w:rPr>
                      <w:rFonts w:hint="default"/>
                      <w:lang w:val="en-US" w:eastAsia="zh-CN"/>
                    </w:rPr>
                  </w:pPr>
                  <w:r>
                    <w:rPr>
                      <w:rFonts w:hint="default"/>
                      <w:lang w:val="en-US" w:eastAsia="zh-CN"/>
                    </w:rPr>
                    <w:t>临时占地</w:t>
                  </w:r>
                </w:p>
              </w:tc>
              <w:tc>
                <w:tcPr>
                  <w:tcW w:w="975" w:type="pct"/>
                  <w:noWrap w:val="0"/>
                  <w:vAlign w:val="center"/>
                </w:tcPr>
                <w:p>
                  <w:pPr>
                    <w:pStyle w:val="54"/>
                    <w:bidi w:val="0"/>
                    <w:rPr>
                      <w:rFonts w:hint="default"/>
                      <w:lang w:val="en-US" w:eastAsia="zh-CN"/>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94" w:type="pct"/>
                  <w:vMerge w:val="continue"/>
                  <w:noWrap w:val="0"/>
                  <w:vAlign w:val="center"/>
                </w:tcPr>
                <w:p>
                  <w:pPr>
                    <w:pStyle w:val="54"/>
                    <w:bidi w:val="0"/>
                    <w:rPr>
                      <w:rFonts w:hint="default"/>
                      <w:lang w:val="en-US" w:eastAsia="zh-CN"/>
                    </w:rPr>
                  </w:pPr>
                </w:p>
              </w:tc>
              <w:tc>
                <w:tcPr>
                  <w:tcW w:w="307" w:type="pct"/>
                  <w:vMerge w:val="restart"/>
                  <w:noWrap w:val="0"/>
                  <w:vAlign w:val="center"/>
                </w:tcPr>
                <w:p>
                  <w:pPr>
                    <w:pStyle w:val="54"/>
                    <w:bidi w:val="0"/>
                    <w:rPr>
                      <w:rFonts w:hint="default"/>
                      <w:lang w:val="en-US" w:eastAsia="zh-CN"/>
                    </w:rPr>
                  </w:pPr>
                  <w:r>
                    <w:rPr>
                      <w:rFonts w:hint="eastAsia"/>
                      <w:lang w:val="en-US" w:eastAsia="zh-CN"/>
                    </w:rPr>
                    <w:t>钻探区</w:t>
                  </w:r>
                </w:p>
              </w:tc>
              <w:tc>
                <w:tcPr>
                  <w:tcW w:w="699" w:type="pct"/>
                  <w:noWrap w:val="0"/>
                  <w:vAlign w:val="center"/>
                </w:tcPr>
                <w:p>
                  <w:pPr>
                    <w:pStyle w:val="54"/>
                    <w:bidi w:val="0"/>
                    <w:rPr>
                      <w:rFonts w:hint="default"/>
                      <w:lang w:val="en-US" w:eastAsia="zh-CN"/>
                    </w:rPr>
                  </w:pPr>
                  <w:r>
                    <w:rPr>
                      <w:rFonts w:hint="eastAsia"/>
                      <w:lang w:val="en-US" w:eastAsia="zh-CN"/>
                    </w:rPr>
                    <w:t>钻探施工</w:t>
                  </w:r>
                </w:p>
              </w:tc>
              <w:tc>
                <w:tcPr>
                  <w:tcW w:w="634" w:type="pct"/>
                  <w:noWrap w:val="0"/>
                  <w:vAlign w:val="center"/>
                </w:tcPr>
                <w:p>
                  <w:pPr>
                    <w:pStyle w:val="54"/>
                    <w:bidi w:val="0"/>
                    <w:rPr>
                      <w:rFonts w:hint="default"/>
                      <w:lang w:val="en-US" w:eastAsia="zh-CN"/>
                    </w:rPr>
                  </w:pPr>
                  <w:r>
                    <w:rPr>
                      <w:rFonts w:hint="eastAsia"/>
                      <w:lang w:val="en-US" w:eastAsia="zh-CN"/>
                    </w:rPr>
                    <w:t>/</w:t>
                  </w:r>
                </w:p>
              </w:tc>
              <w:tc>
                <w:tcPr>
                  <w:tcW w:w="1352" w:type="pct"/>
                  <w:noWrap w:val="0"/>
                  <w:vAlign w:val="center"/>
                </w:tcPr>
                <w:p>
                  <w:pPr>
                    <w:pStyle w:val="54"/>
                    <w:bidi w:val="0"/>
                    <w:rPr>
                      <w:rFonts w:hint="default"/>
                      <w:lang w:val="en-US" w:eastAsia="zh-CN"/>
                    </w:rPr>
                  </w:pPr>
                  <w:r>
                    <w:rPr>
                      <w:rFonts w:hint="eastAsia"/>
                      <w:lang w:val="en-US" w:eastAsia="zh-CN"/>
                    </w:rPr>
                    <w:t>低覆盖度草地、中覆盖度草地</w:t>
                  </w:r>
                </w:p>
              </w:tc>
              <w:tc>
                <w:tcPr>
                  <w:tcW w:w="737" w:type="pct"/>
                  <w:noWrap w:val="0"/>
                  <w:vAlign w:val="center"/>
                </w:tcPr>
                <w:p>
                  <w:pPr>
                    <w:pStyle w:val="54"/>
                    <w:bidi w:val="0"/>
                    <w:rPr>
                      <w:rFonts w:hint="default"/>
                      <w:lang w:val="en-US" w:eastAsia="zh-CN"/>
                    </w:rPr>
                  </w:pPr>
                  <w:r>
                    <w:rPr>
                      <w:rFonts w:hint="eastAsia"/>
                    </w:rPr>
                    <w:t>临时占地</w:t>
                  </w:r>
                </w:p>
              </w:tc>
              <w:tc>
                <w:tcPr>
                  <w:tcW w:w="975" w:type="pct"/>
                  <w:noWrap w:val="0"/>
                  <w:vAlign w:val="center"/>
                </w:tcPr>
                <w:p>
                  <w:pPr>
                    <w:pStyle w:val="54"/>
                    <w:bidi w:val="0"/>
                    <w:rPr>
                      <w:rFonts w:hint="default"/>
                      <w:lang w:val="en-US" w:eastAsia="zh-CN"/>
                    </w:rPr>
                  </w:pPr>
                  <w:r>
                    <w:rPr>
                      <w:rFonts w:hint="eastAsia"/>
                      <w:lang w:val="en-US" w:eastAsia="zh-CN"/>
                    </w:rPr>
                    <w:t>钻孔</w:t>
                  </w:r>
                  <w:r>
                    <w:rPr>
                      <w:rFonts w:hint="eastAsia"/>
                    </w:rPr>
                    <w:t>位于探槽倾斜坡面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94" w:type="pct"/>
                  <w:vMerge w:val="continue"/>
                  <w:noWrap w:val="0"/>
                  <w:vAlign w:val="center"/>
                </w:tcPr>
                <w:p>
                  <w:pPr>
                    <w:pStyle w:val="54"/>
                    <w:bidi w:val="0"/>
                    <w:rPr>
                      <w:rFonts w:hint="default"/>
                      <w:lang w:val="en-US" w:eastAsia="zh-CN"/>
                    </w:rPr>
                  </w:pPr>
                </w:p>
              </w:tc>
              <w:tc>
                <w:tcPr>
                  <w:tcW w:w="307" w:type="pct"/>
                  <w:vMerge w:val="continue"/>
                  <w:noWrap w:val="0"/>
                  <w:vAlign w:val="center"/>
                </w:tcPr>
                <w:p>
                  <w:pPr>
                    <w:pStyle w:val="54"/>
                    <w:bidi w:val="0"/>
                    <w:rPr>
                      <w:rFonts w:hint="eastAsia"/>
                      <w:lang w:val="en-US" w:eastAsia="zh-CN"/>
                    </w:rPr>
                  </w:pPr>
                </w:p>
              </w:tc>
              <w:tc>
                <w:tcPr>
                  <w:tcW w:w="699" w:type="pct"/>
                  <w:noWrap w:val="0"/>
                  <w:vAlign w:val="center"/>
                </w:tcPr>
                <w:p>
                  <w:pPr>
                    <w:pStyle w:val="54"/>
                    <w:bidi w:val="0"/>
                    <w:rPr>
                      <w:rFonts w:hint="default"/>
                      <w:lang w:val="en-US" w:eastAsia="zh-CN"/>
                    </w:rPr>
                  </w:pPr>
                  <w:r>
                    <w:rPr>
                      <w:rFonts w:hint="eastAsia"/>
                      <w:lang w:val="en-US" w:eastAsia="zh-CN"/>
                    </w:rPr>
                    <w:t>泥浆池</w:t>
                  </w:r>
                </w:p>
              </w:tc>
              <w:tc>
                <w:tcPr>
                  <w:tcW w:w="634" w:type="pct"/>
                  <w:noWrap w:val="0"/>
                  <w:vAlign w:val="center"/>
                </w:tcPr>
                <w:p>
                  <w:pPr>
                    <w:pStyle w:val="54"/>
                    <w:bidi w:val="0"/>
                    <w:rPr>
                      <w:rFonts w:hint="default"/>
                      <w:lang w:val="en-US" w:eastAsia="zh-CN"/>
                    </w:rPr>
                  </w:pPr>
                  <w:r>
                    <w:rPr>
                      <w:rFonts w:hint="eastAsia"/>
                      <w:lang w:val="en-US" w:eastAsia="zh-CN"/>
                    </w:rPr>
                    <w:t>5</w:t>
                  </w:r>
                </w:p>
              </w:tc>
              <w:tc>
                <w:tcPr>
                  <w:tcW w:w="1352" w:type="pct"/>
                  <w:noWrap w:val="0"/>
                  <w:vAlign w:val="center"/>
                </w:tcPr>
                <w:p>
                  <w:pPr>
                    <w:pStyle w:val="54"/>
                    <w:bidi w:val="0"/>
                    <w:rPr>
                      <w:rFonts w:hint="eastAsia"/>
                      <w:lang w:val="en-US" w:eastAsia="zh-CN"/>
                    </w:rPr>
                  </w:pPr>
                  <w:r>
                    <w:rPr>
                      <w:rFonts w:hint="eastAsia"/>
                      <w:lang w:val="en-US" w:eastAsia="zh-CN"/>
                    </w:rPr>
                    <w:t>低覆盖度草地</w:t>
                  </w:r>
                </w:p>
              </w:tc>
              <w:tc>
                <w:tcPr>
                  <w:tcW w:w="737" w:type="pct"/>
                  <w:noWrap w:val="0"/>
                  <w:vAlign w:val="center"/>
                </w:tcPr>
                <w:p>
                  <w:pPr>
                    <w:pStyle w:val="54"/>
                    <w:bidi w:val="0"/>
                    <w:rPr>
                      <w:rFonts w:hint="eastAsia"/>
                    </w:rPr>
                  </w:pPr>
                  <w:r>
                    <w:rPr>
                      <w:rFonts w:hint="eastAsia"/>
                    </w:rPr>
                    <w:t>临时占地</w:t>
                  </w:r>
                </w:p>
              </w:tc>
              <w:tc>
                <w:tcPr>
                  <w:tcW w:w="975" w:type="pct"/>
                  <w:noWrap w:val="0"/>
                  <w:vAlign w:val="center"/>
                </w:tcPr>
                <w:p>
                  <w:pPr>
                    <w:pStyle w:val="54"/>
                    <w:bidi w:val="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4" w:type="pct"/>
                  <w:vMerge w:val="continue"/>
                  <w:noWrap w:val="0"/>
                  <w:vAlign w:val="center"/>
                </w:tcPr>
                <w:p>
                  <w:pPr>
                    <w:pStyle w:val="54"/>
                    <w:bidi w:val="0"/>
                    <w:rPr>
                      <w:rFonts w:hint="default"/>
                      <w:lang w:val="en-US" w:eastAsia="zh-CN"/>
                    </w:rPr>
                  </w:pPr>
                </w:p>
              </w:tc>
              <w:tc>
                <w:tcPr>
                  <w:tcW w:w="1006" w:type="pct"/>
                  <w:gridSpan w:val="2"/>
                  <w:shd w:val="clear" w:color="auto" w:fill="auto"/>
                  <w:noWrap w:val="0"/>
                  <w:vAlign w:val="center"/>
                </w:tcPr>
                <w:p>
                  <w:pPr>
                    <w:pStyle w:val="54"/>
                    <w:bidi w:val="0"/>
                    <w:rPr>
                      <w:rFonts w:hint="default"/>
                      <w:lang w:val="en-US" w:eastAsia="zh-CN"/>
                    </w:rPr>
                  </w:pPr>
                  <w:r>
                    <w:rPr>
                      <w:rFonts w:hint="default"/>
                      <w:lang w:val="en-US" w:eastAsia="zh-CN"/>
                    </w:rPr>
                    <w:t>临时堆场</w:t>
                  </w:r>
                </w:p>
              </w:tc>
              <w:tc>
                <w:tcPr>
                  <w:tcW w:w="634" w:type="pct"/>
                  <w:shd w:val="clear" w:color="auto" w:fill="auto"/>
                  <w:noWrap w:val="0"/>
                  <w:vAlign w:val="center"/>
                </w:tcPr>
                <w:p>
                  <w:pPr>
                    <w:pStyle w:val="54"/>
                    <w:bidi w:val="0"/>
                    <w:rPr>
                      <w:rFonts w:hint="default"/>
                      <w:lang w:val="en-US" w:eastAsia="zh-CN"/>
                    </w:rPr>
                  </w:pPr>
                  <w:r>
                    <w:rPr>
                      <w:rFonts w:hint="eastAsia"/>
                      <w:lang w:val="en-US" w:eastAsia="zh-CN"/>
                    </w:rPr>
                    <w:t>1500</w:t>
                  </w:r>
                </w:p>
              </w:tc>
              <w:tc>
                <w:tcPr>
                  <w:tcW w:w="1352" w:type="pct"/>
                  <w:shd w:val="clear" w:color="auto" w:fill="auto"/>
                  <w:noWrap w:val="0"/>
                  <w:vAlign w:val="center"/>
                </w:tcPr>
                <w:p>
                  <w:pPr>
                    <w:pStyle w:val="54"/>
                    <w:bidi w:val="0"/>
                    <w:rPr>
                      <w:rFonts w:hint="default"/>
                      <w:lang w:val="en-US" w:eastAsia="zh-CN"/>
                    </w:rPr>
                  </w:pPr>
                  <w:r>
                    <w:rPr>
                      <w:rFonts w:hint="default"/>
                      <w:lang w:val="en-US" w:eastAsia="zh-CN"/>
                    </w:rPr>
                    <w:t>低覆盖度草地</w:t>
                  </w:r>
                </w:p>
              </w:tc>
              <w:tc>
                <w:tcPr>
                  <w:tcW w:w="737" w:type="pct"/>
                  <w:shd w:val="clear" w:color="auto" w:fill="auto"/>
                  <w:noWrap w:val="0"/>
                  <w:vAlign w:val="center"/>
                </w:tcPr>
                <w:p>
                  <w:pPr>
                    <w:pStyle w:val="54"/>
                    <w:bidi w:val="0"/>
                    <w:rPr>
                      <w:rFonts w:hint="default"/>
                      <w:lang w:val="en-US" w:eastAsia="zh-CN"/>
                    </w:rPr>
                  </w:pPr>
                  <w:r>
                    <w:rPr>
                      <w:rFonts w:hint="default"/>
                      <w:lang w:val="en-US" w:eastAsia="zh-CN"/>
                    </w:rPr>
                    <w:t>临时占地</w:t>
                  </w:r>
                </w:p>
              </w:tc>
              <w:tc>
                <w:tcPr>
                  <w:tcW w:w="975" w:type="pct"/>
                  <w:shd w:val="clear" w:color="auto" w:fill="auto"/>
                  <w:noWrap w:val="0"/>
                  <w:vAlign w:val="center"/>
                </w:tcPr>
                <w:p>
                  <w:pPr>
                    <w:pStyle w:val="54"/>
                    <w:bidi w:val="0"/>
                    <w:rPr>
                      <w:rFonts w:hint="default"/>
                      <w:lang w:val="en-US" w:eastAsia="zh-CN"/>
                    </w:rPr>
                  </w:pPr>
                  <w:r>
                    <w:rPr>
                      <w:rFonts w:hint="default"/>
                      <w:lang w:val="en-US" w:eastAsia="zh-CN"/>
                    </w:rPr>
                    <w:t>位于探槽</w:t>
                  </w:r>
                  <w:r>
                    <w:rPr>
                      <w:rFonts w:hint="eastAsia"/>
                      <w:lang w:val="en-US" w:eastAsia="zh-CN"/>
                    </w:rPr>
                    <w:t>一</w:t>
                  </w:r>
                  <w:r>
                    <w:rPr>
                      <w:rFonts w:hint="default"/>
                      <w:lang w:val="en-US" w:eastAsia="zh-CN"/>
                    </w:rPr>
                    <w:t>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 w:type="pct"/>
                  <w:vMerge w:val="continue"/>
                  <w:noWrap w:val="0"/>
                  <w:vAlign w:val="center"/>
                </w:tcPr>
                <w:p>
                  <w:pPr>
                    <w:pStyle w:val="54"/>
                    <w:bidi w:val="0"/>
                    <w:rPr>
                      <w:rFonts w:hint="default"/>
                      <w:lang w:val="en-US" w:eastAsia="zh-CN"/>
                    </w:rPr>
                  </w:pPr>
                </w:p>
              </w:tc>
              <w:tc>
                <w:tcPr>
                  <w:tcW w:w="1006" w:type="pct"/>
                  <w:gridSpan w:val="2"/>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eastAsia="zh-CN"/>
                    </w:rPr>
                    <w:t>生活营地</w:t>
                  </w:r>
                </w:p>
              </w:tc>
              <w:tc>
                <w:tcPr>
                  <w:tcW w:w="634"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100</w:t>
                  </w:r>
                </w:p>
              </w:tc>
              <w:tc>
                <w:tcPr>
                  <w:tcW w:w="1352"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裸岩石砾地</w:t>
                  </w:r>
                </w:p>
              </w:tc>
              <w:tc>
                <w:tcPr>
                  <w:tcW w:w="73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rPr>
                    <w:t>临时占地</w:t>
                  </w:r>
                </w:p>
              </w:tc>
              <w:tc>
                <w:tcPr>
                  <w:tcW w:w="975"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 w:type="pct"/>
                  <w:vMerge w:val="continue"/>
                  <w:shd w:val="clear" w:color="auto" w:fill="auto"/>
                  <w:noWrap w:val="0"/>
                  <w:vAlign w:val="center"/>
                </w:tcPr>
                <w:p>
                  <w:pPr>
                    <w:pStyle w:val="54"/>
                    <w:bidi w:val="0"/>
                    <w:rPr>
                      <w:rFonts w:hint="default"/>
                      <w:lang w:val="en-US" w:eastAsia="zh-CN"/>
                    </w:rPr>
                  </w:pPr>
                </w:p>
              </w:tc>
              <w:tc>
                <w:tcPr>
                  <w:tcW w:w="1006" w:type="pct"/>
                  <w:gridSpan w:val="2"/>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default"/>
                      <w:lang w:val="en-US" w:eastAsia="zh-CN"/>
                    </w:rPr>
                    <w:t>临时道路</w:t>
                  </w:r>
                  <w:r>
                    <w:rPr>
                      <w:rFonts w:hint="eastAsia"/>
                      <w:lang w:val="en-US" w:eastAsia="zh-CN"/>
                    </w:rPr>
                    <w:t>（矿区内）</w:t>
                  </w:r>
                </w:p>
              </w:tc>
              <w:tc>
                <w:tcPr>
                  <w:tcW w:w="634"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14000</w:t>
                  </w:r>
                </w:p>
              </w:tc>
              <w:tc>
                <w:tcPr>
                  <w:tcW w:w="1352"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default"/>
                      <w:lang w:val="en-US" w:eastAsia="zh-CN"/>
                    </w:rPr>
                    <w:t>裸岩石砾地</w:t>
                  </w:r>
                </w:p>
              </w:tc>
              <w:tc>
                <w:tcPr>
                  <w:tcW w:w="73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default"/>
                      <w:lang w:val="en-US" w:eastAsia="zh-CN"/>
                    </w:rPr>
                    <w:t>临时占地</w:t>
                  </w:r>
                </w:p>
              </w:tc>
              <w:tc>
                <w:tcPr>
                  <w:tcW w:w="975"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00" w:type="pct"/>
                  <w:gridSpan w:val="3"/>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临时道路（矿区</w:t>
                  </w:r>
                  <w:r>
                    <w:rPr>
                      <w:rFonts w:hint="eastAsia" w:cs="宋体"/>
                      <w:color w:val="000000"/>
                      <w:kern w:val="0"/>
                      <w:sz w:val="21"/>
                      <w:szCs w:val="21"/>
                      <w:lang w:val="en-US" w:eastAsia="zh-CN" w:bidi="ar-SA"/>
                    </w:rPr>
                    <w:t>外</w:t>
                  </w:r>
                  <w:r>
                    <w:rPr>
                      <w:rFonts w:hint="eastAsia" w:ascii="Times New Roman" w:hAnsi="Times New Roman" w:eastAsia="宋体" w:cs="宋体"/>
                      <w:color w:val="000000"/>
                      <w:kern w:val="0"/>
                      <w:sz w:val="21"/>
                      <w:szCs w:val="21"/>
                      <w:lang w:val="en-US" w:eastAsia="zh-CN" w:bidi="ar-SA"/>
                    </w:rPr>
                    <w:t>）</w:t>
                  </w:r>
                </w:p>
              </w:tc>
              <w:tc>
                <w:tcPr>
                  <w:tcW w:w="634"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21000</w:t>
                  </w:r>
                </w:p>
              </w:tc>
              <w:tc>
                <w:tcPr>
                  <w:tcW w:w="1352" w:type="pct"/>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裸岩石砾地</w:t>
                  </w:r>
                  <w:r>
                    <w:rPr>
                      <w:rFonts w:hint="eastAsia" w:cs="宋体"/>
                      <w:color w:val="000000"/>
                      <w:kern w:val="0"/>
                      <w:sz w:val="21"/>
                      <w:szCs w:val="21"/>
                      <w:lang w:val="en-US" w:eastAsia="zh-CN" w:bidi="ar-SA"/>
                    </w:rPr>
                    <w:t>、低覆盖度草地</w:t>
                  </w:r>
                </w:p>
              </w:tc>
              <w:tc>
                <w:tcPr>
                  <w:tcW w:w="737" w:type="pct"/>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临时占地</w:t>
                  </w:r>
                </w:p>
              </w:tc>
              <w:tc>
                <w:tcPr>
                  <w:tcW w:w="975"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w:t>
                  </w:r>
                </w:p>
              </w:tc>
            </w:tr>
          </w:tbl>
          <w:p>
            <w:pPr>
              <w:pStyle w:val="48"/>
              <w:bidi w:val="0"/>
              <w:ind w:left="0" w:leftChars="0" w:firstLine="0" w:firstLineChars="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施工方案</w:t>
            </w:r>
          </w:p>
        </w:tc>
        <w:tc>
          <w:tcPr>
            <w:tcW w:w="7847" w:type="dxa"/>
            <w:noWrap w:val="0"/>
            <w:vAlign w:val="center"/>
          </w:tcPr>
          <w:p>
            <w:pPr>
              <w:pStyle w:val="50"/>
              <w:bidi w:val="0"/>
              <w:rPr>
                <w:rFonts w:hint="default"/>
                <w:color w:val="auto"/>
                <w:lang w:val="en-US" w:eastAsia="zh-CN"/>
              </w:rPr>
            </w:pPr>
            <w:r>
              <w:rPr>
                <w:rFonts w:hint="eastAsia"/>
                <w:lang w:val="en-US" w:eastAsia="zh-CN"/>
              </w:rPr>
              <w:t>1</w:t>
            </w:r>
            <w:r>
              <w:rPr>
                <w:rFonts w:hint="eastAsia"/>
                <w:color w:val="auto"/>
                <w:lang w:val="en-US" w:eastAsia="zh-CN"/>
              </w:rPr>
              <w:t>.总体工作部署</w:t>
            </w:r>
          </w:p>
          <w:p>
            <w:pPr>
              <w:pStyle w:val="48"/>
              <w:bidi w:val="0"/>
              <w:rPr>
                <w:rFonts w:hint="eastAsia"/>
                <w:color w:val="auto"/>
                <w:lang w:val="en-US" w:eastAsia="zh-CN"/>
              </w:rPr>
            </w:pPr>
            <w:r>
              <w:rPr>
                <w:rFonts w:hint="eastAsia"/>
                <w:color w:val="auto"/>
                <w:lang w:val="en-US" w:eastAsia="zh-CN"/>
              </w:rPr>
              <w:t>本次勘查根据勘查区地形、地质特征、构造及矿体分布情况，结合前人工作成果，首先部署1:1000地质剖面测量、1:10000地质填图（修测），其次部署1:10000激电中梯测量、1:2000地形测量、1:2000地质填图（正测）、1:2000水文、工程、环境地质测量、1:2000激电测深剖面测量及1:500勘查线测量等工作；同期逐步布设探槽、钻探等探矿工程。</w:t>
            </w:r>
          </w:p>
          <w:p>
            <w:pPr>
              <w:pStyle w:val="50"/>
              <w:bidi w:val="0"/>
              <w:rPr>
                <w:rFonts w:hint="default"/>
                <w:lang w:val="en-US" w:eastAsia="zh-CN"/>
              </w:rPr>
            </w:pPr>
            <w:r>
              <w:rPr>
                <w:rFonts w:hint="eastAsia"/>
                <w:lang w:val="en-US" w:eastAsia="zh-CN"/>
              </w:rPr>
              <w:t>1.1</w:t>
            </w:r>
            <w:r>
              <w:rPr>
                <w:rFonts w:hint="default"/>
                <w:lang w:val="en-US" w:eastAsia="zh-CN"/>
              </w:rPr>
              <w:t>具体工作部署</w:t>
            </w:r>
          </w:p>
          <w:p>
            <w:pPr>
              <w:pStyle w:val="48"/>
              <w:bidi w:val="0"/>
              <w:rPr>
                <w:rFonts w:hint="default"/>
                <w:color w:val="auto"/>
                <w:lang w:val="en-US" w:eastAsia="zh-CN"/>
              </w:rPr>
            </w:pPr>
            <w:r>
              <w:rPr>
                <w:rFonts w:hint="eastAsia"/>
                <w:color w:val="auto"/>
                <w:lang w:val="en-US" w:eastAsia="zh-CN"/>
              </w:rPr>
              <w:t>1、</w:t>
            </w:r>
            <w:r>
              <w:rPr>
                <w:rFonts w:hint="default"/>
                <w:color w:val="auto"/>
                <w:lang w:val="en-US" w:eastAsia="zh-CN"/>
              </w:rPr>
              <w:t>地形测量</w:t>
            </w:r>
          </w:p>
          <w:p>
            <w:pPr>
              <w:pStyle w:val="48"/>
              <w:bidi w:val="0"/>
              <w:rPr>
                <w:rFonts w:hint="default"/>
                <w:color w:val="auto"/>
                <w:lang w:val="en-US" w:eastAsia="zh-CN"/>
              </w:rPr>
            </w:pPr>
            <w:r>
              <w:rPr>
                <w:rFonts w:hint="default"/>
                <w:color w:val="auto"/>
                <w:lang w:val="en-US" w:eastAsia="zh-CN"/>
              </w:rPr>
              <w:t>范围与1:2000地质测量范围相同。</w:t>
            </w:r>
          </w:p>
          <w:p>
            <w:pPr>
              <w:pStyle w:val="48"/>
              <w:bidi w:val="0"/>
              <w:rPr>
                <w:rFonts w:hint="default"/>
                <w:color w:val="auto"/>
                <w:lang w:val="en-US" w:eastAsia="zh-CN"/>
              </w:rPr>
            </w:pPr>
            <w:r>
              <w:rPr>
                <w:rFonts w:hint="eastAsia"/>
                <w:color w:val="auto"/>
                <w:lang w:val="en-US" w:eastAsia="zh-CN"/>
              </w:rPr>
              <w:t>2、</w:t>
            </w:r>
            <w:r>
              <w:rPr>
                <w:rFonts w:hint="default"/>
                <w:color w:val="auto"/>
                <w:lang w:val="en-US" w:eastAsia="zh-CN"/>
              </w:rPr>
              <w:t>1:10000地质填图(修测)</w:t>
            </w:r>
          </w:p>
          <w:p>
            <w:pPr>
              <w:pStyle w:val="48"/>
              <w:bidi w:val="0"/>
              <w:rPr>
                <w:rFonts w:hint="default"/>
                <w:color w:val="auto"/>
                <w:lang w:val="en-US" w:eastAsia="zh-CN"/>
              </w:rPr>
            </w:pPr>
            <w:r>
              <w:rPr>
                <w:rFonts w:hint="default"/>
                <w:color w:val="auto"/>
                <w:lang w:val="en-US" w:eastAsia="zh-CN"/>
              </w:rPr>
              <w:t>1:10000地质修测布置于勘查区全区，面积7.</w:t>
            </w:r>
            <w:r>
              <w:rPr>
                <w:rFonts w:hint="eastAsia"/>
                <w:color w:val="auto"/>
                <w:lang w:val="en-US" w:eastAsia="zh-CN"/>
              </w:rPr>
              <w:t>8476</w:t>
            </w:r>
            <w:r>
              <w:rPr>
                <w:rFonts w:hint="default"/>
                <w:color w:val="auto"/>
                <w:lang w:val="en-US" w:eastAsia="zh-CN"/>
              </w:rPr>
              <w:t>km</w:t>
            </w:r>
            <w:r>
              <w:rPr>
                <w:rFonts w:hint="default"/>
                <w:color w:val="auto"/>
                <w:vertAlign w:val="superscript"/>
                <w:lang w:val="en-US" w:eastAsia="zh-CN"/>
              </w:rPr>
              <w:t>2</w:t>
            </w:r>
            <w:r>
              <w:rPr>
                <w:rFonts w:hint="default"/>
                <w:color w:val="auto"/>
                <w:lang w:val="en-US" w:eastAsia="zh-CN"/>
              </w:rPr>
              <w:t>。</w:t>
            </w:r>
          </w:p>
          <w:p>
            <w:pPr>
              <w:pStyle w:val="48"/>
              <w:bidi w:val="0"/>
              <w:rPr>
                <w:rFonts w:hint="default"/>
                <w:color w:val="auto"/>
                <w:lang w:val="en-US" w:eastAsia="zh-CN"/>
              </w:rPr>
            </w:pPr>
            <w:r>
              <w:rPr>
                <w:rFonts w:hint="eastAsia"/>
                <w:color w:val="auto"/>
                <w:lang w:val="en-US" w:eastAsia="zh-CN"/>
              </w:rPr>
              <w:t>3、</w:t>
            </w:r>
            <w:r>
              <w:rPr>
                <w:rFonts w:hint="default"/>
                <w:color w:val="auto"/>
                <w:lang w:val="en-US" w:eastAsia="zh-CN"/>
              </w:rPr>
              <w:t>1:2000地质测量</w:t>
            </w:r>
          </w:p>
          <w:p>
            <w:pPr>
              <w:pStyle w:val="48"/>
              <w:bidi w:val="0"/>
              <w:rPr>
                <w:rFonts w:hint="default"/>
                <w:color w:val="auto"/>
                <w:lang w:val="en-US" w:eastAsia="zh-CN"/>
              </w:rPr>
            </w:pPr>
            <w:r>
              <w:rPr>
                <w:rFonts w:hint="default"/>
                <w:color w:val="auto"/>
                <w:lang w:val="en-US" w:eastAsia="zh-CN"/>
              </w:rPr>
              <w:t>1:2千地质测量为正测，位置暂定为勘查区中部，前期工作圈定的矿化蚀变带分布的重点工作区，分东区、西区2个靶区。设计工作量</w:t>
            </w:r>
            <w:r>
              <w:rPr>
                <w:rFonts w:hint="eastAsia"/>
                <w:color w:val="auto"/>
                <w:lang w:val="en-US" w:eastAsia="zh-CN"/>
              </w:rPr>
              <w:t>2</w:t>
            </w:r>
            <w:r>
              <w:rPr>
                <w:rFonts w:hint="default"/>
                <w:color w:val="auto"/>
                <w:lang w:val="en-US" w:eastAsia="zh-CN"/>
              </w:rPr>
              <w:t>km</w:t>
            </w:r>
            <w:r>
              <w:rPr>
                <w:rFonts w:hint="default"/>
                <w:color w:val="auto"/>
                <w:vertAlign w:val="superscript"/>
                <w:lang w:val="en-US" w:eastAsia="zh-CN"/>
              </w:rPr>
              <w:t>2</w:t>
            </w:r>
            <w:r>
              <w:rPr>
                <w:rFonts w:hint="default"/>
                <w:color w:val="auto"/>
                <w:lang w:val="en-US" w:eastAsia="zh-CN"/>
              </w:rPr>
              <w:t>。</w:t>
            </w:r>
          </w:p>
          <w:p>
            <w:pPr>
              <w:pStyle w:val="48"/>
              <w:bidi w:val="0"/>
              <w:rPr>
                <w:rFonts w:hint="default"/>
                <w:color w:val="auto"/>
                <w:lang w:val="en-US" w:eastAsia="zh-CN"/>
              </w:rPr>
            </w:pPr>
            <w:r>
              <w:rPr>
                <w:rFonts w:hint="eastAsia"/>
                <w:color w:val="auto"/>
                <w:lang w:val="en-US" w:eastAsia="zh-CN"/>
              </w:rPr>
              <w:t>4、</w:t>
            </w:r>
            <w:r>
              <w:rPr>
                <w:rFonts w:hint="default"/>
                <w:color w:val="auto"/>
                <w:lang w:val="en-US" w:eastAsia="zh-CN"/>
              </w:rPr>
              <w:t>水文、工程、环境地质测量</w:t>
            </w:r>
          </w:p>
          <w:p>
            <w:pPr>
              <w:pStyle w:val="48"/>
              <w:bidi w:val="0"/>
              <w:rPr>
                <w:rFonts w:hint="default"/>
                <w:color w:val="auto"/>
                <w:lang w:val="en-US" w:eastAsia="zh-CN"/>
              </w:rPr>
            </w:pPr>
            <w:r>
              <w:rPr>
                <w:rFonts w:hint="eastAsia"/>
                <w:color w:val="auto"/>
                <w:lang w:val="en-US" w:eastAsia="zh-CN"/>
              </w:rPr>
              <w:t>（1）</w:t>
            </w:r>
            <w:r>
              <w:rPr>
                <w:rFonts w:hint="default"/>
                <w:color w:val="auto"/>
                <w:lang w:val="en-US" w:eastAsia="zh-CN"/>
              </w:rPr>
              <w:t>水文地质</w:t>
            </w:r>
            <w:r>
              <w:rPr>
                <w:rFonts w:hint="eastAsia"/>
                <w:color w:val="auto"/>
                <w:lang w:val="en-US" w:eastAsia="zh-CN"/>
              </w:rPr>
              <w:t>工作：①</w:t>
            </w:r>
            <w:r>
              <w:rPr>
                <w:rFonts w:hint="default"/>
                <w:color w:val="auto"/>
                <w:lang w:val="en-US" w:eastAsia="zh-CN"/>
              </w:rPr>
              <w:t>同详查区范围，比例尺为1:2000，预计面积2km</w:t>
            </w:r>
            <w:r>
              <w:rPr>
                <w:rFonts w:hint="default"/>
                <w:color w:val="auto"/>
                <w:vertAlign w:val="superscript"/>
                <w:lang w:val="en-US" w:eastAsia="zh-CN"/>
              </w:rPr>
              <w:t>2</w:t>
            </w:r>
            <w:r>
              <w:rPr>
                <w:rFonts w:hint="default"/>
                <w:color w:val="auto"/>
                <w:lang w:val="en-US" w:eastAsia="zh-CN"/>
              </w:rPr>
              <w:t>，后期根据详查区矿体空间形态、地形条件等动态调整，以一个完整的水文单元为准。</w:t>
            </w:r>
            <w:r>
              <w:rPr>
                <w:rFonts w:hint="eastAsia"/>
                <w:color w:val="auto"/>
                <w:lang w:val="en-US" w:eastAsia="zh-CN"/>
              </w:rPr>
              <w:t>②</w:t>
            </w:r>
            <w:r>
              <w:rPr>
                <w:rFonts w:hint="default"/>
                <w:color w:val="auto"/>
                <w:lang w:val="en-US" w:eastAsia="zh-CN"/>
              </w:rPr>
              <w:t>施测3条水文地质剖面，位置同地质剖面D104线、D204线、D207线。</w:t>
            </w:r>
            <w:r>
              <w:rPr>
                <w:rFonts w:hint="eastAsia"/>
                <w:color w:val="auto"/>
                <w:lang w:val="en-US" w:eastAsia="zh-CN"/>
              </w:rPr>
              <w:t>③</w:t>
            </w:r>
            <w:r>
              <w:rPr>
                <w:rFonts w:hint="default"/>
                <w:color w:val="auto"/>
                <w:lang w:val="en-US" w:eastAsia="zh-CN"/>
              </w:rPr>
              <w:t>建立地表水长观站</w:t>
            </w:r>
            <w:r>
              <w:rPr>
                <w:rFonts w:hint="eastAsia"/>
                <w:color w:val="auto"/>
                <w:lang w:val="en-US" w:eastAsia="zh-CN"/>
              </w:rPr>
              <w:t>：</w:t>
            </w:r>
            <w:r>
              <w:rPr>
                <w:rFonts w:hint="default"/>
                <w:color w:val="auto"/>
                <w:lang w:val="en-US" w:eastAsia="zh-CN"/>
              </w:rPr>
              <w:t>在色日克库勒河进、出勘查区位置分别设立长观站。进行长期动态观测。</w:t>
            </w:r>
            <w:r>
              <w:rPr>
                <w:rFonts w:hint="eastAsia"/>
                <w:color w:val="auto"/>
                <w:lang w:val="en-US" w:eastAsia="zh-CN"/>
              </w:rPr>
              <w:t>④</w:t>
            </w:r>
            <w:r>
              <w:rPr>
                <w:rFonts w:hint="default"/>
                <w:color w:val="auto"/>
                <w:lang w:val="en-US" w:eastAsia="zh-CN"/>
              </w:rPr>
              <w:t>施工3个水文地质钻孔，均在详查阶段施工，分别布设在3条水文地质剖面上，孔深均为300m。</w:t>
            </w:r>
            <w:r>
              <w:rPr>
                <w:rFonts w:hint="eastAsia"/>
                <w:color w:val="auto"/>
                <w:lang w:val="en-US" w:eastAsia="zh-CN"/>
              </w:rPr>
              <w:t>⑤</w:t>
            </w:r>
            <w:r>
              <w:rPr>
                <w:rFonts w:hint="default"/>
                <w:color w:val="auto"/>
                <w:lang w:val="en-US" w:eastAsia="zh-CN"/>
              </w:rPr>
              <w:t>抽水试验</w:t>
            </w:r>
            <w:r>
              <w:rPr>
                <w:rFonts w:hint="eastAsia"/>
                <w:color w:val="auto"/>
                <w:lang w:val="en-US" w:eastAsia="zh-CN"/>
              </w:rPr>
              <w:t>：</w:t>
            </w:r>
            <w:r>
              <w:rPr>
                <w:rFonts w:hint="default"/>
                <w:color w:val="auto"/>
                <w:lang w:val="en-US" w:eastAsia="zh-CN"/>
              </w:rPr>
              <w:t>在水文孔中做抽水试验。用于获取含水层的水文地质参数、评价其富水性，为矿山开采提供科学依据。</w:t>
            </w:r>
            <w:r>
              <w:rPr>
                <w:rFonts w:hint="eastAsia"/>
                <w:color w:val="auto"/>
                <w:lang w:val="en-US" w:eastAsia="zh-CN"/>
              </w:rPr>
              <w:t>⑥</w:t>
            </w:r>
            <w:r>
              <w:rPr>
                <w:rFonts w:hint="default"/>
                <w:color w:val="auto"/>
                <w:lang w:val="en-US" w:eastAsia="zh-CN"/>
              </w:rPr>
              <w:t>钻孔水文物探测井</w:t>
            </w:r>
            <w:r>
              <w:rPr>
                <w:rFonts w:hint="eastAsia"/>
                <w:color w:val="auto"/>
                <w:lang w:val="en-US" w:eastAsia="zh-CN"/>
              </w:rPr>
              <w:t>：</w:t>
            </w:r>
            <w:r>
              <w:rPr>
                <w:rFonts w:hint="default"/>
                <w:color w:val="auto"/>
                <w:lang w:val="en-US" w:eastAsia="zh-CN"/>
              </w:rPr>
              <w:t>在全部水文孔中使用井液电阻率测井。</w:t>
            </w:r>
            <w:r>
              <w:rPr>
                <w:rFonts w:hint="eastAsia"/>
                <w:color w:val="auto"/>
                <w:lang w:val="en-US" w:eastAsia="zh-CN"/>
              </w:rPr>
              <w:t>⑦</w:t>
            </w:r>
            <w:r>
              <w:rPr>
                <w:rFonts w:hint="default"/>
                <w:color w:val="auto"/>
                <w:lang w:val="en-US" w:eastAsia="zh-CN"/>
              </w:rPr>
              <w:t>简易水文地质观测与编录</w:t>
            </w:r>
            <w:r>
              <w:rPr>
                <w:rFonts w:hint="eastAsia"/>
                <w:color w:val="auto"/>
                <w:lang w:val="en-US" w:eastAsia="zh-CN"/>
              </w:rPr>
              <w:t>：</w:t>
            </w:r>
            <w:r>
              <w:rPr>
                <w:rFonts w:hint="default"/>
                <w:color w:val="auto"/>
                <w:lang w:val="en-US" w:eastAsia="zh-CN"/>
              </w:rPr>
              <w:t>所有钻孔均进行简易水文地质观测与编录。</w:t>
            </w:r>
            <w:r>
              <w:rPr>
                <w:rFonts w:hint="eastAsia"/>
                <w:color w:val="auto"/>
                <w:lang w:val="en-US" w:eastAsia="zh-CN"/>
              </w:rPr>
              <w:t>⑧</w:t>
            </w:r>
            <w:r>
              <w:rPr>
                <w:rFonts w:hint="default"/>
                <w:color w:val="auto"/>
                <w:lang w:val="en-US" w:eastAsia="zh-CN"/>
              </w:rPr>
              <w:t>采集水样</w:t>
            </w:r>
            <w:r>
              <w:rPr>
                <w:rFonts w:hint="eastAsia"/>
                <w:color w:val="auto"/>
                <w:lang w:val="en-US" w:eastAsia="zh-CN"/>
              </w:rPr>
              <w:t>：</w:t>
            </w:r>
            <w:r>
              <w:rPr>
                <w:rFonts w:hint="default"/>
                <w:color w:val="auto"/>
                <w:lang w:val="en-US" w:eastAsia="zh-CN"/>
              </w:rPr>
              <w:t>在水文钻孔中采集2件，色日克库勒河采取2件，做水化学全分析样，共计4件。</w:t>
            </w:r>
            <w:r>
              <w:rPr>
                <w:rFonts w:hint="eastAsia"/>
                <w:color w:val="auto"/>
                <w:lang w:val="en-US" w:eastAsia="zh-CN"/>
              </w:rPr>
              <w:t>⑨</w:t>
            </w:r>
            <w:r>
              <w:rPr>
                <w:rFonts w:hint="default"/>
                <w:color w:val="auto"/>
                <w:lang w:val="en-US" w:eastAsia="zh-CN"/>
              </w:rPr>
              <w:t>地下水动态长期观测</w:t>
            </w:r>
            <w:r>
              <w:rPr>
                <w:rFonts w:hint="eastAsia"/>
                <w:color w:val="auto"/>
                <w:lang w:val="en-US" w:eastAsia="zh-CN"/>
              </w:rPr>
              <w:t>；</w:t>
            </w:r>
            <w:r>
              <w:rPr>
                <w:rFonts w:hint="default"/>
                <w:color w:val="auto"/>
                <w:lang w:val="en-US" w:eastAsia="zh-CN"/>
              </w:rPr>
              <w:t>对水文地质剖面上的全部钻孔进行动态长期观测。</w:t>
            </w:r>
          </w:p>
          <w:p>
            <w:pPr>
              <w:pStyle w:val="48"/>
              <w:bidi w:val="0"/>
              <w:rPr>
                <w:rFonts w:hint="default"/>
                <w:color w:val="auto"/>
                <w:lang w:val="en-US" w:eastAsia="zh-CN"/>
              </w:rPr>
            </w:pPr>
            <w:r>
              <w:rPr>
                <w:rFonts w:hint="eastAsia"/>
                <w:color w:val="auto"/>
                <w:lang w:val="en-US" w:eastAsia="zh-CN"/>
              </w:rPr>
              <w:t>（2）</w:t>
            </w:r>
            <w:r>
              <w:rPr>
                <w:rFonts w:hint="default"/>
                <w:color w:val="auto"/>
                <w:lang w:val="en-US" w:eastAsia="zh-CN"/>
              </w:rPr>
              <w:t>工程地质工作</w:t>
            </w:r>
            <w:r>
              <w:rPr>
                <w:rFonts w:hint="eastAsia"/>
                <w:color w:val="auto"/>
                <w:lang w:val="en-US" w:eastAsia="zh-CN"/>
              </w:rPr>
              <w:t>①</w:t>
            </w:r>
            <w:r>
              <w:rPr>
                <w:rFonts w:hint="default"/>
                <w:color w:val="auto"/>
                <w:lang w:val="en-US" w:eastAsia="zh-CN"/>
              </w:rPr>
              <w:t>工程地质测量</w:t>
            </w:r>
            <w:r>
              <w:rPr>
                <w:rFonts w:hint="eastAsia"/>
                <w:color w:val="auto"/>
                <w:lang w:val="en-US" w:eastAsia="zh-CN"/>
              </w:rPr>
              <w:t>：</w:t>
            </w:r>
            <w:r>
              <w:rPr>
                <w:rFonts w:hint="default"/>
                <w:color w:val="auto"/>
                <w:lang w:val="en-US" w:eastAsia="zh-CN"/>
              </w:rPr>
              <w:t>与地质工作同比例尺、同范围，即1:2000比例尺，面积</w:t>
            </w:r>
            <w:r>
              <w:rPr>
                <w:rFonts w:hint="eastAsia"/>
                <w:color w:val="auto"/>
                <w:lang w:val="en-US" w:eastAsia="zh-CN"/>
              </w:rPr>
              <w:t>2</w:t>
            </w:r>
            <w:r>
              <w:rPr>
                <w:rFonts w:hint="default"/>
                <w:color w:val="auto"/>
                <w:lang w:val="en-US" w:eastAsia="zh-CN"/>
              </w:rPr>
              <w:t>km</w:t>
            </w:r>
            <w:r>
              <w:rPr>
                <w:rFonts w:hint="eastAsia"/>
                <w:color w:val="auto"/>
                <w:vertAlign w:val="superscript"/>
                <w:lang w:val="en-US" w:eastAsia="zh-CN"/>
              </w:rPr>
              <w:t>2</w:t>
            </w:r>
            <w:r>
              <w:rPr>
                <w:rFonts w:hint="eastAsia"/>
                <w:color w:val="auto"/>
                <w:vertAlign w:val="baseline"/>
                <w:lang w:val="en-US" w:eastAsia="zh-CN"/>
              </w:rPr>
              <w:t>。</w:t>
            </w:r>
            <w:r>
              <w:rPr>
                <w:rFonts w:hint="eastAsia"/>
                <w:color w:val="auto"/>
                <w:lang w:val="en-US" w:eastAsia="zh-CN"/>
              </w:rPr>
              <w:t>②</w:t>
            </w:r>
            <w:r>
              <w:rPr>
                <w:rFonts w:hint="default"/>
                <w:color w:val="auto"/>
                <w:lang w:val="en-US" w:eastAsia="zh-CN"/>
              </w:rPr>
              <w:t>施测3条工程地质剖面，位置同地质剖面D104线、D204线、D207线。</w:t>
            </w:r>
            <w:r>
              <w:rPr>
                <w:rFonts w:hint="eastAsia"/>
                <w:color w:val="auto"/>
                <w:lang w:val="en-US" w:eastAsia="zh-CN"/>
              </w:rPr>
              <w:t>③</w:t>
            </w:r>
            <w:r>
              <w:rPr>
                <w:rFonts w:hint="default"/>
                <w:color w:val="auto"/>
                <w:lang w:val="en-US" w:eastAsia="zh-CN"/>
              </w:rPr>
              <w:t>对全部钻孔进行工程地质编录。</w:t>
            </w:r>
            <w:r>
              <w:rPr>
                <w:rFonts w:hint="eastAsia"/>
                <w:color w:val="auto"/>
                <w:lang w:val="en-US" w:eastAsia="zh-CN"/>
              </w:rPr>
              <w:t>④</w:t>
            </w:r>
            <w:r>
              <w:rPr>
                <w:rFonts w:hint="default"/>
                <w:color w:val="auto"/>
                <w:lang w:val="en-US" w:eastAsia="zh-CN"/>
              </w:rPr>
              <w:t>采集岩石力学样</w:t>
            </w:r>
            <w:r>
              <w:rPr>
                <w:rFonts w:hint="eastAsia"/>
                <w:color w:val="auto"/>
                <w:lang w:val="en-US" w:eastAsia="zh-CN"/>
              </w:rPr>
              <w:t>：</w:t>
            </w:r>
            <w:r>
              <w:rPr>
                <w:rFonts w:hint="default"/>
                <w:color w:val="auto"/>
                <w:lang w:val="en-US" w:eastAsia="zh-CN"/>
              </w:rPr>
              <w:t>在矿体、顶板30米、底板20米范围内每种岩性不少于3组。初步设计9组。</w:t>
            </w:r>
          </w:p>
          <w:p>
            <w:pPr>
              <w:pStyle w:val="48"/>
              <w:bidi w:val="0"/>
              <w:rPr>
                <w:rFonts w:hint="eastAsia"/>
                <w:color w:val="auto"/>
                <w:lang w:val="en-US" w:eastAsia="zh-CN"/>
              </w:rPr>
            </w:pPr>
            <w:r>
              <w:rPr>
                <w:rFonts w:hint="eastAsia"/>
                <w:color w:val="auto"/>
                <w:lang w:val="en-US" w:eastAsia="zh-CN"/>
              </w:rPr>
              <w:t>（3）</w:t>
            </w:r>
            <w:r>
              <w:rPr>
                <w:rFonts w:hint="default"/>
                <w:color w:val="auto"/>
                <w:lang w:val="en-US" w:eastAsia="zh-CN"/>
              </w:rPr>
              <w:t>环境地质工作方面</w:t>
            </w:r>
            <w:r>
              <w:rPr>
                <w:rFonts w:hint="eastAsia"/>
                <w:color w:val="auto"/>
                <w:lang w:val="en-US" w:eastAsia="zh-CN"/>
              </w:rPr>
              <w:t>①</w:t>
            </w:r>
            <w:r>
              <w:rPr>
                <w:rFonts w:hint="default"/>
                <w:color w:val="auto"/>
                <w:lang w:val="en-US" w:eastAsia="zh-CN"/>
              </w:rPr>
              <w:t>收集区域历史地震资料，调查新构造活动情况，有活动性断层存在时，评价其对矿山开采工程的影响。</w:t>
            </w:r>
            <w:r>
              <w:rPr>
                <w:rFonts w:hint="eastAsia"/>
                <w:color w:val="auto"/>
                <w:lang w:val="en-US" w:eastAsia="zh-CN"/>
              </w:rPr>
              <w:t>②</w:t>
            </w:r>
            <w:r>
              <w:rPr>
                <w:rFonts w:hint="default"/>
                <w:color w:val="auto"/>
                <w:lang w:val="en-US" w:eastAsia="zh-CN"/>
              </w:rPr>
              <w:t>环境地质测量</w:t>
            </w:r>
            <w:r>
              <w:rPr>
                <w:rFonts w:hint="eastAsia"/>
                <w:color w:val="auto"/>
                <w:lang w:val="en-US" w:eastAsia="zh-CN"/>
              </w:rPr>
              <w:t>：</w:t>
            </w:r>
            <w:r>
              <w:rPr>
                <w:rFonts w:hint="default"/>
                <w:color w:val="auto"/>
                <w:lang w:val="en-US" w:eastAsia="zh-CN"/>
              </w:rPr>
              <w:t>与地质工作同比例尺、同范围，即1:2000比例尺，面积2km</w:t>
            </w:r>
            <w:r>
              <w:rPr>
                <w:rFonts w:hint="eastAsia"/>
                <w:color w:val="auto"/>
                <w:vertAlign w:val="superscript"/>
                <w:lang w:val="en-US" w:eastAsia="zh-CN"/>
              </w:rPr>
              <w:t>2</w:t>
            </w:r>
            <w:r>
              <w:rPr>
                <w:rFonts w:hint="eastAsia"/>
                <w:color w:val="auto"/>
                <w:lang w:val="en-US" w:eastAsia="zh-CN"/>
              </w:rPr>
              <w:t>。</w:t>
            </w:r>
          </w:p>
          <w:p>
            <w:pPr>
              <w:pStyle w:val="48"/>
              <w:bidi w:val="0"/>
              <w:rPr>
                <w:rFonts w:hint="eastAsia"/>
                <w:color w:val="auto"/>
                <w:lang w:val="en-US" w:eastAsia="zh-CN"/>
              </w:rPr>
            </w:pPr>
            <w:r>
              <w:rPr>
                <w:rFonts w:hint="eastAsia"/>
                <w:color w:val="auto"/>
                <w:lang w:val="en-US" w:eastAsia="zh-CN"/>
              </w:rPr>
              <w:t>（4）其他开采技术条件</w:t>
            </w:r>
          </w:p>
          <w:p>
            <w:pPr>
              <w:pStyle w:val="48"/>
              <w:bidi w:val="0"/>
              <w:rPr>
                <w:rFonts w:hint="default"/>
                <w:color w:val="auto"/>
                <w:lang w:val="en-US" w:eastAsia="zh-CN"/>
              </w:rPr>
            </w:pPr>
            <w:r>
              <w:rPr>
                <w:rFonts w:hint="default"/>
                <w:color w:val="auto"/>
                <w:lang w:val="en-US" w:eastAsia="zh-CN"/>
              </w:rPr>
              <w:t>采集放射性检测样1件，研究矿区放射性条件，评价其对矿床开采可能造成的影响及危害。</w:t>
            </w:r>
          </w:p>
          <w:p>
            <w:pPr>
              <w:pStyle w:val="48"/>
              <w:bidi w:val="0"/>
              <w:rPr>
                <w:rFonts w:hint="eastAsia"/>
                <w:color w:val="auto"/>
                <w:lang w:val="en-US" w:eastAsia="zh-CN"/>
              </w:rPr>
            </w:pPr>
            <w:r>
              <w:rPr>
                <w:rFonts w:hint="eastAsia"/>
                <w:color w:val="auto"/>
                <w:lang w:val="en-US" w:eastAsia="zh-CN"/>
              </w:rPr>
              <w:t>5、1:1000剖面测量</w:t>
            </w:r>
          </w:p>
          <w:p>
            <w:pPr>
              <w:pStyle w:val="48"/>
              <w:bidi w:val="0"/>
              <w:rPr>
                <w:rFonts w:hint="default"/>
                <w:color w:val="auto"/>
                <w:lang w:val="en-US" w:eastAsia="zh-CN"/>
              </w:rPr>
            </w:pPr>
            <w:r>
              <w:rPr>
                <w:rFonts w:hint="default"/>
                <w:color w:val="auto"/>
                <w:lang w:val="en-US" w:eastAsia="zh-CN"/>
              </w:rPr>
              <w:t>剖面比例尺为1:1000，本次勘查安排两条地质剖面，PM1剖面位于勘查区北西部，方位42°，长约1.12km；PM2剖面位于勘查区中东部，方位175°，长约1.38km。总设计工作量2.5km</w:t>
            </w:r>
            <w:r>
              <w:rPr>
                <w:rFonts w:hint="eastAsia"/>
                <w:color w:val="auto"/>
                <w:lang w:val="en-US" w:eastAsia="zh-CN"/>
              </w:rPr>
              <w:t>。</w:t>
            </w:r>
          </w:p>
          <w:p>
            <w:pPr>
              <w:pStyle w:val="48"/>
              <w:bidi w:val="0"/>
              <w:rPr>
                <w:rFonts w:hint="eastAsia"/>
                <w:color w:val="auto"/>
                <w:lang w:val="en-US" w:eastAsia="zh-CN"/>
              </w:rPr>
            </w:pPr>
            <w:r>
              <w:rPr>
                <w:rFonts w:hint="eastAsia"/>
                <w:color w:val="auto"/>
                <w:lang w:val="en-US" w:eastAsia="zh-CN"/>
              </w:rPr>
              <w:t>6、1:500勘查线地质剖面测量</w:t>
            </w:r>
          </w:p>
          <w:p>
            <w:pPr>
              <w:pStyle w:val="48"/>
              <w:bidi w:val="0"/>
              <w:rPr>
                <w:rFonts w:hint="default"/>
                <w:color w:val="auto"/>
                <w:lang w:val="en-US" w:eastAsia="zh-CN"/>
              </w:rPr>
            </w:pPr>
            <w:r>
              <w:rPr>
                <w:rFonts w:hint="default"/>
                <w:color w:val="auto"/>
                <w:lang w:val="en-US" w:eastAsia="zh-CN"/>
              </w:rPr>
              <w:t>勘查线剖面部署主要以原2021年前期工作中所发现的矿化蚀变带为基础，按详查基本网度40m等间距布设。勘查线方向基本垂直矿化蚀变带，其方位有17°、29°、75°。本次共部署42条勘查线，各勘查线间均预留加密编号，便于后期进一步工作进行。初步设计剖面总长度约12800m，后期会依据实际见矿情况进行增减。</w:t>
            </w:r>
          </w:p>
          <w:p>
            <w:pPr>
              <w:pStyle w:val="48"/>
              <w:bidi w:val="0"/>
              <w:rPr>
                <w:rFonts w:hint="eastAsia"/>
                <w:color w:val="auto"/>
                <w:lang w:val="en-US" w:eastAsia="zh-CN"/>
              </w:rPr>
            </w:pPr>
            <w:r>
              <w:rPr>
                <w:rFonts w:hint="eastAsia"/>
                <w:color w:val="auto"/>
                <w:lang w:val="en-US" w:eastAsia="zh-CN"/>
              </w:rPr>
              <w:t>7、电法测量</w:t>
            </w:r>
          </w:p>
          <w:p>
            <w:pPr>
              <w:pStyle w:val="48"/>
              <w:bidi w:val="0"/>
              <w:rPr>
                <w:rFonts w:hint="default"/>
                <w:color w:val="auto"/>
                <w:lang w:val="en-US" w:eastAsia="zh-CN"/>
              </w:rPr>
            </w:pPr>
            <w:r>
              <w:rPr>
                <w:rFonts w:hint="default"/>
                <w:color w:val="auto"/>
                <w:lang w:val="en-US" w:eastAsia="zh-CN"/>
              </w:rPr>
              <w:t>设计1:1万激电中梯（短导线）测量工作量2km</w:t>
            </w:r>
            <w:r>
              <w:rPr>
                <w:rFonts w:hint="default"/>
                <w:color w:val="auto"/>
                <w:vertAlign w:val="superscript"/>
                <w:lang w:val="en-US" w:eastAsia="zh-CN"/>
              </w:rPr>
              <w:t>2</w:t>
            </w:r>
            <w:r>
              <w:rPr>
                <w:rFonts w:hint="default"/>
                <w:color w:val="auto"/>
                <w:lang w:val="en-US" w:eastAsia="zh-CN"/>
              </w:rPr>
              <w:t>（A-B距：1200-1600，网度100×40），布设34条线，布设方位17°、29°、75°。1:2000激电测深剖面2km（点距20-50m，50点），实际测深点点距依据地形、见矿情况灵活布设，拟布设4条激电测深剖面。</w:t>
            </w:r>
          </w:p>
          <w:p>
            <w:pPr>
              <w:pStyle w:val="48"/>
              <w:bidi w:val="0"/>
              <w:rPr>
                <w:rFonts w:hint="eastAsia"/>
                <w:color w:val="auto"/>
                <w:lang w:val="en-US" w:eastAsia="zh-CN"/>
              </w:rPr>
            </w:pPr>
            <w:r>
              <w:rPr>
                <w:rFonts w:hint="eastAsia"/>
                <w:color w:val="auto"/>
                <w:lang w:val="en-US" w:eastAsia="zh-CN"/>
              </w:rPr>
              <w:t>8、槽探</w:t>
            </w:r>
          </w:p>
          <w:p>
            <w:pPr>
              <w:pStyle w:val="48"/>
              <w:bidi w:val="0"/>
              <w:rPr>
                <w:rFonts w:hint="eastAsia"/>
                <w:color w:val="auto"/>
                <w:lang w:val="en-US" w:eastAsia="zh-CN"/>
              </w:rPr>
            </w:pPr>
            <w:r>
              <w:rPr>
                <w:rFonts w:hint="default"/>
                <w:color w:val="auto"/>
                <w:lang w:val="en-US" w:eastAsia="zh-CN"/>
              </w:rPr>
              <w:t>基本勘查网度为40m×40m。本次普查阶段按40m的勘查线间距布置探槽工程，详查阶段见矿工程间按20m间距布置加密探槽。考虑到勘查区地形较为陡倾，道路修建工作安排在全工作期进行，地表槽探工作按普查-详查-加密分别进行，时间安排为全工期。设计探槽普查阶段42条，详查阶段12条，预留机动探槽10条，总工作量5000m</w:t>
            </w:r>
            <w:r>
              <w:rPr>
                <w:rFonts w:hint="default"/>
                <w:color w:val="auto"/>
                <w:vertAlign w:val="superscript"/>
                <w:lang w:val="en-US" w:eastAsia="zh-CN"/>
              </w:rPr>
              <w:t>3</w:t>
            </w:r>
            <w:r>
              <w:rPr>
                <w:rFonts w:hint="eastAsia"/>
                <w:color w:val="auto"/>
                <w:lang w:val="en-US" w:eastAsia="zh-CN"/>
              </w:rPr>
              <w:t>。</w:t>
            </w:r>
          </w:p>
          <w:p>
            <w:pPr>
              <w:pStyle w:val="48"/>
              <w:bidi w:val="0"/>
              <w:rPr>
                <w:rFonts w:hint="eastAsia"/>
                <w:color w:val="auto"/>
                <w:lang w:val="en-US" w:eastAsia="zh-CN"/>
              </w:rPr>
            </w:pPr>
            <w:r>
              <w:rPr>
                <w:rFonts w:hint="eastAsia"/>
                <w:color w:val="auto"/>
                <w:lang w:val="en-US" w:eastAsia="zh-CN"/>
              </w:rPr>
              <w:t>9、钻探</w:t>
            </w:r>
          </w:p>
          <w:p>
            <w:pPr>
              <w:pStyle w:val="48"/>
              <w:bidi w:val="0"/>
              <w:rPr>
                <w:rFonts w:hint="default"/>
                <w:color w:val="auto"/>
                <w:lang w:val="en-US" w:eastAsia="zh-CN"/>
              </w:rPr>
            </w:pPr>
            <w:r>
              <w:rPr>
                <w:rFonts w:hint="default"/>
                <w:color w:val="auto"/>
                <w:lang w:val="en-US" w:eastAsia="zh-CN"/>
              </w:rPr>
              <w:t>共设计地质钻孔46个，设计水文孔3个。所有钻孔均为直孔，穿过蚀变带20m后终孔。设计总工作量7300m，其中机动工作量1000m。本次暂对东区布置钻探工作，西区暂不布置，后期依据实际见矿情况可增减钻探工作。</w:t>
            </w:r>
          </w:p>
          <w:p>
            <w:pPr>
              <w:pStyle w:val="48"/>
              <w:bidi w:val="0"/>
              <w:rPr>
                <w:rFonts w:hint="default"/>
                <w:color w:val="auto"/>
                <w:lang w:val="en-US" w:eastAsia="zh-CN"/>
              </w:rPr>
            </w:pPr>
            <w:r>
              <w:rPr>
                <w:rFonts w:hint="eastAsia"/>
                <w:color w:val="auto"/>
                <w:lang w:val="en-US" w:eastAsia="zh-CN"/>
              </w:rPr>
              <w:t>10、</w:t>
            </w:r>
            <w:r>
              <w:rPr>
                <w:rFonts w:hint="default"/>
                <w:color w:val="auto"/>
                <w:lang w:val="en-US" w:eastAsia="zh-CN"/>
              </w:rPr>
              <w:t>样品采集与测试</w:t>
            </w:r>
          </w:p>
          <w:p>
            <w:pPr>
              <w:pStyle w:val="48"/>
              <w:bidi w:val="0"/>
              <w:rPr>
                <w:rFonts w:hint="default"/>
                <w:color w:val="auto"/>
                <w:lang w:val="en-US" w:eastAsia="zh-CN"/>
              </w:rPr>
            </w:pPr>
            <w:r>
              <w:rPr>
                <w:rFonts w:hint="default"/>
                <w:color w:val="auto"/>
                <w:lang w:val="en-US" w:eastAsia="zh-CN"/>
              </w:rPr>
              <w:t>本次工作将采集岩（矿）鉴定样、基本分析样、光谱全分析样、化学全分析样、组合分析样、岩石化学全分析样、水化学全分析样、岩石力学试验样、矿石加工性能试验样、小体重样等，设计样品数可根据野外实际情况，以达到地质目的为原则，可作适当增减或调整</w:t>
            </w:r>
            <w:r>
              <w:rPr>
                <w:rFonts w:hint="eastAsia"/>
                <w:color w:val="auto"/>
                <w:lang w:val="en-US" w:eastAsia="zh-CN"/>
              </w:rPr>
              <w:t>。本次探矿只包含取样工作，现场不设实验室，化验工作交由实验室承担。</w:t>
            </w:r>
          </w:p>
          <w:p>
            <w:pPr>
              <w:pStyle w:val="50"/>
              <w:bidi w:val="0"/>
              <w:rPr>
                <w:rFonts w:hint="eastAsia"/>
                <w:lang w:val="en-US" w:eastAsia="zh-CN"/>
              </w:rPr>
            </w:pPr>
            <w:r>
              <w:rPr>
                <w:rFonts w:hint="eastAsia"/>
                <w:color w:val="auto"/>
                <w:lang w:val="en-US" w:eastAsia="zh-CN"/>
              </w:rPr>
              <w:t>2</w:t>
            </w:r>
            <w:r>
              <w:rPr>
                <w:rFonts w:hint="eastAsia"/>
                <w:lang w:val="en-US" w:eastAsia="zh-CN"/>
              </w:rPr>
              <w:t>.施工期流程简述</w:t>
            </w:r>
          </w:p>
          <w:p>
            <w:pPr>
              <w:pStyle w:val="50"/>
              <w:bidi w:val="0"/>
              <w:rPr>
                <w:rFonts w:hint="default"/>
                <w:lang w:val="en-US" w:eastAsia="zh-CN"/>
              </w:rPr>
            </w:pPr>
            <w:r>
              <w:rPr>
                <w:rFonts w:hint="eastAsia"/>
                <w:lang w:val="en-US" w:eastAsia="zh-CN"/>
              </w:rPr>
              <w:t>2.1生活营地建设</w:t>
            </w:r>
          </w:p>
          <w:p>
            <w:pPr>
              <w:pStyle w:val="48"/>
              <w:bidi w:val="0"/>
              <w:rPr>
                <w:rFonts w:hint="eastAsia"/>
                <w:lang w:val="en-US" w:eastAsia="zh-CN"/>
              </w:rPr>
            </w:pPr>
            <w:r>
              <w:rPr>
                <w:rFonts w:hint="eastAsia"/>
                <w:lang w:val="en-US" w:eastAsia="zh-CN"/>
              </w:rPr>
              <w:t>本项目为新建项目，施工期主要污染来自临时生活营地建设时产生的施工废气、施工扬尘、施工噪声等，施工期工艺流程图及产污环节见下图。</w:t>
            </w:r>
          </w:p>
          <w:p>
            <w:pPr>
              <w:pStyle w:val="48"/>
              <w:bidi w:val="0"/>
              <w:spacing w:line="240" w:lineRule="auto"/>
              <w:ind w:left="0" w:leftChars="0" w:right="0" w:rightChars="0" w:firstLine="0" w:firstLineChars="0"/>
              <w:jc w:val="center"/>
              <w:rPr>
                <w:rFonts w:hint="eastAsia"/>
                <w:lang w:val="en-US" w:eastAsia="zh-CN"/>
              </w:rPr>
            </w:pPr>
            <w:r>
              <w:rPr>
                <w:rFonts w:hint="eastAsia"/>
                <w:lang w:val="en-US" w:eastAsia="zh-CN"/>
              </w:rPr>
              <w:drawing>
                <wp:inline distT="0" distB="0" distL="114300" distR="114300">
                  <wp:extent cx="4686300" cy="1198880"/>
                  <wp:effectExtent l="0" t="0" r="0" b="127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8"/>
                          <a:srcRect t="6765"/>
                          <a:stretch>
                            <a:fillRect/>
                          </a:stretch>
                        </pic:blipFill>
                        <pic:spPr>
                          <a:xfrm>
                            <a:off x="0" y="0"/>
                            <a:ext cx="4686300" cy="1198880"/>
                          </a:xfrm>
                          <a:prstGeom prst="rect">
                            <a:avLst/>
                          </a:prstGeom>
                          <a:noFill/>
                          <a:ln>
                            <a:noFill/>
                          </a:ln>
                        </pic:spPr>
                      </pic:pic>
                    </a:graphicData>
                  </a:graphic>
                </wp:inline>
              </w:drawing>
            </w:r>
          </w:p>
          <w:p>
            <w:pPr>
              <w:pStyle w:val="56"/>
              <w:bidi w:val="0"/>
              <w:rPr>
                <w:rFonts w:hint="eastAsia"/>
                <w:lang w:val="en-US" w:eastAsia="zh-CN"/>
              </w:rPr>
            </w:pPr>
            <w:r>
              <w:rPr>
                <w:rFonts w:hint="eastAsia"/>
                <w:lang w:val="en-US" w:eastAsia="zh-CN"/>
              </w:rPr>
              <w:t>图2-2    生活营地建设工艺及产污环节图</w:t>
            </w:r>
          </w:p>
          <w:p>
            <w:pPr>
              <w:pStyle w:val="48"/>
              <w:bidi w:val="0"/>
              <w:rPr>
                <w:rFonts w:hint="eastAsia"/>
                <w:lang w:val="en-US" w:eastAsia="zh-CN"/>
              </w:rPr>
            </w:pPr>
            <w:r>
              <w:rPr>
                <w:rFonts w:hint="eastAsia"/>
                <w:lang w:val="en-US" w:eastAsia="zh-CN"/>
              </w:rPr>
              <w:t>营地建设的施工工序为：物资运输→地表清理、场地平整→搭建帐篷。</w:t>
            </w:r>
          </w:p>
          <w:p>
            <w:pPr>
              <w:pStyle w:val="48"/>
              <w:bidi w:val="0"/>
              <w:rPr>
                <w:rFonts w:hint="eastAsia"/>
                <w:lang w:val="en-US" w:eastAsia="zh-CN"/>
              </w:rPr>
            </w:pPr>
            <w:r>
              <w:rPr>
                <w:rFonts w:hint="eastAsia"/>
                <w:lang w:val="en-US" w:eastAsia="zh-CN"/>
              </w:rPr>
              <w:t>物资运输：将搭建营地所需的各类建筑材料、设备、生活用品等物资，通过车辆等运输工具，从采购地运送到营地建设选址处。运输过程中车辆运行会产生废气和噪声。</w:t>
            </w:r>
          </w:p>
          <w:p>
            <w:pPr>
              <w:pStyle w:val="48"/>
              <w:bidi w:val="0"/>
              <w:rPr>
                <w:rFonts w:hint="eastAsia"/>
                <w:lang w:val="en-US" w:eastAsia="zh-CN"/>
              </w:rPr>
            </w:pPr>
            <w:r>
              <w:rPr>
                <w:rFonts w:hint="eastAsia"/>
                <w:lang w:val="en-US" w:eastAsia="zh-CN"/>
              </w:rPr>
              <w:t>场地平整：使用推土机等机械设备，对营地建设场地进行清理和平整。清理场地内的杂草、杂物、石块等，推平凹凸不平区域，使场地满足后续搭建要求。施工机械运行会排放废气，发出噪声，施工过程中产生杂草、石块等固体废物。</w:t>
            </w:r>
          </w:p>
          <w:p>
            <w:pPr>
              <w:pStyle w:val="48"/>
              <w:bidi w:val="0"/>
              <w:rPr>
                <w:rFonts w:hint="eastAsia"/>
                <w:lang w:val="en-US" w:eastAsia="zh-CN"/>
              </w:rPr>
            </w:pPr>
            <w:r>
              <w:rPr>
                <w:rFonts w:hint="eastAsia"/>
                <w:lang w:val="en-US" w:eastAsia="zh-CN"/>
              </w:rPr>
              <w:t>搭建帐篷：依据营地规划设计，人工或借助小型工具将帐篷组件进行组装搭建，包括帐篷框架安装、篷布铺设、固定等一系列操作，完成营地帐篷的搭建工作。工具使用和人员活动会产生噪声。</w:t>
            </w:r>
          </w:p>
          <w:p>
            <w:pPr>
              <w:pStyle w:val="50"/>
              <w:bidi w:val="0"/>
              <w:rPr>
                <w:rFonts w:hint="eastAsia"/>
                <w:lang w:val="en-US" w:eastAsia="zh-CN"/>
              </w:rPr>
            </w:pPr>
            <w:r>
              <w:rPr>
                <w:rFonts w:hint="eastAsia"/>
                <w:lang w:val="en-US" w:eastAsia="zh-CN"/>
              </w:rPr>
              <w:t>2.2道路修建</w:t>
            </w:r>
          </w:p>
          <w:p>
            <w:pPr>
              <w:pStyle w:val="52"/>
              <w:bidi w:val="0"/>
            </w:pPr>
            <w:r>
              <w:drawing>
                <wp:inline distT="0" distB="0" distL="114300" distR="114300">
                  <wp:extent cx="4933950" cy="878840"/>
                  <wp:effectExtent l="0" t="0" r="0" b="165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933950" cy="878840"/>
                          </a:xfrm>
                          <a:prstGeom prst="rect">
                            <a:avLst/>
                          </a:prstGeom>
                          <a:noFill/>
                          <a:ln>
                            <a:noFill/>
                          </a:ln>
                        </pic:spPr>
                      </pic:pic>
                    </a:graphicData>
                  </a:graphic>
                </wp:inline>
              </w:drawing>
            </w:r>
          </w:p>
          <w:p>
            <w:pPr>
              <w:pStyle w:val="52"/>
              <w:bidi w:val="0"/>
            </w:pPr>
            <w:r>
              <w:rPr>
                <w:rFonts w:hint="eastAsia"/>
              </w:rPr>
              <w:t>图2-</w:t>
            </w:r>
            <w:r>
              <w:rPr>
                <w:rFonts w:hint="eastAsia"/>
                <w:lang w:val="en-US" w:eastAsia="zh-CN"/>
              </w:rPr>
              <w:t>3</w:t>
            </w:r>
            <w:r>
              <w:rPr>
                <w:rFonts w:hint="eastAsia"/>
              </w:rPr>
              <w:t xml:space="preserve">    道路修建工艺及产污环节图</w:t>
            </w:r>
          </w:p>
          <w:p>
            <w:pPr>
              <w:pStyle w:val="48"/>
              <w:bidi w:val="0"/>
              <w:rPr>
                <w:rFonts w:hint="eastAsia"/>
              </w:rPr>
            </w:pPr>
            <w:r>
              <w:rPr>
                <w:rFonts w:hint="eastAsia"/>
              </w:rPr>
              <w:t>道路施工的施工工序为：路基地表清理、土方开挖→土方回填、原土夯实→碎石摊铺、压实。</w:t>
            </w:r>
          </w:p>
          <w:p>
            <w:pPr>
              <w:pStyle w:val="48"/>
              <w:bidi w:val="0"/>
              <w:rPr>
                <w:rFonts w:hint="eastAsia"/>
                <w:lang w:val="en-US" w:eastAsia="zh-CN"/>
              </w:rPr>
            </w:pPr>
            <w:r>
              <w:rPr>
                <w:rFonts w:hint="eastAsia"/>
                <w:lang w:val="en-US" w:eastAsia="zh-CN"/>
              </w:rPr>
              <w:t>路基处理：采用挖掘机、装载机清除施工范围内的碎石等杂物以保证基底土的密实，其中表土剥离厚度大概约0.3m。</w:t>
            </w:r>
          </w:p>
          <w:p>
            <w:pPr>
              <w:pStyle w:val="48"/>
              <w:bidi w:val="0"/>
              <w:rPr>
                <w:rFonts w:hint="eastAsia"/>
                <w:lang w:val="en-US" w:eastAsia="zh-CN"/>
              </w:rPr>
            </w:pPr>
            <w:r>
              <w:rPr>
                <w:rFonts w:hint="default"/>
                <w:lang w:val="en-US" w:eastAsia="zh-CN"/>
              </w:rPr>
              <w:t>土方开挖</w:t>
            </w:r>
            <w:r>
              <w:rPr>
                <w:rFonts w:hint="eastAsia"/>
                <w:lang w:val="en-US" w:eastAsia="zh-CN"/>
              </w:rPr>
              <w:t>：根据路基标高进行土方开挖，采用挖掘机开挖、自卸汽车运输。对于适用的土方，开挖前应清除地表不良土质。不论开挖量和深度大小，均应自上而下分层分段开挖，不得乱挖超挖。根据开挖深度和长度确定开挖方法：开挖方法主要有横挖法、纵挖法和混合式开挖法。</w:t>
            </w:r>
          </w:p>
          <w:p>
            <w:pPr>
              <w:pStyle w:val="48"/>
              <w:bidi w:val="0"/>
              <w:rPr>
                <w:rFonts w:hint="default"/>
                <w:lang w:val="en-US" w:eastAsia="zh-CN"/>
              </w:rPr>
            </w:pPr>
            <w:r>
              <w:rPr>
                <w:rFonts w:hint="default"/>
                <w:lang w:val="en-US" w:eastAsia="zh-CN"/>
              </w:rPr>
              <w:t>路基填方</w:t>
            </w:r>
            <w:r>
              <w:rPr>
                <w:rFonts w:hint="eastAsia"/>
                <w:lang w:val="en-US" w:eastAsia="zh-CN"/>
              </w:rPr>
              <w:t>：用不含有腐殖土、树根、草泥或其他有害物质的挖方土填筑。道路基础填料后，均匀地摊铺一层碎石（碎石压盖厚度大约为0.05m），为保证路基压实度均匀，用推土机将填料大致整平，再用平地机整平，用压路机压实。</w:t>
            </w:r>
          </w:p>
          <w:p>
            <w:pPr>
              <w:pStyle w:val="50"/>
              <w:bidi w:val="0"/>
              <w:rPr>
                <w:rFonts w:hint="default"/>
                <w:lang w:val="en-US" w:eastAsia="zh-CN"/>
              </w:rPr>
            </w:pPr>
            <w:r>
              <w:rPr>
                <w:rFonts w:hint="eastAsia"/>
                <w:lang w:val="en-US" w:eastAsia="zh-CN"/>
              </w:rPr>
              <w:t>3.勘探期流程简述</w:t>
            </w:r>
          </w:p>
          <w:p>
            <w:pPr>
              <w:pStyle w:val="48"/>
              <w:bidi w:val="0"/>
              <w:rPr>
                <w:rFonts w:hint="eastAsia"/>
              </w:rPr>
            </w:pPr>
            <w:r>
              <w:rPr>
                <w:rFonts w:hint="eastAsia"/>
                <w:lang w:val="en-US" w:eastAsia="zh-CN"/>
              </w:rPr>
              <w:t>勘探期主要包括槽探和钻探，工程实施过程中主要污染来自槽探和钻探过程中扬尘、机械噪声、工程弃渣及工作人员生活过程中产生的生活污水和生活垃圾</w:t>
            </w:r>
            <w:r>
              <w:rPr>
                <w:rFonts w:hint="eastAsia"/>
              </w:rPr>
              <w:t>。</w:t>
            </w:r>
          </w:p>
          <w:p>
            <w:pPr>
              <w:pStyle w:val="50"/>
              <w:bidi w:val="0"/>
              <w:rPr>
                <w:rFonts w:hint="default"/>
                <w:lang w:val="en-US" w:eastAsia="zh-CN"/>
              </w:rPr>
            </w:pPr>
            <w:r>
              <w:rPr>
                <w:rFonts w:hint="eastAsia"/>
                <w:lang w:val="en-US" w:eastAsia="zh-CN"/>
              </w:rPr>
              <w:t>3.1槽探</w:t>
            </w:r>
          </w:p>
          <w:p>
            <w:pPr>
              <w:pStyle w:val="56"/>
              <w:bidi w:val="0"/>
              <w:jc w:val="center"/>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drawing>
                <wp:inline distT="0" distB="0" distL="114300" distR="114300">
                  <wp:extent cx="4231640" cy="1612265"/>
                  <wp:effectExtent l="0" t="0" r="16510" b="6985"/>
                  <wp:docPr id="7" name="图片 2" descr="2019050910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0190509105625"/>
                          <pic:cNvPicPr>
                            <a:picLocks noChangeAspect="1"/>
                          </pic:cNvPicPr>
                        </pic:nvPicPr>
                        <pic:blipFill>
                          <a:blip r:embed="rId10"/>
                          <a:stretch>
                            <a:fillRect/>
                          </a:stretch>
                        </pic:blipFill>
                        <pic:spPr>
                          <a:xfrm>
                            <a:off x="0" y="0"/>
                            <a:ext cx="4231640" cy="1612265"/>
                          </a:xfrm>
                          <a:prstGeom prst="rect">
                            <a:avLst/>
                          </a:prstGeom>
                          <a:noFill/>
                          <a:ln>
                            <a:noFill/>
                          </a:ln>
                        </pic:spPr>
                      </pic:pic>
                    </a:graphicData>
                  </a:graphic>
                </wp:inline>
              </w:drawing>
            </w:r>
          </w:p>
          <w:p>
            <w:pPr>
              <w:pStyle w:val="56"/>
              <w:bidi w:val="0"/>
              <w:jc w:val="center"/>
              <w:rPr>
                <w:rFonts w:hint="default"/>
                <w:lang w:val="en-US" w:eastAsia="zh-CN"/>
              </w:rPr>
            </w:pPr>
            <w:r>
              <w:rPr>
                <w:rFonts w:hint="default"/>
                <w:lang w:val="en-US" w:eastAsia="zh-CN"/>
              </w:rPr>
              <w:t>图2-</w:t>
            </w:r>
            <w:r>
              <w:rPr>
                <w:rFonts w:hint="eastAsia"/>
                <w:lang w:val="en-US" w:eastAsia="zh-CN"/>
              </w:rPr>
              <w:t xml:space="preserve">3  </w:t>
            </w:r>
            <w:r>
              <w:rPr>
                <w:rFonts w:hint="default"/>
                <w:lang w:val="en-US" w:eastAsia="zh-CN"/>
              </w:rPr>
              <w:t xml:space="preserve">  槽探施工流程及产污环节示意图</w:t>
            </w:r>
          </w:p>
          <w:p>
            <w:pPr>
              <w:pStyle w:val="48"/>
              <w:bidi w:val="0"/>
              <w:rPr>
                <w:rFonts w:hint="default"/>
                <w:lang w:val="en-US" w:eastAsia="zh-CN"/>
              </w:rPr>
            </w:pPr>
            <w:r>
              <w:rPr>
                <w:rFonts w:hint="default"/>
                <w:lang w:val="en-US" w:eastAsia="zh-CN"/>
              </w:rPr>
              <w:t>槽探施工首先进行表土剥离作业，接着开展槽探开挖</w:t>
            </w:r>
            <w:r>
              <w:rPr>
                <w:rFonts w:hint="eastAsia"/>
                <w:lang w:val="en-US" w:eastAsia="zh-CN"/>
              </w:rPr>
              <w:t>，该过程会产生扬尘、噪声污染；同时存在弃土，还会造成景观、植被破坏以及水土流失问题。</w:t>
            </w:r>
            <w:r>
              <w:rPr>
                <w:rFonts w:hint="default"/>
                <w:lang w:val="en-US" w:eastAsia="zh-CN"/>
              </w:rPr>
              <w:t>之后对相关内容取样、编录，最后</w:t>
            </w:r>
            <w:r>
              <w:rPr>
                <w:rFonts w:hint="eastAsia"/>
                <w:lang w:val="en-US" w:eastAsia="zh-CN"/>
              </w:rPr>
              <w:t>将土石方</w:t>
            </w:r>
            <w:r>
              <w:rPr>
                <w:rFonts w:hint="default"/>
                <w:lang w:val="en-US" w:eastAsia="zh-CN"/>
              </w:rPr>
              <w:t>回填</w:t>
            </w:r>
            <w:r>
              <w:rPr>
                <w:rFonts w:hint="eastAsia"/>
                <w:lang w:val="en-US" w:eastAsia="zh-CN"/>
              </w:rPr>
              <w:t>，回填时会</w:t>
            </w:r>
            <w:r>
              <w:rPr>
                <w:rFonts w:hint="default"/>
                <w:lang w:val="en-US" w:eastAsia="zh-CN"/>
              </w:rPr>
              <w:t>产生扬尘、噪声污染。</w:t>
            </w:r>
          </w:p>
          <w:p>
            <w:pPr>
              <w:pStyle w:val="48"/>
              <w:bidi w:val="0"/>
              <w:rPr>
                <w:rFonts w:hint="default"/>
                <w:lang w:val="en-US" w:eastAsia="zh-CN"/>
              </w:rPr>
            </w:pPr>
            <w:r>
              <w:rPr>
                <w:rFonts w:hint="eastAsia"/>
                <w:lang w:val="en-US" w:eastAsia="zh-CN"/>
              </w:rPr>
              <w:t>剥离的表土和开挖废石分层</w:t>
            </w:r>
            <w:r>
              <w:rPr>
                <w:rFonts w:hint="default"/>
                <w:lang w:val="en-US" w:eastAsia="zh-CN"/>
              </w:rPr>
              <w:t>堆存在探槽</w:t>
            </w:r>
            <w:r>
              <w:rPr>
                <w:rFonts w:hint="eastAsia"/>
                <w:lang w:val="en-US" w:eastAsia="zh-CN"/>
              </w:rPr>
              <w:t>一</w:t>
            </w:r>
            <w:r>
              <w:rPr>
                <w:rFonts w:hint="default"/>
                <w:lang w:val="en-US" w:eastAsia="zh-CN"/>
              </w:rPr>
              <w:t>侧，</w:t>
            </w:r>
            <w:r>
              <w:rPr>
                <w:rFonts w:hint="eastAsia"/>
                <w:lang w:val="en-US" w:eastAsia="zh-CN"/>
              </w:rPr>
              <w:t>使用彩条布苫盖。施工结束后表土及</w:t>
            </w:r>
            <w:r>
              <w:rPr>
                <w:rFonts w:hint="default"/>
                <w:lang w:val="en-US" w:eastAsia="zh-CN"/>
              </w:rPr>
              <w:t>开挖废石全部回填探槽。</w:t>
            </w:r>
          </w:p>
          <w:p>
            <w:pPr>
              <w:pStyle w:val="50"/>
              <w:bidi w:val="0"/>
              <w:rPr>
                <w:rFonts w:hint="default"/>
                <w:lang w:val="en-US" w:eastAsia="zh-CN"/>
              </w:rPr>
            </w:pPr>
            <w:r>
              <w:rPr>
                <w:rFonts w:hint="eastAsia"/>
                <w:lang w:val="en-US" w:eastAsia="zh-CN"/>
              </w:rPr>
              <w:t>3.2钻探</w:t>
            </w:r>
          </w:p>
          <w:p>
            <w:pPr>
              <w:pStyle w:val="56"/>
              <w:bidi w:val="0"/>
            </w:pPr>
            <w:r>
              <w:rPr>
                <w:rFonts w:hint="default" w:ascii="Times New Roman" w:hAnsi="Times New Roman" w:eastAsia="宋体" w:cs="Times New Roman"/>
                <w:b/>
                <w:color w:val="auto"/>
                <w:kern w:val="0"/>
                <w:szCs w:val="21"/>
                <w:lang w:eastAsia="zh-CN"/>
              </w:rPr>
              <w:drawing>
                <wp:inline distT="0" distB="0" distL="114300" distR="114300">
                  <wp:extent cx="4813300" cy="1757680"/>
                  <wp:effectExtent l="0" t="0" r="6350" b="13970"/>
                  <wp:docPr id="8" name="图片 1" descr="2018080817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180808173806"/>
                          <pic:cNvPicPr>
                            <a:picLocks noChangeAspect="1"/>
                          </pic:cNvPicPr>
                        </pic:nvPicPr>
                        <pic:blipFill>
                          <a:blip r:embed="rId11"/>
                          <a:srcRect b="2127"/>
                          <a:stretch>
                            <a:fillRect/>
                          </a:stretch>
                        </pic:blipFill>
                        <pic:spPr>
                          <a:xfrm>
                            <a:off x="0" y="0"/>
                            <a:ext cx="4813300" cy="1757680"/>
                          </a:xfrm>
                          <a:prstGeom prst="rect">
                            <a:avLst/>
                          </a:prstGeom>
                          <a:noFill/>
                          <a:ln>
                            <a:noFill/>
                          </a:ln>
                        </pic:spPr>
                      </pic:pic>
                    </a:graphicData>
                  </a:graphic>
                </wp:inline>
              </w:drawing>
            </w:r>
          </w:p>
          <w:p>
            <w:pPr>
              <w:pStyle w:val="56"/>
              <w:bidi w:val="0"/>
              <w:jc w:val="center"/>
              <w:rPr>
                <w:rFonts w:hint="default"/>
                <w:lang w:val="en-US" w:eastAsia="zh-CN"/>
              </w:rPr>
            </w:pPr>
            <w:r>
              <w:rPr>
                <w:rFonts w:hint="default"/>
                <w:lang w:val="en-US" w:eastAsia="zh-CN"/>
              </w:rPr>
              <w:t>图2-</w:t>
            </w:r>
            <w:r>
              <w:rPr>
                <w:rFonts w:hint="eastAsia"/>
                <w:lang w:val="en-US" w:eastAsia="zh-CN"/>
              </w:rPr>
              <w:t xml:space="preserve">4  </w:t>
            </w:r>
            <w:r>
              <w:rPr>
                <w:rFonts w:hint="default"/>
                <w:lang w:val="en-US" w:eastAsia="zh-CN"/>
              </w:rPr>
              <w:t xml:space="preserve">  </w:t>
            </w:r>
            <w:r>
              <w:rPr>
                <w:rFonts w:hint="eastAsia"/>
                <w:lang w:val="en-US" w:eastAsia="zh-CN"/>
              </w:rPr>
              <w:t>钻探</w:t>
            </w:r>
            <w:r>
              <w:rPr>
                <w:rFonts w:hint="default"/>
                <w:lang w:val="en-US" w:eastAsia="zh-CN"/>
              </w:rPr>
              <w:t>施工流程及产污环节示意图</w:t>
            </w:r>
          </w:p>
          <w:p>
            <w:pPr>
              <w:pStyle w:val="48"/>
              <w:bidi w:val="0"/>
              <w:rPr>
                <w:rStyle w:val="47"/>
                <w:rFonts w:hint="default"/>
                <w:lang w:val="en-US" w:eastAsia="zh-CN"/>
              </w:rPr>
            </w:pPr>
            <w:r>
              <w:rPr>
                <w:rStyle w:val="47"/>
                <w:rFonts w:hint="default"/>
                <w:lang w:val="en-US" w:eastAsia="zh-CN"/>
              </w:rPr>
              <w:t>钻孔的布设在地表工程圈定的矿化发育地段，主要针对规模大、品位高的主矿体布设。钻孔布设时，应坚持</w:t>
            </w:r>
            <w:r>
              <w:rPr>
                <w:rStyle w:val="47"/>
                <w:rFonts w:hint="eastAsia"/>
                <w:lang w:val="en-US" w:eastAsia="zh-CN"/>
              </w:rPr>
              <w:t>“</w:t>
            </w:r>
            <w:r>
              <w:rPr>
                <w:rStyle w:val="47"/>
                <w:rFonts w:hint="default"/>
                <w:lang w:val="en-US" w:eastAsia="zh-CN"/>
              </w:rPr>
              <w:t>一基多孔</w:t>
            </w:r>
            <w:r>
              <w:rPr>
                <w:rStyle w:val="47"/>
                <w:rFonts w:hint="eastAsia"/>
                <w:lang w:val="en-US" w:eastAsia="zh-CN"/>
              </w:rPr>
              <w:t>”“</w:t>
            </w:r>
            <w:r>
              <w:rPr>
                <w:rStyle w:val="47"/>
                <w:rFonts w:hint="default"/>
                <w:lang w:val="en-US" w:eastAsia="zh-CN"/>
              </w:rPr>
              <w:t>一孔多用</w:t>
            </w:r>
            <w:r>
              <w:rPr>
                <w:rStyle w:val="47"/>
                <w:rFonts w:hint="eastAsia"/>
                <w:lang w:val="en-US" w:eastAsia="zh-CN"/>
              </w:rPr>
              <w:t>”</w:t>
            </w:r>
            <w:r>
              <w:rPr>
                <w:rStyle w:val="47"/>
                <w:rFonts w:hint="default"/>
                <w:lang w:val="en-US" w:eastAsia="zh-CN"/>
              </w:rPr>
              <w:t>的原则，尽量减少钻孔机场的开挖导致的对自然地貌、自然景观的破坏。</w:t>
            </w:r>
          </w:p>
          <w:p>
            <w:pPr>
              <w:pStyle w:val="48"/>
              <w:bidi w:val="0"/>
              <w:rPr>
                <w:rFonts w:hint="default"/>
                <w:lang w:val="en-US" w:eastAsia="zh-CN"/>
              </w:rPr>
            </w:pPr>
            <w:r>
              <w:rPr>
                <w:rStyle w:val="47"/>
                <w:rFonts w:hint="default"/>
                <w:lang w:val="en-US" w:eastAsia="zh-CN"/>
              </w:rPr>
              <w:t>在钻孔附近处设置沉淀池（做防渗处理），处理钻孔时产生的泥浆废水，泥浆废水经沉淀后循环使用，沉淀池内泥浆固化后用于回填钻孔。</w:t>
            </w:r>
            <w:r>
              <w:rPr>
                <w:rStyle w:val="47"/>
                <w:rFonts w:hint="eastAsia"/>
                <w:lang w:val="en-US" w:eastAsia="zh-CN"/>
              </w:rPr>
              <w:t>钻探施工时需进行表土剥离和钻孔，会产生泥浆、岩心、岩屑等固废。</w:t>
            </w:r>
          </w:p>
          <w:p>
            <w:pPr>
              <w:pStyle w:val="50"/>
              <w:bidi w:val="0"/>
              <w:rPr>
                <w:rFonts w:hint="default"/>
                <w:lang w:val="en-US" w:eastAsia="zh-CN"/>
              </w:rPr>
            </w:pPr>
            <w:r>
              <w:rPr>
                <w:rFonts w:hint="eastAsia"/>
                <w:highlight w:val="none"/>
                <w:lang w:val="en-US" w:eastAsia="zh-CN"/>
              </w:rPr>
              <w:t>4</w:t>
            </w:r>
            <w:r>
              <w:rPr>
                <w:rFonts w:hint="default"/>
                <w:highlight w:val="none"/>
                <w:lang w:val="en-US" w:eastAsia="zh-CN"/>
              </w:rPr>
              <w:t>.施工时序及建设周期</w:t>
            </w:r>
          </w:p>
          <w:p>
            <w:pPr>
              <w:pStyle w:val="48"/>
              <w:shd w:val="clear" w:color="auto" w:fill="auto"/>
              <w:bidi w:val="0"/>
              <w:rPr>
                <w:rFonts w:hint="eastAsia"/>
                <w:color w:val="auto"/>
                <w:shd w:val="clear" w:color="auto" w:fill="auto"/>
                <w:lang w:val="en-US" w:eastAsia="zh-CN"/>
              </w:rPr>
            </w:pPr>
            <w:r>
              <w:rPr>
                <w:rFonts w:hint="eastAsia"/>
                <w:color w:val="auto"/>
                <w:highlight w:val="none"/>
                <w:lang w:val="en-US" w:eastAsia="zh-CN"/>
              </w:rPr>
              <w:t>项目建设周期</w:t>
            </w:r>
            <w:r>
              <w:rPr>
                <w:rFonts w:hint="eastAsia"/>
                <w:color w:val="auto"/>
                <w:lang w:val="en-US" w:eastAsia="zh-CN"/>
              </w:rPr>
              <w:t>：</w:t>
            </w:r>
            <w:r>
              <w:rPr>
                <w:rFonts w:hint="eastAsia"/>
                <w:color w:val="auto"/>
                <w:shd w:val="clear" w:color="auto" w:fill="auto"/>
                <w:lang w:val="en-US" w:eastAsia="zh-CN"/>
              </w:rPr>
              <w:t>2026年6月—2030年10月。</w:t>
            </w:r>
          </w:p>
          <w:p>
            <w:pPr>
              <w:pStyle w:val="52"/>
              <w:bidi w:val="0"/>
              <w:rPr>
                <w:rFonts w:hint="default"/>
                <w:color w:val="auto"/>
                <w:lang w:val="en-US" w:eastAsia="zh-CN"/>
              </w:rPr>
            </w:pPr>
            <w:r>
              <w:rPr>
                <w:rFonts w:hint="eastAsia"/>
                <w:color w:val="auto"/>
                <w:lang w:val="en-US" w:eastAsia="zh-CN"/>
              </w:rPr>
              <w:t>表2-6    工作计划与时间安排表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439"/>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830" w:type="pct"/>
                  <w:noWrap w:val="0"/>
                  <w:vAlign w:val="center"/>
                </w:tcPr>
                <w:p>
                  <w:pPr>
                    <w:pStyle w:val="54"/>
                    <w:bidi w:val="0"/>
                    <w:rPr>
                      <w:rFonts w:hint="default"/>
                      <w:lang w:val="en-US" w:eastAsia="zh-CN"/>
                    </w:rPr>
                  </w:pPr>
                  <w:r>
                    <w:rPr>
                      <w:rFonts w:hint="eastAsia"/>
                      <w:lang w:val="en-US" w:eastAsia="zh-CN"/>
                    </w:rPr>
                    <w:t>工作阶段</w:t>
                  </w:r>
                </w:p>
              </w:tc>
              <w:tc>
                <w:tcPr>
                  <w:tcW w:w="944" w:type="pct"/>
                  <w:noWrap w:val="0"/>
                  <w:vAlign w:val="center"/>
                </w:tcPr>
                <w:p>
                  <w:pPr>
                    <w:pStyle w:val="54"/>
                    <w:bidi w:val="0"/>
                    <w:rPr>
                      <w:rFonts w:hint="default"/>
                    </w:rPr>
                  </w:pPr>
                  <w:r>
                    <w:rPr>
                      <w:rFonts w:hint="default"/>
                    </w:rPr>
                    <w:t>具体时间安排</w:t>
                  </w:r>
                </w:p>
              </w:tc>
              <w:tc>
                <w:tcPr>
                  <w:tcW w:w="3224" w:type="pct"/>
                  <w:noWrap w:val="0"/>
                  <w:vAlign w:val="center"/>
                </w:tcPr>
                <w:p>
                  <w:pPr>
                    <w:pStyle w:val="54"/>
                    <w:bidi w:val="0"/>
                    <w:rPr>
                      <w:rFonts w:hint="default"/>
                    </w:rPr>
                  </w:pPr>
                  <w:r>
                    <w:rPr>
                      <w:rFonts w:hint="default"/>
                    </w:rPr>
                    <w:t>工作进度及目标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30" w:type="pct"/>
                  <w:noWrap w:val="0"/>
                  <w:vAlign w:val="center"/>
                </w:tcPr>
                <w:p>
                  <w:pPr>
                    <w:pStyle w:val="54"/>
                    <w:bidi w:val="0"/>
                    <w:rPr>
                      <w:rFonts w:hint="eastAsia" w:eastAsia="宋体"/>
                      <w:lang w:eastAsia="zh-CN"/>
                    </w:rPr>
                  </w:pPr>
                  <w:r>
                    <w:rPr>
                      <w:rFonts w:hint="eastAsia"/>
                      <w:lang w:val="en-US" w:eastAsia="zh-CN"/>
                    </w:rPr>
                    <w:t>普查阶段</w:t>
                  </w:r>
                </w:p>
              </w:tc>
              <w:tc>
                <w:tcPr>
                  <w:tcW w:w="944" w:type="pct"/>
                  <w:noWrap w:val="0"/>
                  <w:vAlign w:val="center"/>
                </w:tcPr>
                <w:p>
                  <w:pPr>
                    <w:pStyle w:val="54"/>
                    <w:bidi w:val="0"/>
                    <w:rPr>
                      <w:rFonts w:hint="default"/>
                      <w:lang w:val="en-US" w:eastAsia="zh-CN"/>
                    </w:rPr>
                  </w:pPr>
                  <w:r>
                    <w:rPr>
                      <w:rFonts w:hint="eastAsia"/>
                      <w:lang w:val="en-US" w:eastAsia="zh-CN"/>
                    </w:rPr>
                    <w:t>2026年-2027年</w:t>
                  </w:r>
                </w:p>
              </w:tc>
              <w:tc>
                <w:tcPr>
                  <w:tcW w:w="3224" w:type="pct"/>
                  <w:noWrap w:val="0"/>
                  <w:vAlign w:val="center"/>
                </w:tcPr>
                <w:p>
                  <w:pPr>
                    <w:pStyle w:val="54"/>
                    <w:bidi w:val="0"/>
                    <w:rPr>
                      <w:rFonts w:hint="eastAsia"/>
                      <w:lang w:val="en-US" w:eastAsia="zh-CN"/>
                    </w:rPr>
                  </w:pPr>
                  <w:r>
                    <w:rPr>
                      <w:rFonts w:hint="eastAsia"/>
                      <w:lang w:val="en-US" w:eastAsia="zh-CN"/>
                    </w:rPr>
                    <w:t>初步查明矿区地质、构造、矿体数量、形态、产状、规模、品位、矿石特征，将矿体深部连续，且有一定规模，品位达最低工业品位以上，有一定经济价值的区域圈定为详查工作区。若矿体品位低，连续性差、规模小，未圈出详查工作区，则勘查工作至此终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30" w:type="pct"/>
                  <w:noWrap w:val="0"/>
                  <w:vAlign w:val="center"/>
                </w:tcPr>
                <w:p>
                  <w:pPr>
                    <w:pStyle w:val="54"/>
                    <w:bidi w:val="0"/>
                    <w:rPr>
                      <w:rFonts w:hint="eastAsia" w:eastAsia="宋体"/>
                      <w:lang w:eastAsia="zh-CN"/>
                    </w:rPr>
                  </w:pPr>
                  <w:r>
                    <w:rPr>
                      <w:rFonts w:hint="eastAsia"/>
                      <w:lang w:val="en-US" w:eastAsia="zh-CN"/>
                    </w:rPr>
                    <w:t>详查阶段</w:t>
                  </w:r>
                </w:p>
              </w:tc>
              <w:tc>
                <w:tcPr>
                  <w:tcW w:w="944" w:type="pct"/>
                  <w:noWrap w:val="0"/>
                  <w:vAlign w:val="center"/>
                </w:tcPr>
                <w:p>
                  <w:pPr>
                    <w:pStyle w:val="54"/>
                    <w:bidi w:val="0"/>
                    <w:rPr>
                      <w:rFonts w:hint="default"/>
                      <w:lang w:val="en-US" w:eastAsia="zh-CN"/>
                    </w:rPr>
                  </w:pPr>
                  <w:r>
                    <w:rPr>
                      <w:rFonts w:hint="eastAsia"/>
                      <w:lang w:val="en-US" w:eastAsia="zh-CN"/>
                    </w:rPr>
                    <w:t>2028年-2029年</w:t>
                  </w:r>
                </w:p>
              </w:tc>
              <w:tc>
                <w:tcPr>
                  <w:tcW w:w="3224" w:type="pct"/>
                  <w:noWrap w:val="0"/>
                  <w:vAlign w:val="center"/>
                </w:tcPr>
                <w:p>
                  <w:pPr>
                    <w:pStyle w:val="54"/>
                    <w:bidi w:val="0"/>
                    <w:rPr>
                      <w:rFonts w:hint="default"/>
                      <w:lang w:val="en-US" w:eastAsia="zh-CN"/>
                    </w:rPr>
                  </w:pPr>
                  <w:r>
                    <w:rPr>
                      <w:rFonts w:hint="eastAsia"/>
                      <w:lang w:val="en-US" w:eastAsia="zh-CN"/>
                    </w:rPr>
                    <w:t>基本查明矿区地质、构造、矿体数量、规模、品位、矿石特征，详细查明详查区水文、工程、环境地质条件，矿石加工选冶技术性能。对金、铜矿体进行完整评估，估算控制+推断资源量，开展工业指标论证，预可行性研究评价，确定首采区，编写详查报告。对全阶段的样品、副样进行规范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30" w:type="pct"/>
                  <w:noWrap w:val="0"/>
                  <w:vAlign w:val="center"/>
                </w:tcPr>
                <w:p>
                  <w:pPr>
                    <w:pStyle w:val="54"/>
                    <w:bidi w:val="0"/>
                    <w:rPr>
                      <w:rFonts w:hint="default" w:eastAsia="宋体"/>
                      <w:lang w:val="en-US" w:eastAsia="zh-CN"/>
                    </w:rPr>
                  </w:pPr>
                  <w:r>
                    <w:rPr>
                      <w:rFonts w:hint="eastAsia"/>
                      <w:lang w:val="en-US" w:eastAsia="zh-CN"/>
                    </w:rPr>
                    <w:t>详查补充阶段</w:t>
                  </w:r>
                </w:p>
              </w:tc>
              <w:tc>
                <w:tcPr>
                  <w:tcW w:w="944" w:type="pct"/>
                  <w:noWrap w:val="0"/>
                  <w:vAlign w:val="center"/>
                </w:tcPr>
                <w:p>
                  <w:pPr>
                    <w:pStyle w:val="54"/>
                    <w:bidi w:val="0"/>
                    <w:rPr>
                      <w:rFonts w:hint="default"/>
                      <w:lang w:val="en-US" w:eastAsia="zh-CN"/>
                    </w:rPr>
                  </w:pPr>
                  <w:r>
                    <w:rPr>
                      <w:rFonts w:hint="eastAsia"/>
                      <w:lang w:val="en-US" w:eastAsia="zh-CN"/>
                    </w:rPr>
                    <w:t>2030年</w:t>
                  </w:r>
                </w:p>
              </w:tc>
              <w:tc>
                <w:tcPr>
                  <w:tcW w:w="3224" w:type="pct"/>
                  <w:noWrap w:val="0"/>
                  <w:vAlign w:val="center"/>
                </w:tcPr>
                <w:p>
                  <w:pPr>
                    <w:pStyle w:val="54"/>
                    <w:bidi w:val="0"/>
                    <w:rPr>
                      <w:rFonts w:hint="eastAsia"/>
                      <w:lang w:val="en-US" w:eastAsia="zh-CN"/>
                    </w:rPr>
                  </w:pPr>
                  <w:r>
                    <w:rPr>
                      <w:rFonts w:hint="eastAsia"/>
                      <w:lang w:val="en-US" w:eastAsia="zh-CN"/>
                    </w:rPr>
                    <w:t>在前期详查工作基础上，对主矿体进行探边摸底，并对详查过程中发现的厚大的深部盲矿体进行深部控制，补充完善供探转采详查报告所需工作。初步判断矿床规模为小型，至详查阶段结束。</w:t>
                  </w:r>
                </w:p>
              </w:tc>
            </w:tr>
          </w:tbl>
          <w:p>
            <w:pPr>
              <w:pStyle w:val="48"/>
              <w:shd w:val="clear" w:color="auto" w:fill="auto"/>
              <w:bidi w:val="0"/>
              <w:rPr>
                <w:rFonts w:hint="default"/>
                <w:lang w:val="en-US" w:eastAsia="zh-CN"/>
              </w:rPr>
            </w:pPr>
            <w:r>
              <w:rPr>
                <w:rFonts w:hint="eastAsia"/>
                <w:shd w:val="clear" w:color="auto" w:fill="auto"/>
                <w:lang w:val="en-US" w:eastAsia="zh-CN"/>
              </w:rPr>
              <w:t>施工条件：</w:t>
            </w:r>
            <w:r>
              <w:rPr>
                <w:rFonts w:hint="default"/>
                <w:shd w:val="clear" w:color="auto" w:fill="auto"/>
                <w:lang w:val="en-US" w:eastAsia="zh-CN"/>
              </w:rPr>
              <w:t>①</w:t>
            </w:r>
            <w:r>
              <w:rPr>
                <w:rFonts w:hint="eastAsia"/>
                <w:shd w:val="clear" w:color="auto" w:fill="auto"/>
                <w:lang w:val="en-US" w:eastAsia="zh-CN"/>
              </w:rPr>
              <w:t>项目前期资料准备齐全，包含工程设计图纸及相关文件、勘查资料和报告等。</w:t>
            </w:r>
            <w:r>
              <w:rPr>
                <w:rFonts w:hint="default"/>
                <w:shd w:val="clear" w:color="auto" w:fill="auto"/>
                <w:lang w:val="en-US" w:eastAsia="zh-CN"/>
              </w:rPr>
              <w:t>②</w:t>
            </w:r>
            <w:r>
              <w:rPr>
                <w:rFonts w:hint="eastAsia"/>
                <w:shd w:val="clear" w:color="auto" w:fill="auto"/>
                <w:lang w:val="en-US" w:eastAsia="zh-CN"/>
              </w:rPr>
              <w:t>人员配置齐全，包含施工单位负责人及施工管理人员，工程监理人员、安全生产管理人员、现场施工队伍等。</w:t>
            </w:r>
            <w:r>
              <w:rPr>
                <w:rFonts w:hint="default"/>
                <w:shd w:val="clear" w:color="auto" w:fill="auto"/>
                <w:lang w:val="en-US" w:eastAsia="zh-CN"/>
              </w:rPr>
              <w:t>③</w:t>
            </w:r>
            <w:r>
              <w:rPr>
                <w:rFonts w:hint="eastAsia"/>
                <w:shd w:val="clear" w:color="auto" w:fill="auto"/>
                <w:lang w:val="en-US" w:eastAsia="zh-CN"/>
              </w:rPr>
              <w:t>施工设备准备齐全，包含挖掘机、运输车辆等。④物资准备齐全，包含生活用品和安全生产用品等。⑤施工现场布置清晰、道路和设备、人员等进行合理管理。⑥明确施工环境保护措施。</w:t>
            </w:r>
          </w:p>
          <w:p>
            <w:pPr>
              <w:pStyle w:val="50"/>
              <w:bidi w:val="0"/>
              <w:rPr>
                <w:rFonts w:hint="default"/>
                <w:highlight w:val="none"/>
                <w:lang w:val="en-US" w:eastAsia="zh-CN"/>
              </w:rPr>
            </w:pPr>
            <w:r>
              <w:rPr>
                <w:rFonts w:hint="eastAsia"/>
                <w:highlight w:val="none"/>
                <w:lang w:val="en-US" w:eastAsia="zh-CN"/>
              </w:rPr>
              <w:t>5.土石方平衡分析</w:t>
            </w:r>
          </w:p>
          <w:p>
            <w:pPr>
              <w:pStyle w:val="48"/>
              <w:bidi w:val="0"/>
              <w:rPr>
                <w:rFonts w:hint="eastAsia"/>
                <w:lang w:val="en-US" w:eastAsia="zh-CN"/>
              </w:rPr>
            </w:pPr>
            <w:r>
              <w:rPr>
                <w:rFonts w:hint="eastAsia"/>
                <w:lang w:val="en-US" w:eastAsia="zh-CN"/>
              </w:rPr>
              <w:t>本项目主要的土石方工程为生活营地建设和槽探期间开挖的土壤与风化岩石剥离、回填产生的土石方。</w:t>
            </w:r>
          </w:p>
          <w:p>
            <w:pPr>
              <w:pStyle w:val="48"/>
              <w:bidi w:val="0"/>
              <w:rPr>
                <w:rFonts w:hint="default"/>
                <w:lang w:val="en-US" w:eastAsia="zh-CN"/>
              </w:rPr>
            </w:pPr>
            <w:r>
              <w:rPr>
                <w:rFonts w:hint="eastAsia"/>
                <w:lang w:val="en-US" w:eastAsia="zh-CN"/>
              </w:rPr>
              <w:t>本项目道路修建产生挖方10500m³，搭建生活营地、场地平整产生挖方10m³。</w:t>
            </w:r>
          </w:p>
          <w:p>
            <w:pPr>
              <w:pStyle w:val="48"/>
              <w:bidi w:val="0"/>
              <w:rPr>
                <w:rFonts w:hint="eastAsia"/>
                <w:lang w:val="en-US" w:eastAsia="zh-CN"/>
              </w:rPr>
            </w:pPr>
            <w:r>
              <w:rPr>
                <w:rFonts w:hint="eastAsia"/>
                <w:lang w:val="en-US" w:eastAsia="zh-CN"/>
              </w:rPr>
              <w:t>钻探总工作量为7300m，钻探开孔直径为60mm，岩心产生的土方量为20.63m³（V=πr</w:t>
            </w:r>
            <w:r>
              <w:rPr>
                <w:rFonts w:hint="eastAsia"/>
                <w:vertAlign w:val="superscript"/>
                <w:lang w:val="en-US" w:eastAsia="zh-CN"/>
              </w:rPr>
              <w:t>2</w:t>
            </w:r>
            <w:r>
              <w:rPr>
                <w:rFonts w:hint="eastAsia"/>
                <w:lang w:val="en-US" w:eastAsia="zh-CN"/>
              </w:rPr>
              <w:t>*h），全部带回实验室分析。槽探总工作量5000m³。</w:t>
            </w:r>
          </w:p>
          <w:p>
            <w:pPr>
              <w:pStyle w:val="52"/>
              <w:bidi w:val="0"/>
              <w:rPr>
                <w:rFonts w:hint="eastAsia"/>
                <w:vertAlign w:val="superscript"/>
                <w:lang w:val="en-US" w:eastAsia="zh-CN"/>
              </w:rPr>
            </w:pPr>
            <w:r>
              <w:rPr>
                <w:rFonts w:hint="eastAsia"/>
                <w:lang w:val="en-US" w:eastAsia="zh-CN"/>
              </w:rPr>
              <w:t xml:space="preserve">表2-7   </w:t>
            </w:r>
            <w:r>
              <w:rPr>
                <w:rFonts w:hint="eastAsia"/>
                <w:highlight w:val="none"/>
                <w:lang w:val="en-US" w:eastAsia="zh-CN"/>
              </w:rPr>
              <w:t xml:space="preserve"> 工程土石方平衡分析表</w:t>
            </w:r>
            <w:r>
              <w:rPr>
                <w:rFonts w:hint="eastAsia"/>
                <w:lang w:val="en-US" w:eastAsia="zh-CN"/>
              </w:rPr>
              <w:t xml:space="preserve">    单位：m</w:t>
            </w:r>
            <w:r>
              <w:rPr>
                <w:rFonts w:hint="eastAsia"/>
                <w:vertAlign w:val="superscript"/>
                <w:lang w:val="en-US" w:eastAsia="zh-CN"/>
              </w:rPr>
              <w:t>3</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88"/>
              <w:gridCol w:w="922"/>
              <w:gridCol w:w="959"/>
              <w:gridCol w:w="95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pct"/>
                  <w:noWrap w:val="0"/>
                  <w:vAlign w:val="center"/>
                </w:tcPr>
                <w:p>
                  <w:pPr>
                    <w:pStyle w:val="58"/>
                    <w:bidi w:val="0"/>
                    <w:rPr>
                      <w:rFonts w:hint="eastAsia" w:eastAsia="宋体"/>
                      <w:lang w:eastAsia="zh-CN"/>
                    </w:rPr>
                  </w:pPr>
                  <w:r>
                    <w:rPr>
                      <w:rFonts w:hint="eastAsia"/>
                      <w:lang w:val="en-US" w:eastAsia="zh-CN"/>
                    </w:rPr>
                    <w:t>类型</w:t>
                  </w:r>
                </w:p>
              </w:tc>
              <w:tc>
                <w:tcPr>
                  <w:tcW w:w="517" w:type="pct"/>
                  <w:noWrap w:val="0"/>
                  <w:vAlign w:val="center"/>
                </w:tcPr>
                <w:p>
                  <w:pPr>
                    <w:pStyle w:val="58"/>
                    <w:bidi w:val="0"/>
                    <w:rPr>
                      <w:rFonts w:hint="default"/>
                    </w:rPr>
                  </w:pPr>
                  <w:r>
                    <w:rPr>
                      <w:rFonts w:hint="eastAsia"/>
                      <w:lang w:val="en-US" w:eastAsia="zh-CN"/>
                    </w:rPr>
                    <w:t>挖方</w:t>
                  </w:r>
                </w:p>
              </w:tc>
              <w:tc>
                <w:tcPr>
                  <w:tcW w:w="605" w:type="pct"/>
                  <w:noWrap w:val="0"/>
                  <w:vAlign w:val="center"/>
                </w:tcPr>
                <w:p>
                  <w:pPr>
                    <w:pStyle w:val="58"/>
                    <w:bidi w:val="0"/>
                    <w:rPr>
                      <w:rFonts w:hint="default"/>
                    </w:rPr>
                  </w:pPr>
                  <w:r>
                    <w:rPr>
                      <w:rFonts w:hint="eastAsia"/>
                      <w:lang w:val="en-US" w:eastAsia="zh-CN"/>
                    </w:rPr>
                    <w:t>回填</w:t>
                  </w:r>
                </w:p>
              </w:tc>
              <w:tc>
                <w:tcPr>
                  <w:tcW w:w="629" w:type="pct"/>
                  <w:noWrap w:val="0"/>
                  <w:vAlign w:val="center"/>
                </w:tcPr>
                <w:p>
                  <w:pPr>
                    <w:pStyle w:val="58"/>
                    <w:bidi w:val="0"/>
                    <w:rPr>
                      <w:rFonts w:hint="default"/>
                      <w:lang w:val="en-US" w:eastAsia="zh-CN"/>
                    </w:rPr>
                  </w:pPr>
                  <w:r>
                    <w:rPr>
                      <w:rFonts w:hint="eastAsia"/>
                      <w:lang w:val="en-US" w:eastAsia="zh-CN"/>
                    </w:rPr>
                    <w:t>取样</w:t>
                  </w:r>
                </w:p>
              </w:tc>
              <w:tc>
                <w:tcPr>
                  <w:tcW w:w="629" w:type="pct"/>
                  <w:noWrap w:val="0"/>
                  <w:vAlign w:val="center"/>
                </w:tcPr>
                <w:p>
                  <w:pPr>
                    <w:pStyle w:val="58"/>
                    <w:bidi w:val="0"/>
                    <w:rPr>
                      <w:rFonts w:hint="eastAsia"/>
                      <w:lang w:val="en-US" w:eastAsia="zh-CN"/>
                    </w:rPr>
                  </w:pPr>
                  <w:r>
                    <w:rPr>
                      <w:rFonts w:hint="eastAsia"/>
                      <w:lang w:val="en-US" w:eastAsia="zh-CN"/>
                    </w:rPr>
                    <w:t>场地平整</w:t>
                  </w:r>
                </w:p>
              </w:tc>
              <w:tc>
                <w:tcPr>
                  <w:tcW w:w="1905" w:type="pct"/>
                  <w:noWrap w:val="0"/>
                  <w:vAlign w:val="center"/>
                </w:tcPr>
                <w:p>
                  <w:pPr>
                    <w:pStyle w:val="58"/>
                    <w:bidi w:val="0"/>
                    <w:rPr>
                      <w:rFonts w:hint="default"/>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pct"/>
                  <w:noWrap w:val="0"/>
                  <w:vAlign w:val="center"/>
                </w:tcPr>
                <w:p>
                  <w:pPr>
                    <w:pStyle w:val="58"/>
                    <w:bidi w:val="0"/>
                    <w:rPr>
                      <w:rFonts w:hint="default"/>
                      <w:highlight w:val="none"/>
                      <w:lang w:val="en-US" w:eastAsia="zh-CN"/>
                    </w:rPr>
                  </w:pPr>
                  <w:r>
                    <w:rPr>
                      <w:rFonts w:hint="eastAsia"/>
                      <w:highlight w:val="none"/>
                      <w:lang w:val="en-US" w:eastAsia="zh-CN"/>
                    </w:rPr>
                    <w:t>道路修建</w:t>
                  </w:r>
                </w:p>
              </w:tc>
              <w:tc>
                <w:tcPr>
                  <w:tcW w:w="517" w:type="pct"/>
                  <w:noWrap w:val="0"/>
                  <w:vAlign w:val="center"/>
                </w:tcPr>
                <w:p>
                  <w:pPr>
                    <w:pStyle w:val="58"/>
                    <w:bidi w:val="0"/>
                    <w:rPr>
                      <w:rFonts w:hint="default"/>
                      <w:highlight w:val="none"/>
                      <w:lang w:val="en-US" w:eastAsia="zh-CN"/>
                    </w:rPr>
                  </w:pPr>
                  <w:r>
                    <w:rPr>
                      <w:rFonts w:hint="eastAsia"/>
                      <w:highlight w:val="none"/>
                      <w:lang w:val="en-US" w:eastAsia="zh-CN"/>
                    </w:rPr>
                    <w:t>10500</w:t>
                  </w:r>
                </w:p>
              </w:tc>
              <w:tc>
                <w:tcPr>
                  <w:tcW w:w="605" w:type="pct"/>
                  <w:noWrap w:val="0"/>
                  <w:vAlign w:val="center"/>
                </w:tcPr>
                <w:p>
                  <w:pPr>
                    <w:pStyle w:val="58"/>
                    <w:bidi w:val="0"/>
                    <w:rPr>
                      <w:rFonts w:hint="default"/>
                      <w:highlight w:val="none"/>
                      <w:lang w:val="en-US" w:eastAsia="zh-CN"/>
                    </w:rPr>
                  </w:pPr>
                  <w:r>
                    <w:rPr>
                      <w:rFonts w:hint="eastAsia"/>
                      <w:highlight w:val="none"/>
                      <w:lang w:val="en-US" w:eastAsia="zh-CN"/>
                    </w:rPr>
                    <w:t>/</w:t>
                  </w:r>
                </w:p>
              </w:tc>
              <w:tc>
                <w:tcPr>
                  <w:tcW w:w="629" w:type="pct"/>
                  <w:noWrap w:val="0"/>
                  <w:vAlign w:val="center"/>
                </w:tcPr>
                <w:p>
                  <w:pPr>
                    <w:pStyle w:val="58"/>
                    <w:bidi w:val="0"/>
                    <w:rPr>
                      <w:rFonts w:hint="default"/>
                      <w:highlight w:val="none"/>
                      <w:lang w:val="en-US" w:eastAsia="zh-CN"/>
                    </w:rPr>
                  </w:pPr>
                  <w:r>
                    <w:rPr>
                      <w:rFonts w:hint="eastAsia"/>
                      <w:highlight w:val="none"/>
                      <w:lang w:val="en-US" w:eastAsia="zh-CN"/>
                    </w:rPr>
                    <w:t>/</w:t>
                  </w:r>
                </w:p>
              </w:tc>
              <w:tc>
                <w:tcPr>
                  <w:tcW w:w="629" w:type="pct"/>
                  <w:noWrap w:val="0"/>
                  <w:vAlign w:val="center"/>
                </w:tcPr>
                <w:p>
                  <w:pPr>
                    <w:pStyle w:val="58"/>
                    <w:bidi w:val="0"/>
                    <w:rPr>
                      <w:rFonts w:hint="default"/>
                      <w:highlight w:val="none"/>
                      <w:lang w:val="en-US" w:eastAsia="zh-CN"/>
                    </w:rPr>
                  </w:pPr>
                  <w:r>
                    <w:rPr>
                      <w:rFonts w:hint="eastAsia"/>
                      <w:highlight w:val="none"/>
                      <w:lang w:val="en-US" w:eastAsia="zh-CN"/>
                    </w:rPr>
                    <w:t>10500</w:t>
                  </w:r>
                </w:p>
              </w:tc>
              <w:tc>
                <w:tcPr>
                  <w:tcW w:w="1905" w:type="pct"/>
                  <w:noWrap w:val="0"/>
                  <w:vAlign w:val="center"/>
                </w:tcPr>
                <w:p>
                  <w:pPr>
                    <w:pStyle w:val="58"/>
                    <w:bidi w:val="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pct"/>
                  <w:noWrap w:val="0"/>
                  <w:vAlign w:val="center"/>
                </w:tcPr>
                <w:p>
                  <w:pPr>
                    <w:pStyle w:val="58"/>
                    <w:bidi w:val="0"/>
                    <w:rPr>
                      <w:rFonts w:hint="eastAsia"/>
                      <w:highlight w:val="none"/>
                      <w:lang w:val="en-US" w:eastAsia="zh-CN"/>
                    </w:rPr>
                  </w:pPr>
                  <w:r>
                    <w:rPr>
                      <w:rFonts w:hint="eastAsia"/>
                      <w:highlight w:val="none"/>
                      <w:lang w:val="en-US" w:eastAsia="zh-CN"/>
                    </w:rPr>
                    <w:t>生活营地</w:t>
                  </w:r>
                </w:p>
              </w:tc>
              <w:tc>
                <w:tcPr>
                  <w:tcW w:w="517" w:type="pct"/>
                  <w:noWrap w:val="0"/>
                  <w:vAlign w:val="center"/>
                </w:tcPr>
                <w:p>
                  <w:pPr>
                    <w:pStyle w:val="58"/>
                    <w:bidi w:val="0"/>
                    <w:rPr>
                      <w:rFonts w:hint="default"/>
                      <w:highlight w:val="none"/>
                      <w:lang w:val="en-US" w:eastAsia="zh-CN"/>
                    </w:rPr>
                  </w:pPr>
                  <w:r>
                    <w:rPr>
                      <w:rFonts w:hint="eastAsia"/>
                      <w:highlight w:val="none"/>
                      <w:lang w:val="en-US" w:eastAsia="zh-CN"/>
                    </w:rPr>
                    <w:t>10</w:t>
                  </w:r>
                </w:p>
              </w:tc>
              <w:tc>
                <w:tcPr>
                  <w:tcW w:w="605" w:type="pct"/>
                  <w:noWrap w:val="0"/>
                  <w:vAlign w:val="center"/>
                </w:tcPr>
                <w:p>
                  <w:pPr>
                    <w:pStyle w:val="58"/>
                    <w:bidi w:val="0"/>
                    <w:rPr>
                      <w:rFonts w:hint="eastAsia"/>
                      <w:highlight w:val="none"/>
                      <w:lang w:val="en-US" w:eastAsia="zh-CN"/>
                    </w:rPr>
                  </w:pPr>
                  <w:r>
                    <w:rPr>
                      <w:rFonts w:hint="eastAsia"/>
                      <w:highlight w:val="none"/>
                      <w:lang w:val="en-US" w:eastAsia="zh-CN"/>
                    </w:rPr>
                    <w:t>/</w:t>
                  </w:r>
                </w:p>
              </w:tc>
              <w:tc>
                <w:tcPr>
                  <w:tcW w:w="629" w:type="pct"/>
                  <w:noWrap w:val="0"/>
                  <w:vAlign w:val="center"/>
                </w:tcPr>
                <w:p>
                  <w:pPr>
                    <w:pStyle w:val="58"/>
                    <w:bidi w:val="0"/>
                    <w:rPr>
                      <w:rFonts w:hint="default"/>
                      <w:highlight w:val="none"/>
                      <w:lang w:val="en-US" w:eastAsia="zh-CN"/>
                    </w:rPr>
                  </w:pPr>
                  <w:r>
                    <w:rPr>
                      <w:rFonts w:hint="eastAsia"/>
                      <w:highlight w:val="none"/>
                      <w:lang w:val="en-US" w:eastAsia="zh-CN"/>
                    </w:rPr>
                    <w:t>/</w:t>
                  </w:r>
                </w:p>
              </w:tc>
              <w:tc>
                <w:tcPr>
                  <w:tcW w:w="629" w:type="pct"/>
                  <w:noWrap w:val="0"/>
                  <w:vAlign w:val="center"/>
                </w:tcPr>
                <w:p>
                  <w:pPr>
                    <w:pStyle w:val="58"/>
                    <w:bidi w:val="0"/>
                    <w:rPr>
                      <w:rFonts w:hint="default"/>
                      <w:highlight w:val="none"/>
                      <w:lang w:val="en-US" w:eastAsia="zh-CN"/>
                    </w:rPr>
                  </w:pPr>
                  <w:r>
                    <w:rPr>
                      <w:rFonts w:hint="eastAsia"/>
                      <w:highlight w:val="none"/>
                      <w:lang w:val="en-US" w:eastAsia="zh-CN"/>
                    </w:rPr>
                    <w:t>10</w:t>
                  </w:r>
                </w:p>
              </w:tc>
              <w:tc>
                <w:tcPr>
                  <w:tcW w:w="1905" w:type="pct"/>
                  <w:noWrap w:val="0"/>
                  <w:vAlign w:val="center"/>
                </w:tcPr>
                <w:p>
                  <w:pPr>
                    <w:pStyle w:val="58"/>
                    <w:bidi w:val="0"/>
                    <w:rPr>
                      <w:rFonts w:hint="default" w:eastAsia="宋体"/>
                      <w:lang w:val="en-US" w:eastAsia="zh-CN"/>
                    </w:rPr>
                  </w:pPr>
                  <w:r>
                    <w:rPr>
                      <w:rFonts w:hint="eastAsia"/>
                      <w:lang w:val="en-US" w:eastAsia="zh-CN"/>
                    </w:rPr>
                    <w:t>用于场地平整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3" w:type="pct"/>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eastAsia"/>
                      <w:lang w:val="en-US" w:eastAsia="zh-CN"/>
                    </w:rPr>
                    <w:t>槽探</w:t>
                  </w:r>
                </w:p>
              </w:tc>
              <w:tc>
                <w:tcPr>
                  <w:tcW w:w="517"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lang w:val="en-US" w:eastAsia="zh-CN"/>
                    </w:rPr>
                    <w:t>5000</w:t>
                  </w:r>
                </w:p>
              </w:tc>
              <w:tc>
                <w:tcPr>
                  <w:tcW w:w="605"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4970</w:t>
                  </w:r>
                </w:p>
              </w:tc>
              <w:tc>
                <w:tcPr>
                  <w:tcW w:w="629" w:type="pct"/>
                  <w:noWrap w:val="0"/>
                  <w:vAlign w:val="center"/>
                </w:tcPr>
                <w:p>
                  <w:pPr>
                    <w:pStyle w:val="58"/>
                    <w:bidi w:val="0"/>
                    <w:rPr>
                      <w:rFonts w:hint="default"/>
                      <w:lang w:val="en-US" w:eastAsia="zh-CN"/>
                    </w:rPr>
                  </w:pPr>
                  <w:r>
                    <w:rPr>
                      <w:rFonts w:hint="eastAsia"/>
                      <w:lang w:val="en-US" w:eastAsia="zh-CN"/>
                    </w:rPr>
                    <w:t>30</w:t>
                  </w:r>
                </w:p>
              </w:tc>
              <w:tc>
                <w:tcPr>
                  <w:tcW w:w="629"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lang w:val="en-US" w:eastAsia="zh-CN"/>
                    </w:rPr>
                    <w:t>/</w:t>
                  </w:r>
                </w:p>
              </w:tc>
              <w:tc>
                <w:tcPr>
                  <w:tcW w:w="1905" w:type="pct"/>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eastAsia"/>
                      <w:lang w:val="en-US" w:eastAsia="zh-CN"/>
                    </w:rPr>
                    <w:t>采集的样品带回实验室分析，其余土石方回填至探槽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3"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钻探岩心</w:t>
                  </w:r>
                </w:p>
              </w:tc>
              <w:tc>
                <w:tcPr>
                  <w:tcW w:w="517"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20.63</w:t>
                  </w:r>
                </w:p>
              </w:tc>
              <w:tc>
                <w:tcPr>
                  <w:tcW w:w="60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629" w:type="pct"/>
                  <w:shd w:val="clear" w:color="auto" w:fill="auto"/>
                  <w:noWrap w:val="0"/>
                  <w:vAlign w:val="center"/>
                </w:tcPr>
                <w:p>
                  <w:pPr>
                    <w:pStyle w:val="58"/>
                    <w:bidi w:val="0"/>
                    <w:rPr>
                      <w:rFonts w:hint="default" w:cs="Times New Roman"/>
                      <w:kern w:val="2"/>
                      <w:sz w:val="21"/>
                      <w:szCs w:val="21"/>
                      <w:lang w:val="en-US" w:eastAsia="zh-CN" w:bidi="ar-SA"/>
                    </w:rPr>
                  </w:pPr>
                  <w:r>
                    <w:rPr>
                      <w:rFonts w:hint="eastAsia" w:cs="Times New Roman"/>
                      <w:kern w:val="2"/>
                      <w:sz w:val="21"/>
                      <w:szCs w:val="21"/>
                      <w:lang w:val="en-US" w:eastAsia="zh-CN" w:bidi="ar-SA"/>
                    </w:rPr>
                    <w:t>20.63</w:t>
                  </w:r>
                </w:p>
              </w:tc>
              <w:tc>
                <w:tcPr>
                  <w:tcW w:w="6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90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岩心全部带回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3"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t>总计</w:t>
                  </w:r>
                </w:p>
              </w:tc>
              <w:tc>
                <w:tcPr>
                  <w:tcW w:w="517"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15530.63</w:t>
                  </w:r>
                </w:p>
              </w:tc>
              <w:tc>
                <w:tcPr>
                  <w:tcW w:w="60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4970</w:t>
                  </w:r>
                </w:p>
              </w:tc>
              <w:tc>
                <w:tcPr>
                  <w:tcW w:w="6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50.63</w:t>
                  </w:r>
                </w:p>
              </w:tc>
              <w:tc>
                <w:tcPr>
                  <w:tcW w:w="6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10510</w:t>
                  </w:r>
                </w:p>
              </w:tc>
              <w:tc>
                <w:tcPr>
                  <w:tcW w:w="1905" w:type="pct"/>
                  <w:shd w:val="clear" w:color="auto" w:fill="auto"/>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eastAsia"/>
                      <w:lang w:val="en-US" w:eastAsia="zh-CN"/>
                    </w:rPr>
                    <w:t>/</w:t>
                  </w:r>
                </w:p>
              </w:tc>
            </w:tr>
          </w:tbl>
          <w:p>
            <w:pPr>
              <w:pStyle w:val="48"/>
              <w:bidi w:val="0"/>
              <w:rPr>
                <w:rFonts w:hint="default"/>
                <w:lang w:val="en-US" w:eastAsia="zh-CN"/>
              </w:rPr>
            </w:pPr>
            <w:r>
              <w:rPr>
                <w:rFonts w:hint="default"/>
                <w:lang w:val="en-US" w:eastAsia="zh-CN"/>
              </w:rPr>
              <w:t>根据上表可知，本工程</w:t>
            </w:r>
            <w:r>
              <w:rPr>
                <w:rFonts w:hint="eastAsia"/>
                <w:lang w:val="en-US" w:eastAsia="zh-CN"/>
              </w:rPr>
              <w:t>挖方</w:t>
            </w:r>
            <w:r>
              <w:rPr>
                <w:rFonts w:hint="default"/>
                <w:lang w:val="en-US" w:eastAsia="zh-CN"/>
              </w:rPr>
              <w:t>全部综合利用</w:t>
            </w:r>
            <w:r>
              <w:rPr>
                <w:rFonts w:hint="eastAsia"/>
                <w:lang w:val="en-US" w:eastAsia="zh-CN"/>
              </w:rPr>
              <w:t>，无永久弃方产生</w:t>
            </w: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1" w:hRule="atLeast"/>
          <w:jc w:val="center"/>
        </w:trPr>
        <w:tc>
          <w:tcPr>
            <w:tcW w:w="675" w:type="dxa"/>
            <w:noWrap w:val="0"/>
            <w:vAlign w:val="center"/>
          </w:tcPr>
          <w:p>
            <w:pPr>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其他</w:t>
            </w:r>
          </w:p>
        </w:tc>
        <w:tc>
          <w:tcPr>
            <w:tcW w:w="7847" w:type="dxa"/>
            <w:noWrap w:val="0"/>
            <w:vAlign w:val="center"/>
          </w:tcPr>
          <w:p>
            <w:pPr>
              <w:pStyle w:val="48"/>
              <w:bidi w:val="0"/>
              <w:jc w:val="center"/>
              <w:rPr>
                <w:rFonts w:hint="default"/>
                <w:lang w:val="en-US" w:eastAsia="zh-CN"/>
              </w:rPr>
            </w:pPr>
            <w:r>
              <w:rPr>
                <w:rFonts w:hint="eastAsia"/>
                <w:lang w:val="en-US" w:eastAsia="zh-CN"/>
              </w:rPr>
              <w:t>无</w:t>
            </w:r>
          </w:p>
        </w:tc>
      </w:tr>
    </w:tbl>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eastAsia="仿宋_GB2312"/>
          <w:b/>
          <w:bCs/>
        </w:rPr>
        <w:br w:type="page"/>
      </w:r>
      <w:r>
        <w:rPr>
          <w:rFonts w:hint="eastAsia" w:ascii="黑体" w:hAnsi="黑体" w:eastAsia="黑体"/>
          <w:snapToGrid w:val="0"/>
          <w:sz w:val="30"/>
          <w:szCs w:val="30"/>
        </w:rPr>
        <w:t>三、生态环境现状、保护目标及评价标准</w:t>
      </w:r>
    </w:p>
    <w:tbl>
      <w:tblPr>
        <w:tblStyle w:val="23"/>
        <w:tblW w:w="88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1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生态环境现状</w:t>
            </w:r>
          </w:p>
        </w:tc>
        <w:tc>
          <w:tcPr>
            <w:tcW w:w="8139" w:type="dxa"/>
            <w:noWrap w:val="0"/>
            <w:vAlign w:val="center"/>
          </w:tcPr>
          <w:p>
            <w:pPr>
              <w:pStyle w:val="50"/>
              <w:bidi w:val="0"/>
              <w:rPr>
                <w:rFonts w:hint="eastAsia"/>
                <w:lang w:val="en-US" w:eastAsia="zh-CN"/>
              </w:rPr>
            </w:pPr>
            <w:r>
              <w:rPr>
                <w:rFonts w:hint="eastAsia"/>
                <w:lang w:val="en-US" w:eastAsia="zh-CN"/>
              </w:rPr>
              <w:t>1.生态环境</w:t>
            </w:r>
          </w:p>
          <w:p>
            <w:pPr>
              <w:pStyle w:val="48"/>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（1）</w:t>
            </w:r>
            <w:r>
              <w:rPr>
                <w:rFonts w:hint="eastAsia"/>
                <w:lang w:val="en-US" w:eastAsia="zh-CN"/>
              </w:rPr>
              <w:t>主体功能区规划</w:t>
            </w:r>
          </w:p>
          <w:p>
            <w:pPr>
              <w:pStyle w:val="48"/>
              <w:bidi w:val="0"/>
              <w:rPr>
                <w:rFonts w:hint="default"/>
                <w:lang w:val="en-US" w:eastAsia="zh-CN"/>
              </w:rPr>
            </w:pPr>
            <w:r>
              <w:rPr>
                <w:rFonts w:hint="eastAsia"/>
                <w:lang w:val="en-US" w:eastAsia="zh-CN"/>
              </w:rPr>
              <w:t>根据</w:t>
            </w:r>
            <w:r>
              <w:rPr>
                <w:rFonts w:hint="default"/>
              </w:rPr>
              <w:t>《新疆维吾尔自治区主体功能区规划》</w:t>
            </w:r>
            <w:r>
              <w:rPr>
                <w:rFonts w:hint="eastAsia"/>
                <w:lang w:eastAsia="zh-CN"/>
              </w:rPr>
              <w:t>，</w:t>
            </w:r>
            <w:r>
              <w:rPr>
                <w:rFonts w:hint="default"/>
              </w:rPr>
              <w:t>评价区属</w:t>
            </w:r>
            <w:r>
              <w:rPr>
                <w:rFonts w:hint="eastAsia"/>
                <w:lang w:eastAsia="zh-CN"/>
              </w:rPr>
              <w:t>“</w:t>
            </w:r>
            <w:r>
              <w:rPr>
                <w:rFonts w:hint="default"/>
                <w:lang w:val="en-US" w:eastAsia="zh-CN"/>
              </w:rPr>
              <w:t>阿尔金草原荒漠化防治生态功能区</w:t>
            </w:r>
            <w:r>
              <w:rPr>
                <w:rFonts w:hint="eastAsia"/>
                <w:lang w:eastAsia="zh-CN"/>
              </w:rPr>
              <w:t>”</w:t>
            </w:r>
            <w:r>
              <w:rPr>
                <w:rFonts w:hint="default"/>
              </w:rPr>
              <w:t>，</w:t>
            </w:r>
            <w:r>
              <w:rPr>
                <w:rFonts w:hint="default"/>
                <w:lang w:val="en-US" w:eastAsia="zh-CN"/>
              </w:rPr>
              <w:t>该功能区发展方向见下表。</w:t>
            </w:r>
          </w:p>
          <w:p>
            <w:pPr>
              <w:pStyle w:val="52"/>
              <w:bidi w:val="0"/>
              <w:rPr>
                <w:rFonts w:hint="default"/>
              </w:rPr>
            </w:pPr>
            <w:r>
              <w:rPr>
                <w:rFonts w:hint="eastAsia"/>
                <w:lang w:val="en-US" w:eastAsia="zh-CN"/>
              </w:rPr>
              <w:t xml:space="preserve">表3-1    </w:t>
            </w:r>
            <w:r>
              <w:rPr>
                <w:rFonts w:hint="default"/>
                <w:lang w:val="en-US" w:eastAsia="zh-CN"/>
              </w:rPr>
              <w:t>主体功能区的类型和发展方向</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2"/>
              <w:gridCol w:w="3731"/>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714" w:type="pct"/>
                  <w:noWrap w:val="0"/>
                  <w:vAlign w:val="center"/>
                </w:tcPr>
                <w:p>
                  <w:pPr>
                    <w:pStyle w:val="58"/>
                    <w:bidi w:val="0"/>
                    <w:rPr>
                      <w:rFonts w:hint="default"/>
                      <w:lang w:eastAsia="zh-CN"/>
                    </w:rPr>
                  </w:pPr>
                  <w:r>
                    <w:rPr>
                      <w:rFonts w:hint="default"/>
                      <w:lang w:eastAsia="zh-CN"/>
                    </w:rPr>
                    <w:t>名称</w:t>
                  </w:r>
                </w:p>
              </w:tc>
              <w:tc>
                <w:tcPr>
                  <w:tcW w:w="709" w:type="pct"/>
                  <w:noWrap w:val="0"/>
                  <w:vAlign w:val="center"/>
                </w:tcPr>
                <w:p>
                  <w:pPr>
                    <w:pStyle w:val="58"/>
                    <w:bidi w:val="0"/>
                    <w:rPr>
                      <w:rFonts w:hint="default"/>
                      <w:lang w:eastAsia="zh-CN"/>
                    </w:rPr>
                  </w:pPr>
                  <w:r>
                    <w:rPr>
                      <w:rFonts w:hint="default"/>
                      <w:lang w:eastAsia="zh-CN"/>
                    </w:rPr>
                    <w:t>类型</w:t>
                  </w:r>
                </w:p>
              </w:tc>
              <w:tc>
                <w:tcPr>
                  <w:tcW w:w="2358" w:type="pct"/>
                  <w:noWrap w:val="0"/>
                  <w:vAlign w:val="center"/>
                </w:tcPr>
                <w:p>
                  <w:pPr>
                    <w:pStyle w:val="58"/>
                    <w:bidi w:val="0"/>
                    <w:rPr>
                      <w:rFonts w:hint="default"/>
                      <w:lang w:eastAsia="zh-CN"/>
                    </w:rPr>
                  </w:pPr>
                  <w:r>
                    <w:rPr>
                      <w:rFonts w:hint="default"/>
                      <w:lang w:eastAsia="zh-CN"/>
                    </w:rPr>
                    <w:t>综合评价</w:t>
                  </w:r>
                </w:p>
              </w:tc>
              <w:tc>
                <w:tcPr>
                  <w:tcW w:w="1217" w:type="pct"/>
                  <w:noWrap w:val="0"/>
                  <w:vAlign w:val="center"/>
                </w:tcPr>
                <w:p>
                  <w:pPr>
                    <w:pStyle w:val="58"/>
                    <w:bidi w:val="0"/>
                    <w:rPr>
                      <w:rFonts w:hint="default"/>
                      <w:lang w:eastAsia="zh-CN"/>
                    </w:rPr>
                  </w:pPr>
                  <w:r>
                    <w:rPr>
                      <w:rFonts w:hint="default"/>
                      <w:lang w:eastAsia="zh-CN"/>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14" w:type="pct"/>
                  <w:noWrap w:val="0"/>
                  <w:vAlign w:val="center"/>
                </w:tcPr>
                <w:p>
                  <w:pPr>
                    <w:pStyle w:val="58"/>
                    <w:bidi w:val="0"/>
                    <w:rPr>
                      <w:rFonts w:hint="default"/>
                    </w:rPr>
                  </w:pPr>
                  <w:r>
                    <w:rPr>
                      <w:rFonts w:hint="default"/>
                      <w:lang w:val="en-US" w:eastAsia="zh-CN"/>
                    </w:rPr>
                    <w:t>阿尔金草原荒漠化</w:t>
                  </w:r>
                  <w:r>
                    <w:rPr>
                      <w:rFonts w:hint="eastAsia"/>
                      <w:lang w:val="en-US" w:eastAsia="zh-CN"/>
                    </w:rPr>
                    <w:t>防治</w:t>
                  </w:r>
                  <w:r>
                    <w:rPr>
                      <w:rFonts w:hint="default"/>
                      <w:lang w:val="en-US" w:eastAsia="zh-CN"/>
                    </w:rPr>
                    <w:t>生态</w:t>
                  </w:r>
                  <w:r>
                    <w:rPr>
                      <w:rFonts w:hint="eastAsia"/>
                      <w:lang w:val="en-US" w:eastAsia="zh-CN"/>
                    </w:rPr>
                    <w:t>功能</w:t>
                  </w:r>
                  <w:r>
                    <w:rPr>
                      <w:rFonts w:hint="default"/>
                      <w:lang w:val="en-US" w:eastAsia="zh-CN"/>
                    </w:rPr>
                    <w:t>区</w:t>
                  </w:r>
                </w:p>
              </w:tc>
              <w:tc>
                <w:tcPr>
                  <w:tcW w:w="709" w:type="pct"/>
                  <w:noWrap w:val="0"/>
                  <w:vAlign w:val="center"/>
                </w:tcPr>
                <w:p>
                  <w:pPr>
                    <w:pStyle w:val="58"/>
                    <w:bidi w:val="0"/>
                    <w:rPr>
                      <w:rFonts w:hint="default"/>
                    </w:rPr>
                  </w:pPr>
                  <w:r>
                    <w:rPr>
                      <w:rFonts w:hint="default"/>
                      <w:lang w:val="en-US" w:eastAsia="zh-CN"/>
                    </w:rPr>
                    <w:t>防风固沙</w:t>
                  </w:r>
                </w:p>
              </w:tc>
              <w:tc>
                <w:tcPr>
                  <w:tcW w:w="2358" w:type="pct"/>
                  <w:noWrap w:val="0"/>
                  <w:vAlign w:val="center"/>
                </w:tcPr>
                <w:p>
                  <w:pPr>
                    <w:pStyle w:val="58"/>
                    <w:bidi w:val="0"/>
                    <w:jc w:val="both"/>
                    <w:rPr>
                      <w:rFonts w:hint="default"/>
                    </w:rPr>
                  </w:pPr>
                  <w:r>
                    <w:rPr>
                      <w:rFonts w:hint="default"/>
                      <w:lang w:val="en-US" w:eastAsia="zh-CN"/>
                    </w:rPr>
                    <w:t>气候极为干旱，地表植被稀少，保存着完整的高原自然生态系统，拥有许多极为珍贵的特有物种，土地沙漠化敏感程度极高。目前鼠害肆虐，土地荒漠化加剧，珍稀动植物的生存受到威胁。</w:t>
                  </w:r>
                </w:p>
              </w:tc>
              <w:tc>
                <w:tcPr>
                  <w:tcW w:w="1217" w:type="pct"/>
                  <w:noWrap w:val="0"/>
                  <w:vAlign w:val="center"/>
                </w:tcPr>
                <w:p>
                  <w:pPr>
                    <w:pStyle w:val="58"/>
                    <w:bidi w:val="0"/>
                    <w:rPr>
                      <w:rFonts w:hint="default"/>
                    </w:rPr>
                  </w:pPr>
                  <w:r>
                    <w:rPr>
                      <w:rFonts w:hint="default"/>
                      <w:lang w:val="en-US" w:eastAsia="zh-CN"/>
                    </w:rPr>
                    <w:t>控制放牧和旅游区范围，防范盗猎，减少</w:t>
                  </w:r>
                  <w:r>
                    <w:rPr>
                      <w:rFonts w:hint="eastAsia"/>
                      <w:lang w:val="en-US" w:eastAsia="zh-CN"/>
                    </w:rPr>
                    <w:t>人</w:t>
                  </w:r>
                  <w:r>
                    <w:rPr>
                      <w:rFonts w:hint="default"/>
                      <w:lang w:val="en-US" w:eastAsia="zh-CN"/>
                    </w:rPr>
                    <w:t>类活动干扰。</w:t>
                  </w:r>
                </w:p>
              </w:tc>
            </w:tr>
          </w:tbl>
          <w:p>
            <w:pPr>
              <w:pStyle w:val="48"/>
              <w:bidi w:val="0"/>
              <w:rPr>
                <w:rFonts w:hint="eastAsia" w:ascii="Times New Roman" w:hAnsi="Times New Roman"/>
              </w:rPr>
            </w:pPr>
            <w:r>
              <w:rPr>
                <w:rFonts w:hint="eastAsia" w:ascii="Times New Roman" w:hAnsi="Times New Roman"/>
                <w:lang w:val="en-US" w:eastAsia="zh-CN"/>
              </w:rPr>
              <w:t>（2）</w:t>
            </w:r>
            <w:r>
              <w:rPr>
                <w:rFonts w:hint="eastAsia" w:ascii="Times New Roman" w:hAnsi="Times New Roman"/>
              </w:rPr>
              <w:t>生态功能区划</w:t>
            </w:r>
          </w:p>
          <w:p>
            <w:pPr>
              <w:pStyle w:val="48"/>
              <w:bidi w:val="0"/>
              <w:rPr>
                <w:rFonts w:hint="eastAsia" w:ascii="Times New Roman" w:hAnsi="Times New Roman"/>
              </w:rPr>
            </w:pPr>
            <w:r>
              <w:rPr>
                <w:rFonts w:hint="eastAsia" w:ascii="Times New Roman" w:hAnsi="Times New Roman"/>
              </w:rPr>
              <w:t>根据《新疆生态功能区划》，评价区属</w:t>
            </w:r>
            <w:r>
              <w:rPr>
                <w:rFonts w:hint="eastAsia" w:ascii="Times New Roman" w:hAnsi="Times New Roman"/>
                <w:lang w:val="en-US" w:eastAsia="zh-CN"/>
              </w:rPr>
              <w:t>“</w:t>
            </w:r>
            <w:r>
              <w:rPr>
                <w:rFonts w:hint="eastAsia" w:ascii="Times New Roman" w:hAnsi="Times New Roman"/>
              </w:rPr>
              <w:t>中昆仑山高寒荒漠草原保护生态功能区</w:t>
            </w:r>
            <w:r>
              <w:rPr>
                <w:rFonts w:hint="eastAsia" w:ascii="Times New Roman" w:hAnsi="Times New Roman"/>
                <w:lang w:val="en-US" w:eastAsia="zh-CN"/>
              </w:rPr>
              <w:t>”</w:t>
            </w:r>
            <w:r>
              <w:rPr>
                <w:rFonts w:hint="eastAsia"/>
                <w:lang w:eastAsia="zh-CN"/>
              </w:rPr>
              <w:t>，</w:t>
            </w:r>
            <w:r>
              <w:rPr>
                <w:rFonts w:hint="eastAsia" w:ascii="Times New Roman" w:hAnsi="Times New Roman"/>
              </w:rPr>
              <w:t>项目区生态功能区划见表3-</w:t>
            </w:r>
            <w:r>
              <w:rPr>
                <w:rFonts w:hint="eastAsia" w:ascii="Times New Roman" w:hAnsi="Times New Roman"/>
                <w:lang w:val="en-US" w:eastAsia="zh-CN"/>
              </w:rPr>
              <w:t>2</w:t>
            </w:r>
            <w:r>
              <w:rPr>
                <w:rFonts w:hint="eastAsia" w:ascii="Times New Roman" w:hAnsi="Times New Roman"/>
              </w:rPr>
              <w:t>。</w:t>
            </w:r>
          </w:p>
          <w:p>
            <w:pPr>
              <w:pStyle w:val="52"/>
              <w:bidi w:val="0"/>
            </w:pPr>
            <w:r>
              <w:rPr>
                <w:rFonts w:hint="eastAsia"/>
              </w:rPr>
              <w:t>表3-</w:t>
            </w:r>
            <w:r>
              <w:rPr>
                <w:rFonts w:hint="eastAsia"/>
                <w:lang w:val="en-US" w:eastAsia="zh-CN"/>
              </w:rPr>
              <w:t xml:space="preserve">2    </w:t>
            </w:r>
            <w:r>
              <w:rPr>
                <w:rFonts w:hint="eastAsia"/>
              </w:rPr>
              <w:t>生态功能区划</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45"/>
              <w:gridCol w:w="1690"/>
              <w:gridCol w:w="1108"/>
              <w:gridCol w:w="11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93" w:type="pct"/>
                  <w:noWrap w:val="0"/>
                  <w:vAlign w:val="center"/>
                </w:tcPr>
                <w:p>
                  <w:pPr>
                    <w:pStyle w:val="54"/>
                    <w:bidi w:val="0"/>
                  </w:pPr>
                  <w:r>
                    <w:rPr>
                      <w:rFonts w:hint="eastAsia"/>
                    </w:rPr>
                    <w:t>生态功能分区</w:t>
                  </w:r>
                </w:p>
              </w:tc>
              <w:tc>
                <w:tcPr>
                  <w:tcW w:w="723" w:type="pct"/>
                  <w:noWrap w:val="0"/>
                  <w:vAlign w:val="center"/>
                </w:tcPr>
                <w:p>
                  <w:pPr>
                    <w:pStyle w:val="54"/>
                    <w:bidi w:val="0"/>
                  </w:pPr>
                  <w:r>
                    <w:rPr>
                      <w:rFonts w:hint="eastAsia"/>
                    </w:rPr>
                    <w:t>主要生态服务功能</w:t>
                  </w:r>
                </w:p>
              </w:tc>
              <w:tc>
                <w:tcPr>
                  <w:tcW w:w="1068" w:type="pct"/>
                  <w:noWrap w:val="0"/>
                  <w:vAlign w:val="center"/>
                </w:tcPr>
                <w:p>
                  <w:pPr>
                    <w:pStyle w:val="54"/>
                    <w:bidi w:val="0"/>
                  </w:pPr>
                  <w:r>
                    <w:rPr>
                      <w:rFonts w:hint="eastAsia"/>
                    </w:rPr>
                    <w:t>主要生态问题</w:t>
                  </w:r>
                </w:p>
              </w:tc>
              <w:tc>
                <w:tcPr>
                  <w:tcW w:w="700" w:type="pct"/>
                  <w:noWrap w:val="0"/>
                  <w:vAlign w:val="center"/>
                </w:tcPr>
                <w:p>
                  <w:pPr>
                    <w:pStyle w:val="54"/>
                    <w:bidi w:val="0"/>
                  </w:pPr>
                  <w:r>
                    <w:rPr>
                      <w:rFonts w:hint="eastAsia"/>
                    </w:rPr>
                    <w:t>主要生态</w:t>
                  </w:r>
                </w:p>
                <w:p>
                  <w:pPr>
                    <w:pStyle w:val="54"/>
                    <w:bidi w:val="0"/>
                  </w:pPr>
                  <w:r>
                    <w:rPr>
                      <w:rFonts w:hint="eastAsia"/>
                    </w:rPr>
                    <w:t>敏感因子</w:t>
                  </w:r>
                </w:p>
              </w:tc>
              <w:tc>
                <w:tcPr>
                  <w:tcW w:w="733" w:type="pct"/>
                  <w:noWrap w:val="0"/>
                  <w:vAlign w:val="center"/>
                </w:tcPr>
                <w:p>
                  <w:pPr>
                    <w:pStyle w:val="54"/>
                    <w:bidi w:val="0"/>
                  </w:pPr>
                  <w:r>
                    <w:rPr>
                      <w:rFonts w:hint="eastAsia"/>
                    </w:rPr>
                    <w:t>保护目标</w:t>
                  </w:r>
                </w:p>
              </w:tc>
              <w:tc>
                <w:tcPr>
                  <w:tcW w:w="880" w:type="pct"/>
                  <w:noWrap w:val="0"/>
                  <w:vAlign w:val="center"/>
                </w:tcPr>
                <w:p>
                  <w:pPr>
                    <w:pStyle w:val="54"/>
                    <w:bidi w:val="0"/>
                  </w:pPr>
                  <w:r>
                    <w:rPr>
                      <w:rFonts w:hint="eastAsia"/>
                    </w:rPr>
                    <w:t>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93" w:type="pct"/>
                  <w:noWrap w:val="0"/>
                  <w:vAlign w:val="center"/>
                </w:tcPr>
                <w:p>
                  <w:pPr>
                    <w:pStyle w:val="54"/>
                    <w:bidi w:val="0"/>
                    <w:rPr>
                      <w:rFonts w:hint="eastAsia"/>
                    </w:rPr>
                  </w:pPr>
                  <w:r>
                    <w:rPr>
                      <w:rFonts w:hint="eastAsia"/>
                    </w:rPr>
                    <w:t>74．中昆仑山高寒荒漠草原保护生态功能区</w:t>
                  </w:r>
                </w:p>
              </w:tc>
              <w:tc>
                <w:tcPr>
                  <w:tcW w:w="723" w:type="pct"/>
                  <w:noWrap w:val="0"/>
                  <w:vAlign w:val="center"/>
                </w:tcPr>
                <w:p>
                  <w:pPr>
                    <w:pStyle w:val="54"/>
                    <w:bidi w:val="0"/>
                    <w:rPr>
                      <w:rFonts w:hint="eastAsia"/>
                    </w:rPr>
                  </w:pPr>
                  <w:r>
                    <w:rPr>
                      <w:rFonts w:hint="eastAsia"/>
                    </w:rPr>
                    <w:t>土壤保持、生物多样性维护</w:t>
                  </w:r>
                </w:p>
              </w:tc>
              <w:tc>
                <w:tcPr>
                  <w:tcW w:w="1068" w:type="pct"/>
                  <w:noWrap w:val="0"/>
                  <w:vAlign w:val="center"/>
                </w:tcPr>
                <w:p>
                  <w:pPr>
                    <w:pStyle w:val="54"/>
                    <w:bidi w:val="0"/>
                    <w:rPr>
                      <w:rFonts w:hint="eastAsia"/>
                    </w:rPr>
                  </w:pPr>
                  <w:r>
                    <w:rPr>
                      <w:rFonts w:hint="eastAsia"/>
                    </w:rPr>
                    <w:t>草原过牧退化、草场虫害鼠害严重、人畜饮用水缺乏、樵采破坏山地草场</w:t>
                  </w:r>
                </w:p>
              </w:tc>
              <w:tc>
                <w:tcPr>
                  <w:tcW w:w="700" w:type="pct"/>
                  <w:noWrap w:val="0"/>
                  <w:vAlign w:val="center"/>
                </w:tcPr>
                <w:p>
                  <w:pPr>
                    <w:pStyle w:val="54"/>
                    <w:bidi w:val="0"/>
                    <w:rPr>
                      <w:rFonts w:hint="eastAsia"/>
                    </w:rPr>
                  </w:pPr>
                  <w:r>
                    <w:rPr>
                      <w:rFonts w:hint="eastAsia"/>
                    </w:rPr>
                    <w:t>生物多样性及其生境高度敏感</w:t>
                  </w:r>
                </w:p>
              </w:tc>
              <w:tc>
                <w:tcPr>
                  <w:tcW w:w="733" w:type="pct"/>
                  <w:noWrap w:val="0"/>
                  <w:vAlign w:val="center"/>
                </w:tcPr>
                <w:p>
                  <w:pPr>
                    <w:pStyle w:val="54"/>
                    <w:bidi w:val="0"/>
                    <w:rPr>
                      <w:rFonts w:hint="eastAsia"/>
                    </w:rPr>
                  </w:pPr>
                  <w:r>
                    <w:rPr>
                      <w:rFonts w:hint="eastAsia"/>
                    </w:rPr>
                    <w:t>保护草地植被、保护野生动物</w:t>
                  </w:r>
                </w:p>
              </w:tc>
              <w:tc>
                <w:tcPr>
                  <w:tcW w:w="880" w:type="pct"/>
                  <w:noWrap w:val="0"/>
                  <w:vAlign w:val="center"/>
                </w:tcPr>
                <w:p>
                  <w:pPr>
                    <w:pStyle w:val="54"/>
                    <w:bidi w:val="0"/>
                    <w:rPr>
                      <w:rFonts w:hint="eastAsia"/>
                    </w:rPr>
                  </w:pPr>
                  <w:r>
                    <w:rPr>
                      <w:rFonts w:hint="eastAsia"/>
                    </w:rPr>
                    <w:t>高寒草场退牧、对牧民实行生态搬迁</w:t>
                  </w:r>
                </w:p>
              </w:tc>
            </w:tr>
          </w:tbl>
          <w:p>
            <w:pPr>
              <w:pStyle w:val="48"/>
              <w:numPr>
                <w:ilvl w:val="0"/>
                <w:numId w:val="0"/>
              </w:numPr>
              <w:bidi w:val="0"/>
              <w:ind w:leftChars="200"/>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（3）生态环境现状调查</w:t>
            </w:r>
          </w:p>
          <w:p>
            <w:pPr>
              <w:pStyle w:val="48"/>
              <w:bidi w:val="0"/>
              <w:rPr>
                <w:rFonts w:hint="eastAsia" w:ascii="Times New Roman" w:hAnsi="Times New Roman" w:eastAsia="宋体" w:cs="Arial"/>
                <w:sz w:val="24"/>
                <w:highlight w:val="none"/>
                <w:lang w:val="en-US" w:eastAsia="zh-CN"/>
              </w:rPr>
            </w:pPr>
            <w:r>
              <w:rPr>
                <w:rFonts w:hint="eastAsia" w:ascii="宋体" w:hAnsi="宋体" w:eastAsia="宋体" w:cs="宋体"/>
                <w:sz w:val="24"/>
                <w:highlight w:val="none"/>
              </w:rPr>
              <w:t>①</w:t>
            </w:r>
            <w:r>
              <w:rPr>
                <w:rFonts w:hint="eastAsia"/>
                <w:sz w:val="24"/>
                <w:highlight w:val="none"/>
              </w:rPr>
              <w:t>植被类型及</w:t>
            </w:r>
            <w:r>
              <w:rPr>
                <w:rFonts w:hint="eastAsia" w:ascii="Times New Roman" w:hAnsi="Times New Roman" w:eastAsia="宋体" w:cs="Arial"/>
                <w:sz w:val="24"/>
                <w:highlight w:val="none"/>
                <w:lang w:val="en-US" w:eastAsia="zh-CN"/>
              </w:rPr>
              <w:t>主要植物群落及其特征</w:t>
            </w:r>
          </w:p>
          <w:p>
            <w:pPr>
              <w:pStyle w:val="48"/>
              <w:bidi w:val="0"/>
              <w:rPr>
                <w:rFonts w:hint="default"/>
                <w:lang w:val="en-US" w:eastAsia="zh-CN"/>
              </w:rPr>
            </w:pPr>
            <w:r>
              <w:rPr>
                <w:rFonts w:hint="eastAsia"/>
                <w:lang w:val="en-US" w:eastAsia="zh-CN"/>
              </w:rPr>
              <w:t>经现场调查，</w:t>
            </w:r>
            <w:r>
              <w:rPr>
                <w:rFonts w:hint="eastAsia"/>
              </w:rPr>
              <w:t>项目区</w:t>
            </w:r>
            <w:r>
              <w:rPr>
                <w:rFonts w:hint="eastAsia"/>
                <w:lang w:val="en-US" w:eastAsia="zh-CN"/>
              </w:rPr>
              <w:t>部分区域为草地，群落稀疏，植被类型简单</w:t>
            </w:r>
            <w:r>
              <w:rPr>
                <w:rFonts w:hint="eastAsia"/>
                <w:lang w:eastAsia="zh-CN"/>
              </w:rPr>
              <w:t>。</w:t>
            </w:r>
            <w:r>
              <w:rPr>
                <w:rFonts w:hint="eastAsia"/>
              </w:rPr>
              <w:t>评价区常见的</w:t>
            </w:r>
            <w:r>
              <w:rPr>
                <w:rFonts w:hint="eastAsia"/>
                <w:lang w:eastAsia="zh-CN"/>
              </w:rPr>
              <w:t>植物</w:t>
            </w:r>
            <w:r>
              <w:rPr>
                <w:rFonts w:hint="eastAsia"/>
              </w:rPr>
              <w:t>名录见下表。</w:t>
            </w:r>
          </w:p>
          <w:p>
            <w:pPr>
              <w:pStyle w:val="52"/>
              <w:bidi w:val="0"/>
              <w:rPr>
                <w:rFonts w:hint="default"/>
                <w:lang w:val="en-US" w:eastAsia="zh-CN"/>
              </w:rPr>
            </w:pPr>
            <w:r>
              <w:rPr>
                <w:rFonts w:hint="default"/>
                <w:lang w:val="en-US" w:eastAsia="zh-CN"/>
              </w:rPr>
              <w:t xml:space="preserve">表3-3  </w:t>
            </w:r>
            <w:r>
              <w:rPr>
                <w:rFonts w:hint="eastAsia"/>
                <w:lang w:val="en-US" w:eastAsia="zh-CN"/>
              </w:rPr>
              <w:t xml:space="preserve"> </w:t>
            </w:r>
            <w:r>
              <w:rPr>
                <w:rFonts w:hint="default"/>
                <w:lang w:val="en-US" w:eastAsia="zh-CN"/>
              </w:rPr>
              <w:t xml:space="preserve"> 评价区内</w:t>
            </w:r>
            <w:r>
              <w:rPr>
                <w:rFonts w:hint="eastAsia"/>
                <w:lang w:val="en-US" w:eastAsia="zh-CN"/>
              </w:rPr>
              <w:t>主要</w:t>
            </w:r>
            <w:r>
              <w:rPr>
                <w:rFonts w:hint="default"/>
                <w:lang w:val="en-US" w:eastAsia="zh-CN"/>
              </w:rPr>
              <w:t>植物名录</w:t>
            </w:r>
          </w:p>
          <w:tbl>
            <w:tblPr>
              <w:tblStyle w:val="24"/>
              <w:tblW w:w="4962"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62"/>
              <w:gridCol w:w="2088"/>
              <w:gridCol w:w="384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pct"/>
                  <w:noWrap w:val="0"/>
                  <w:vAlign w:val="center"/>
                </w:tcPr>
                <w:p>
                  <w:pPr>
                    <w:pStyle w:val="58"/>
                    <w:bidi w:val="0"/>
                    <w:rPr>
                      <w:rFonts w:hint="default"/>
                    </w:rPr>
                  </w:pPr>
                  <w:r>
                    <w:rPr>
                      <w:rFonts w:hint="default"/>
                    </w:rPr>
                    <w:t>科</w:t>
                  </w:r>
                </w:p>
              </w:tc>
              <w:tc>
                <w:tcPr>
                  <w:tcW w:w="676" w:type="pct"/>
                  <w:noWrap w:val="0"/>
                  <w:vAlign w:val="center"/>
                </w:tcPr>
                <w:p>
                  <w:pPr>
                    <w:pStyle w:val="58"/>
                    <w:bidi w:val="0"/>
                    <w:rPr>
                      <w:rFonts w:hint="default"/>
                    </w:rPr>
                  </w:pPr>
                  <w:r>
                    <w:rPr>
                      <w:rFonts w:hint="default"/>
                    </w:rPr>
                    <w:t>属</w:t>
                  </w:r>
                </w:p>
              </w:tc>
              <w:tc>
                <w:tcPr>
                  <w:tcW w:w="1330" w:type="pct"/>
                  <w:noWrap w:val="0"/>
                  <w:vAlign w:val="center"/>
                </w:tcPr>
                <w:p>
                  <w:pPr>
                    <w:pStyle w:val="58"/>
                    <w:bidi w:val="0"/>
                    <w:rPr>
                      <w:rFonts w:hint="eastAsia"/>
                      <w:lang w:val="en-US" w:eastAsia="zh-CN"/>
                    </w:rPr>
                  </w:pPr>
                  <w:r>
                    <w:rPr>
                      <w:rFonts w:hint="default"/>
                    </w:rPr>
                    <w:t>种</w:t>
                  </w:r>
                </w:p>
              </w:tc>
              <w:tc>
                <w:tcPr>
                  <w:tcW w:w="2452" w:type="pct"/>
                  <w:noWrap w:val="0"/>
                  <w:vAlign w:val="center"/>
                </w:tcPr>
                <w:p>
                  <w:pPr>
                    <w:pStyle w:val="58"/>
                    <w:bidi w:val="0"/>
                    <w:rPr>
                      <w:rFonts w:hint="eastAsia"/>
                      <w:lang w:val="en-US" w:eastAsia="zh-CN"/>
                    </w:rPr>
                  </w:pPr>
                  <w:r>
                    <w:rPr>
                      <w:rFonts w:hint="eastAsia"/>
                      <w:lang w:val="en-US" w:eastAsia="zh-CN"/>
                    </w:rPr>
                    <w:t>图片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541" w:type="pct"/>
                  <w:noWrap w:val="0"/>
                  <w:vAlign w:val="center"/>
                </w:tcPr>
                <w:p>
                  <w:pPr>
                    <w:pStyle w:val="58"/>
                    <w:bidi w:val="0"/>
                    <w:rPr>
                      <w:rFonts w:hint="default"/>
                      <w:lang w:val="en-US" w:eastAsia="zh-CN"/>
                    </w:rPr>
                  </w:pPr>
                  <w:r>
                    <w:rPr>
                      <w:rFonts w:hint="eastAsia"/>
                      <w:lang w:val="en-US" w:eastAsia="zh-CN"/>
                    </w:rPr>
                    <w:t>菊</w:t>
                  </w:r>
                  <w:r>
                    <w:rPr>
                      <w:rFonts w:hint="default"/>
                    </w:rPr>
                    <w:t>科</w:t>
                  </w:r>
                </w:p>
              </w:tc>
              <w:tc>
                <w:tcPr>
                  <w:tcW w:w="676" w:type="pct"/>
                  <w:noWrap w:val="0"/>
                  <w:vAlign w:val="center"/>
                </w:tcPr>
                <w:p>
                  <w:pPr>
                    <w:pStyle w:val="58"/>
                    <w:bidi w:val="0"/>
                    <w:rPr>
                      <w:rFonts w:hint="default"/>
                      <w:lang w:val="en-US" w:eastAsia="zh-CN"/>
                    </w:rPr>
                  </w:pPr>
                  <w:r>
                    <w:rPr>
                      <w:rFonts w:hint="default"/>
                    </w:rPr>
                    <w:t>绢蒿属</w:t>
                  </w:r>
                </w:p>
              </w:tc>
              <w:tc>
                <w:tcPr>
                  <w:tcW w:w="1330" w:type="pct"/>
                  <w:noWrap w:val="0"/>
                  <w:vAlign w:val="center"/>
                </w:tcPr>
                <w:p>
                  <w:pPr>
                    <w:pStyle w:val="58"/>
                    <w:bidi w:val="0"/>
                    <w:rPr>
                      <w:rFonts w:hint="default"/>
                      <w:lang w:val="en-US" w:eastAsia="zh-CN"/>
                    </w:rPr>
                  </w:pPr>
                  <w:r>
                    <w:rPr>
                      <w:rFonts w:hint="default"/>
                    </w:rPr>
                    <w:t>高山绢蒿</w:t>
                  </w:r>
                  <w:r>
                    <w:rPr>
                      <w:rFonts w:hint="default"/>
                      <w:i/>
                      <w:iCs/>
                    </w:rPr>
                    <w:t>Seriphidium rhodanthum</w:t>
                  </w:r>
                  <w:r>
                    <w:rPr>
                      <w:rFonts w:hint="eastAsia"/>
                      <w:i/>
                      <w:iCs/>
                      <w:lang w:val="en-US" w:eastAsia="zh-CN"/>
                    </w:rPr>
                    <w:t xml:space="preserve"> </w:t>
                  </w:r>
                  <w:r>
                    <w:rPr>
                      <w:rFonts w:hint="default"/>
                      <w:i w:val="0"/>
                      <w:iCs w:val="0"/>
                    </w:rPr>
                    <w:t>(Rupr.) Poljakov</w:t>
                  </w:r>
                </w:p>
              </w:tc>
              <w:tc>
                <w:tcPr>
                  <w:tcW w:w="2452" w:type="pct"/>
                  <w:noWrap w:val="0"/>
                  <w:vAlign w:val="center"/>
                </w:tcPr>
                <w:p>
                  <w:pPr>
                    <w:pStyle w:val="58"/>
                    <w:bidi w:val="0"/>
                    <w:rPr>
                      <w:rFonts w:hint="eastAsia" w:eastAsia="宋体"/>
                      <w:lang w:eastAsia="zh-CN"/>
                    </w:rPr>
                  </w:pPr>
                  <w:r>
                    <w:rPr>
                      <w:rFonts w:hint="eastAsia" w:eastAsia="宋体"/>
                      <w:lang w:eastAsia="zh-CN"/>
                    </w:rPr>
                    <w:drawing>
                      <wp:inline distT="0" distB="0" distL="114300" distR="114300">
                        <wp:extent cx="2174875" cy="1713865"/>
                        <wp:effectExtent l="0" t="0" r="15875" b="635"/>
                        <wp:docPr id="9" name="图片 9" descr="f48862bc90161c41b85f60890225fd14"/>
                        <wp:cNvGraphicFramePr/>
                        <a:graphic xmlns:a="http://schemas.openxmlformats.org/drawingml/2006/main">
                          <a:graphicData uri="http://schemas.openxmlformats.org/drawingml/2006/picture">
                            <pic:pic xmlns:pic="http://schemas.openxmlformats.org/drawingml/2006/picture">
                              <pic:nvPicPr>
                                <pic:cNvPr id="9" name="图片 9" descr="f48862bc90161c41b85f60890225fd14"/>
                                <pic:cNvPicPr/>
                              </pic:nvPicPr>
                              <pic:blipFill>
                                <a:blip r:embed="rId12"/>
                                <a:stretch>
                                  <a:fillRect/>
                                </a:stretch>
                              </pic:blipFill>
                              <pic:spPr>
                                <a:xfrm>
                                  <a:off x="0" y="0"/>
                                  <a:ext cx="2174875" cy="1713865"/>
                                </a:xfrm>
                                <a:prstGeom prst="rect">
                                  <a:avLst/>
                                </a:prstGeom>
                                <a:noFill/>
                                <a:ln>
                                  <a:noFill/>
                                </a:ln>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pStyle w:val="58"/>
                    <w:bidi w:val="0"/>
                    <w:rPr>
                      <w:rFonts w:hint="default"/>
                      <w:lang w:val="en-US" w:eastAsia="zh-CN"/>
                    </w:rPr>
                  </w:pPr>
                  <w:r>
                    <w:rPr>
                      <w:rFonts w:hint="default"/>
                    </w:rPr>
                    <w:t>苋科</w:t>
                  </w:r>
                </w:p>
              </w:tc>
              <w:tc>
                <w:tcPr>
                  <w:tcW w:w="1069" w:type="dxa"/>
                  <w:noWrap w:val="0"/>
                  <w:vAlign w:val="center"/>
                </w:tcPr>
                <w:p>
                  <w:pPr>
                    <w:pStyle w:val="58"/>
                    <w:bidi w:val="0"/>
                    <w:rPr>
                      <w:rFonts w:hint="default"/>
                      <w:lang w:val="en-US" w:eastAsia="zh-CN"/>
                    </w:rPr>
                  </w:pPr>
                  <w:r>
                    <w:rPr>
                      <w:rFonts w:hint="default"/>
                    </w:rPr>
                    <w:t>合头草属</w:t>
                  </w:r>
                </w:p>
              </w:tc>
              <w:tc>
                <w:tcPr>
                  <w:tcW w:w="2104" w:type="dxa"/>
                  <w:noWrap w:val="0"/>
                  <w:vAlign w:val="center"/>
                </w:tcPr>
                <w:p>
                  <w:pPr>
                    <w:pStyle w:val="58"/>
                    <w:bidi w:val="0"/>
                    <w:rPr>
                      <w:rFonts w:hint="default"/>
                      <w:lang w:val="en-US" w:eastAsia="zh-CN"/>
                    </w:rPr>
                  </w:pPr>
                  <w:r>
                    <w:rPr>
                      <w:rFonts w:hint="default"/>
                    </w:rPr>
                    <w:t>合头藜</w:t>
                  </w:r>
                  <w:r>
                    <w:rPr>
                      <w:rFonts w:hint="default"/>
                      <w:i/>
                      <w:iCs/>
                    </w:rPr>
                    <w:t>Sympegma regelii</w:t>
                  </w:r>
                  <w:r>
                    <w:rPr>
                      <w:rFonts w:hint="eastAsia"/>
                      <w:i/>
                      <w:iCs/>
                      <w:lang w:val="en-US" w:eastAsia="zh-CN"/>
                    </w:rPr>
                    <w:t xml:space="preserve"> </w:t>
                  </w:r>
                  <w:r>
                    <w:rPr>
                      <w:rFonts w:hint="default"/>
                      <w:i w:val="0"/>
                      <w:iCs w:val="0"/>
                    </w:rPr>
                    <w:t>Bunge</w:t>
                  </w:r>
                </w:p>
              </w:tc>
              <w:tc>
                <w:tcPr>
                  <w:tcW w:w="2452" w:type="pct"/>
                  <w:noWrap w:val="0"/>
                  <w:vAlign w:val="center"/>
                </w:tcPr>
                <w:p>
                  <w:pPr>
                    <w:pStyle w:val="58"/>
                    <w:bidi w:val="0"/>
                    <w:rPr>
                      <w:rFonts w:hint="eastAsia"/>
                      <w:lang w:eastAsia="zh-CN"/>
                    </w:rPr>
                  </w:pPr>
                  <w:r>
                    <w:rPr>
                      <w:rFonts w:hint="eastAsia"/>
                      <w:lang w:eastAsia="zh-CN"/>
                    </w:rPr>
                    <w:drawing>
                      <wp:inline distT="0" distB="0" distL="114300" distR="114300">
                        <wp:extent cx="2174240" cy="1713865"/>
                        <wp:effectExtent l="0" t="0" r="16510" b="635"/>
                        <wp:docPr id="10" name="图片 10" descr="1c7380e8a1567eaeecca357fc862c8da"/>
                        <wp:cNvGraphicFramePr/>
                        <a:graphic xmlns:a="http://schemas.openxmlformats.org/drawingml/2006/main">
                          <a:graphicData uri="http://schemas.openxmlformats.org/drawingml/2006/picture">
                            <pic:pic xmlns:pic="http://schemas.openxmlformats.org/drawingml/2006/picture">
                              <pic:nvPicPr>
                                <pic:cNvPr id="10" name="图片 10" descr="1c7380e8a1567eaeecca357fc862c8da"/>
                                <pic:cNvPicPr/>
                              </pic:nvPicPr>
                              <pic:blipFill>
                                <a:blip r:embed="rId13"/>
                                <a:stretch>
                                  <a:fillRect/>
                                </a:stretch>
                              </pic:blipFill>
                              <pic:spPr>
                                <a:xfrm>
                                  <a:off x="0" y="0"/>
                                  <a:ext cx="2174240" cy="1713865"/>
                                </a:xfrm>
                                <a:prstGeom prst="rect">
                                  <a:avLst/>
                                </a:prstGeom>
                              </pic:spPr>
                            </pic:pic>
                          </a:graphicData>
                        </a:graphic>
                      </wp:inline>
                    </w:drawing>
                  </w:r>
                </w:p>
              </w:tc>
            </w:tr>
          </w:tbl>
          <w:p>
            <w:pPr>
              <w:pStyle w:val="48"/>
              <w:bidi w:val="0"/>
            </w:pPr>
            <w:r>
              <w:t>评价区的地质地貌、气候等自然因素处于相对稳定状态，地形、地貌等对植被的影响主要通过水分、盐分、矿质养分的分配差异体现出来</w:t>
            </w:r>
            <w:r>
              <w:rPr>
                <w:rFonts w:hint="eastAsia"/>
              </w:rPr>
              <w:t>。本区域植被</w:t>
            </w:r>
            <w:r>
              <w:t>主要为草本植物，植物类型主要</w:t>
            </w:r>
            <w:r>
              <w:rPr>
                <w:rFonts w:hint="eastAsia"/>
                <w:lang w:eastAsia="zh-CN"/>
              </w:rPr>
              <w:t>为</w:t>
            </w:r>
            <w:r>
              <w:rPr>
                <w:rFonts w:hint="default"/>
              </w:rPr>
              <w:t>高山绢蒿</w:t>
            </w:r>
            <w:r>
              <w:rPr>
                <w:rFonts w:hint="eastAsia"/>
                <w:lang w:val="en-US" w:eastAsia="zh-CN"/>
              </w:rPr>
              <w:t>和合头藜</w:t>
            </w:r>
            <w:r>
              <w:t>，</w:t>
            </w:r>
            <w:r>
              <w:rPr>
                <w:rFonts w:hint="eastAsia"/>
                <w:lang w:val="en-US" w:eastAsia="zh-CN"/>
              </w:rPr>
              <w:t>大部分区域</w:t>
            </w:r>
            <w:r>
              <w:t>植被生长稀疏，不涉及保护植物。</w:t>
            </w:r>
          </w:p>
          <w:p>
            <w:pPr>
              <w:pStyle w:val="48"/>
              <w:bidi w:val="0"/>
            </w:pPr>
            <w:r>
              <w:rPr>
                <w:rFonts w:hint="eastAsia"/>
              </w:rPr>
              <w:t>②</w:t>
            </w:r>
            <w:r>
              <w:t>野生动物现状调查及评价</w:t>
            </w:r>
          </w:p>
          <w:p>
            <w:pPr>
              <w:pStyle w:val="48"/>
              <w:bidi w:val="0"/>
              <w:rPr>
                <w:rFonts w:hint="eastAsia" w:ascii="Times New Roman" w:hAnsi="Times New Roman" w:eastAsia="宋体" w:cs="Times New Roman"/>
                <w:b/>
                <w:kern w:val="0"/>
                <w:szCs w:val="21"/>
                <w:lang w:eastAsia="zh-CN"/>
              </w:rPr>
            </w:pPr>
            <w:r>
              <w:t>按中国动物地理区划的分级标准，项目区属古北界、中亚亚界、蒙新区</w:t>
            </w:r>
            <w:r>
              <w:rPr>
                <w:rFonts w:hint="eastAsia"/>
              </w:rPr>
              <w:t>。</w:t>
            </w:r>
            <w:r>
              <w:rPr>
                <w:rFonts w:hint="eastAsia"/>
                <w:lang w:val="en-US" w:eastAsia="zh-CN"/>
              </w:rPr>
              <w:t>因气候寒冷和食物短缺，无栖息及躲藏之地，野生动物分布数量较少且动物组成较为单一</w:t>
            </w:r>
            <w:r>
              <w:t>。</w:t>
            </w:r>
            <w:r>
              <w:rPr>
                <w:rFonts w:hint="eastAsia"/>
              </w:rPr>
              <w:t>评价区主要野生动物名录</w:t>
            </w:r>
            <w:r>
              <w:t>见</w:t>
            </w:r>
            <w:r>
              <w:rPr>
                <w:rFonts w:hint="eastAsia"/>
                <w:lang w:eastAsia="zh-CN"/>
              </w:rPr>
              <w:t>下</w:t>
            </w:r>
            <w:r>
              <w:t>表</w:t>
            </w:r>
            <w:r>
              <w:rPr>
                <w:rFonts w:hint="eastAsia"/>
                <w:lang w:eastAsia="zh-CN"/>
              </w:rPr>
              <w:t>。</w:t>
            </w:r>
          </w:p>
          <w:p>
            <w:pPr>
              <w:pStyle w:val="52"/>
              <w:bidi w:val="0"/>
              <w:rPr>
                <w:rFonts w:hint="eastAsia"/>
              </w:rPr>
            </w:pPr>
            <w:r>
              <w:rPr>
                <w:rFonts w:hint="eastAsia"/>
              </w:rPr>
              <w:t>表</w:t>
            </w:r>
            <w:r>
              <w:rPr>
                <w:rFonts w:hint="eastAsia"/>
                <w:lang w:val="en-US" w:eastAsia="zh-CN"/>
              </w:rPr>
              <w:t>3-4</w:t>
            </w:r>
            <w:r>
              <w:rPr>
                <w:rFonts w:hint="eastAsia"/>
              </w:rPr>
              <w:t xml:space="preserve"> </w:t>
            </w:r>
            <w:r>
              <w:rPr>
                <w:rFonts w:hint="eastAsia"/>
                <w:lang w:val="en-US" w:eastAsia="zh-CN"/>
              </w:rPr>
              <w:t xml:space="preserve">  </w:t>
            </w:r>
            <w:r>
              <w:rPr>
                <w:rFonts w:hint="eastAsia"/>
              </w:rPr>
              <w:t xml:space="preserve"> 工程区主要野生动物名录</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362"/>
              <w:gridCol w:w="1463"/>
              <w:gridCol w:w="153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pct"/>
                  <w:tcBorders>
                    <w:bottom w:val="single" w:color="auto" w:sz="4" w:space="0"/>
                    <w:right w:val="single" w:color="auto" w:sz="4" w:space="0"/>
                  </w:tcBorders>
                  <w:noWrap w:val="0"/>
                  <w:vAlign w:val="center"/>
                </w:tcPr>
                <w:p>
                  <w:pPr>
                    <w:pStyle w:val="58"/>
                    <w:bidi w:val="0"/>
                    <w:rPr>
                      <w:rFonts w:hint="default"/>
                    </w:rPr>
                  </w:pPr>
                  <w:r>
                    <w:rPr>
                      <w:rFonts w:hint="default"/>
                    </w:rPr>
                    <w:t>纲</w:t>
                  </w:r>
                </w:p>
              </w:tc>
              <w:tc>
                <w:tcPr>
                  <w:tcW w:w="861" w:type="pct"/>
                  <w:tcBorders>
                    <w:left w:val="nil"/>
                    <w:bottom w:val="single" w:color="auto" w:sz="4" w:space="0"/>
                    <w:right w:val="single" w:color="auto" w:sz="4" w:space="0"/>
                  </w:tcBorders>
                  <w:noWrap w:val="0"/>
                  <w:vAlign w:val="center"/>
                </w:tcPr>
                <w:p>
                  <w:pPr>
                    <w:pStyle w:val="58"/>
                    <w:bidi w:val="0"/>
                    <w:rPr>
                      <w:rFonts w:hint="default"/>
                    </w:rPr>
                  </w:pPr>
                  <w:r>
                    <w:rPr>
                      <w:rFonts w:hint="default"/>
                    </w:rPr>
                    <w:t>目名</w:t>
                  </w:r>
                </w:p>
              </w:tc>
              <w:tc>
                <w:tcPr>
                  <w:tcW w:w="925" w:type="pct"/>
                  <w:tcBorders>
                    <w:left w:val="nil"/>
                    <w:bottom w:val="single" w:color="auto" w:sz="4" w:space="0"/>
                    <w:right w:val="single" w:color="auto" w:sz="4" w:space="0"/>
                  </w:tcBorders>
                  <w:noWrap w:val="0"/>
                  <w:vAlign w:val="center"/>
                </w:tcPr>
                <w:p>
                  <w:pPr>
                    <w:pStyle w:val="58"/>
                    <w:bidi w:val="0"/>
                    <w:rPr>
                      <w:rFonts w:hint="default"/>
                    </w:rPr>
                  </w:pPr>
                  <w:r>
                    <w:rPr>
                      <w:rFonts w:hint="default"/>
                    </w:rPr>
                    <w:t>科名</w:t>
                  </w:r>
                </w:p>
              </w:tc>
              <w:tc>
                <w:tcPr>
                  <w:tcW w:w="970" w:type="pct"/>
                  <w:tcBorders>
                    <w:left w:val="nil"/>
                    <w:bottom w:val="single" w:color="auto" w:sz="4" w:space="0"/>
                    <w:right w:val="single" w:color="auto" w:sz="4" w:space="0"/>
                  </w:tcBorders>
                  <w:noWrap w:val="0"/>
                  <w:vAlign w:val="center"/>
                </w:tcPr>
                <w:p>
                  <w:pPr>
                    <w:pStyle w:val="58"/>
                    <w:bidi w:val="0"/>
                    <w:rPr>
                      <w:rFonts w:hint="default"/>
                    </w:rPr>
                  </w:pPr>
                  <w:r>
                    <w:rPr>
                      <w:rFonts w:hint="default"/>
                    </w:rPr>
                    <w:t>中文名</w:t>
                  </w:r>
                </w:p>
              </w:tc>
              <w:tc>
                <w:tcPr>
                  <w:tcW w:w="1414" w:type="pct"/>
                  <w:tcBorders>
                    <w:left w:val="single" w:color="auto" w:sz="4" w:space="0"/>
                    <w:bottom w:val="single" w:color="auto" w:sz="4" w:space="0"/>
                  </w:tcBorders>
                  <w:noWrap w:val="0"/>
                  <w:vAlign w:val="center"/>
                </w:tcPr>
                <w:p>
                  <w:pPr>
                    <w:pStyle w:val="58"/>
                    <w:bidi w:val="0"/>
                    <w:rPr>
                      <w:rFonts w:hint="default"/>
                    </w:rPr>
                  </w:pPr>
                  <w:r>
                    <w:rPr>
                      <w:rFonts w:hint="default"/>
                    </w:rPr>
                    <w:t>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8"/>
                    <w:bidi w:val="0"/>
                    <w:rPr>
                      <w:rFonts w:hint="default"/>
                    </w:rPr>
                  </w:pPr>
                  <w:r>
                    <w:rPr>
                      <w:rFonts w:hint="default"/>
                    </w:rPr>
                    <w:t>哺乳纲</w:t>
                  </w:r>
                </w:p>
              </w:tc>
              <w:tc>
                <w:tcPr>
                  <w:tcW w:w="861"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default"/>
                      <w:lang w:val="en-US" w:eastAsia="zh-CN"/>
                    </w:rPr>
                    <w:t>啮齿目</w:t>
                  </w:r>
                </w:p>
              </w:tc>
              <w:tc>
                <w:tcPr>
                  <w:tcW w:w="925"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default"/>
                      <w:lang w:val="en-US" w:eastAsia="zh-CN"/>
                    </w:rPr>
                    <w:t>仓鼠科</w:t>
                  </w:r>
                </w:p>
              </w:tc>
              <w:tc>
                <w:tcPr>
                  <w:tcW w:w="970" w:type="pct"/>
                  <w:tcBorders>
                    <w:top w:val="single" w:color="auto" w:sz="4" w:space="0"/>
                    <w:left w:val="nil"/>
                    <w:bottom w:val="single" w:color="auto" w:sz="4" w:space="0"/>
                    <w:right w:val="single" w:color="auto" w:sz="4" w:space="0"/>
                  </w:tcBorders>
                  <w:noWrap w:val="0"/>
                  <w:vAlign w:val="center"/>
                </w:tcPr>
                <w:p>
                  <w:pPr>
                    <w:pStyle w:val="58"/>
                    <w:bidi w:val="0"/>
                    <w:rPr>
                      <w:rFonts w:hint="default"/>
                      <w:lang w:eastAsia="zh-CN"/>
                    </w:rPr>
                  </w:pPr>
                  <w:r>
                    <w:rPr>
                      <w:rFonts w:hint="default"/>
                      <w:lang w:eastAsia="zh-CN"/>
                    </w:rPr>
                    <w:t>灰仓鼠</w:t>
                  </w:r>
                </w:p>
              </w:tc>
              <w:tc>
                <w:tcPr>
                  <w:tcW w:w="1414" w:type="pct"/>
                  <w:tcBorders>
                    <w:top w:val="single" w:color="auto" w:sz="4" w:space="0"/>
                    <w:left w:val="single" w:color="auto" w:sz="4" w:space="0"/>
                    <w:bottom w:val="single" w:color="auto" w:sz="4" w:space="0"/>
                  </w:tcBorders>
                  <w:noWrap w:val="0"/>
                  <w:vAlign w:val="center"/>
                </w:tcPr>
                <w:p>
                  <w:pPr>
                    <w:pStyle w:val="58"/>
                    <w:bidi w:val="0"/>
                    <w:rPr>
                      <w:rFonts w:hint="default"/>
                      <w:i/>
                      <w:iCs/>
                    </w:rPr>
                  </w:pPr>
                  <w:r>
                    <w:rPr>
                      <w:rFonts w:hint="default"/>
                      <w:i/>
                      <w:iCs/>
                    </w:rPr>
                    <w:t>Cricetulus migratorius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8"/>
                    <w:bidi w:val="0"/>
                    <w:rPr>
                      <w:rFonts w:hint="eastAsia"/>
                      <w:lang w:val="en-US" w:eastAsia="zh-CN"/>
                    </w:rPr>
                  </w:pPr>
                  <w:r>
                    <w:rPr>
                      <w:rFonts w:hint="eastAsia"/>
                      <w:lang w:val="en-US" w:eastAsia="zh-CN"/>
                    </w:rPr>
                    <w:t>爬行纲</w:t>
                  </w:r>
                </w:p>
              </w:tc>
              <w:tc>
                <w:tcPr>
                  <w:tcW w:w="861"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eastAsia"/>
                      <w:lang w:val="en-US" w:eastAsia="zh-CN"/>
                    </w:rPr>
                    <w:t>蜥蜴目</w:t>
                  </w:r>
                </w:p>
              </w:tc>
              <w:tc>
                <w:tcPr>
                  <w:tcW w:w="925"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eastAsia"/>
                      <w:lang w:val="en-US" w:eastAsia="zh-CN"/>
                    </w:rPr>
                    <w:t>蜥蜴科</w:t>
                  </w:r>
                </w:p>
              </w:tc>
              <w:tc>
                <w:tcPr>
                  <w:tcW w:w="970"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default"/>
                    </w:rPr>
                    <w:t>蜥蜴</w:t>
                  </w:r>
                </w:p>
              </w:tc>
              <w:tc>
                <w:tcPr>
                  <w:tcW w:w="1414" w:type="pct"/>
                  <w:tcBorders>
                    <w:top w:val="single" w:color="auto" w:sz="4" w:space="0"/>
                    <w:left w:val="single" w:color="auto" w:sz="4" w:space="0"/>
                    <w:bottom w:val="single" w:color="auto" w:sz="4" w:space="0"/>
                  </w:tcBorders>
                  <w:noWrap w:val="0"/>
                  <w:vAlign w:val="center"/>
                </w:tcPr>
                <w:p>
                  <w:pPr>
                    <w:pStyle w:val="58"/>
                    <w:bidi w:val="0"/>
                    <w:rPr>
                      <w:rFonts w:hint="default"/>
                      <w:i/>
                      <w:iCs/>
                      <w:lang w:val="en-US" w:eastAsia="en-US"/>
                    </w:rPr>
                  </w:pPr>
                  <w:r>
                    <w:rPr>
                      <w:rFonts w:hint="default"/>
                      <w:i/>
                      <w:iCs/>
                    </w:rPr>
                    <w:t>Lizard</w:t>
                  </w:r>
                </w:p>
              </w:tc>
            </w:tr>
          </w:tbl>
          <w:p>
            <w:pPr>
              <w:pStyle w:val="48"/>
              <w:bidi w:val="0"/>
              <w:rPr>
                <w:rFonts w:hint="eastAsia"/>
                <w:highlight w:val="none"/>
                <w:lang w:val="en-US" w:eastAsia="zh-CN"/>
              </w:rPr>
            </w:pPr>
            <w:r>
              <w:rPr>
                <w:rFonts w:hint="default"/>
              </w:rPr>
              <w:t>根据资料收集分析，并结合现场观察和访问</w:t>
            </w:r>
            <w:r>
              <w:rPr>
                <w:rFonts w:hint="eastAsia"/>
                <w:lang w:eastAsia="zh-CN"/>
              </w:rPr>
              <w:t>，</w:t>
            </w:r>
            <w:r>
              <w:rPr>
                <w:rFonts w:hint="eastAsia"/>
              </w:rPr>
              <w:t>以小型哺乳类</w:t>
            </w:r>
            <w:r>
              <w:rPr>
                <w:rFonts w:hint="eastAsia"/>
                <w:lang w:val="en-US" w:eastAsia="zh-CN"/>
              </w:rPr>
              <w:t>和爬行类</w:t>
            </w:r>
            <w:r>
              <w:rPr>
                <w:rFonts w:hint="eastAsia"/>
              </w:rPr>
              <w:t>为主</w:t>
            </w:r>
            <w:r>
              <w:rPr>
                <w:rFonts w:hint="eastAsia"/>
                <w:lang w:eastAsia="zh-CN"/>
              </w:rPr>
              <w:t>，</w:t>
            </w:r>
            <w:r>
              <w:rPr>
                <w:rFonts w:hint="eastAsia"/>
                <w:lang w:val="en-US" w:eastAsia="zh-CN"/>
              </w:rPr>
              <w:t>未见国家及自治区级保护野生动物</w:t>
            </w:r>
            <w:r>
              <w:rPr>
                <w:rFonts w:hint="eastAsia"/>
                <w:lang w:eastAsia="zh-CN"/>
              </w:rPr>
              <w:t>。</w:t>
            </w:r>
          </w:p>
          <w:p>
            <w:pPr>
              <w:pStyle w:val="48"/>
              <w:bidi w:val="0"/>
              <w:rPr>
                <w:rFonts w:hint="default"/>
                <w:highlight w:val="none"/>
                <w:lang w:val="en-US" w:eastAsia="zh-CN"/>
              </w:rPr>
            </w:pPr>
            <w:r>
              <w:rPr>
                <w:rFonts w:hint="eastAsia"/>
                <w:highlight w:val="none"/>
                <w:lang w:val="en-US" w:eastAsia="zh-CN"/>
              </w:rPr>
              <w:t>③水土流失现状调查：2023年且末县水土流失面积76469.31km</w:t>
            </w:r>
            <w:r>
              <w:rPr>
                <w:rFonts w:hint="eastAsia"/>
                <w:highlight w:val="none"/>
                <w:vertAlign w:val="superscript"/>
                <w:lang w:val="en-US" w:eastAsia="zh-CN"/>
              </w:rPr>
              <w:t>2</w:t>
            </w:r>
            <w:r>
              <w:rPr>
                <w:rFonts w:hint="eastAsia"/>
                <w:highlight w:val="none"/>
                <w:lang w:val="en-US" w:eastAsia="zh-CN"/>
              </w:rPr>
              <w:t>，占全县土地总面积55.14%。其中水力侵蚀面积为32.19km</w:t>
            </w:r>
            <w:r>
              <w:rPr>
                <w:rFonts w:hint="eastAsia"/>
                <w:highlight w:val="none"/>
                <w:vertAlign w:val="superscript"/>
                <w:lang w:val="en-US" w:eastAsia="zh-CN"/>
              </w:rPr>
              <w:t>2</w:t>
            </w:r>
            <w:r>
              <w:rPr>
                <w:rFonts w:hint="eastAsia"/>
                <w:highlight w:val="none"/>
                <w:lang w:val="en-US" w:eastAsia="zh-CN"/>
              </w:rPr>
              <w:t>，占水土流失面积的0.04%；风力侵蚀面积为76437.12km</w:t>
            </w:r>
            <w:r>
              <w:rPr>
                <w:rFonts w:hint="eastAsia"/>
                <w:highlight w:val="none"/>
                <w:vertAlign w:val="superscript"/>
                <w:lang w:val="en-US" w:eastAsia="zh-CN"/>
              </w:rPr>
              <w:t>2</w:t>
            </w:r>
            <w:r>
              <w:rPr>
                <w:rFonts w:hint="eastAsia"/>
                <w:highlight w:val="none"/>
                <w:lang w:val="en-US" w:eastAsia="zh-CN"/>
              </w:rPr>
              <w:t>，占水土流失面积的99.96%。项目区水土流失情况为微度。水土流失类型主要为水力侵蚀。水土流失类型见附图6。</w:t>
            </w:r>
          </w:p>
          <w:p>
            <w:pPr>
              <w:pStyle w:val="48"/>
              <w:bidi w:val="0"/>
              <w:rPr>
                <w:rFonts w:hint="eastAsia"/>
                <w:highlight w:val="none"/>
                <w:lang w:val="en-US" w:eastAsia="zh-CN"/>
              </w:rPr>
            </w:pPr>
            <w:r>
              <w:rPr>
                <w:rFonts w:hint="eastAsia" w:cs="Times New Roman"/>
                <w:color w:val="000000"/>
                <w:kern w:val="2"/>
                <w:sz w:val="24"/>
                <w:szCs w:val="24"/>
                <w:highlight w:val="none"/>
                <w:lang w:val="en-US" w:eastAsia="zh-CN" w:bidi="ar-SA"/>
              </w:rPr>
              <w:t>④</w:t>
            </w:r>
            <w:r>
              <w:rPr>
                <w:rFonts w:hint="eastAsia"/>
                <w:highlight w:val="none"/>
                <w:lang w:val="en-US" w:eastAsia="zh-CN"/>
              </w:rPr>
              <w:t>沙化土地现状：根据新疆第六次沙化监测报告中沙化土地类型分布图，项目区为非沙化土地，土地沙化程度分布图见附图7。</w:t>
            </w:r>
          </w:p>
          <w:p>
            <w:pPr>
              <w:pStyle w:val="50"/>
              <w:bidi w:val="0"/>
              <w:rPr>
                <w:rFonts w:hint="eastAsia"/>
                <w:lang w:val="en-US" w:eastAsia="zh-CN"/>
              </w:rPr>
            </w:pPr>
            <w:r>
              <w:rPr>
                <w:rFonts w:hint="eastAsia"/>
                <w:lang w:val="en-US" w:eastAsia="zh-CN"/>
              </w:rPr>
              <w:t>2.大气环境质量现状</w:t>
            </w:r>
          </w:p>
          <w:p>
            <w:pPr>
              <w:pStyle w:val="48"/>
              <w:bidi w:val="0"/>
              <w:rPr>
                <w:rFonts w:hint="eastAsia"/>
                <w:lang w:eastAsia="zh-CN"/>
              </w:rPr>
            </w:pPr>
            <w:r>
              <w:rPr>
                <w:rFonts w:hint="eastAsia"/>
              </w:rPr>
              <w:t>（</w:t>
            </w:r>
            <w:r>
              <w:t>1</w:t>
            </w:r>
            <w:r>
              <w:rPr>
                <w:rFonts w:hint="eastAsia"/>
              </w:rPr>
              <w:t>）评价数据选用</w:t>
            </w:r>
          </w:p>
          <w:p>
            <w:pPr>
              <w:pStyle w:val="48"/>
              <w:keepNext w:val="0"/>
              <w:keepLines w:val="0"/>
              <w:pageBreakBefore w:val="0"/>
              <w:widowControl w:val="0"/>
              <w:kinsoku/>
              <w:wordWrap/>
              <w:overflowPunct/>
              <w:topLinePunct w:val="0"/>
              <w:autoSpaceDE/>
              <w:autoSpaceDN/>
              <w:bidi w:val="0"/>
              <w:adjustRightInd w:val="0"/>
              <w:snapToGrid w:val="0"/>
              <w:textAlignment w:val="auto"/>
              <w:rPr>
                <w:lang w:val="en-US" w:eastAsia="zh-CN"/>
              </w:rPr>
            </w:pPr>
            <w:r>
              <w:rPr>
                <w:rFonts w:hint="default"/>
                <w:lang w:val="en-US" w:eastAsia="zh-CN"/>
              </w:rPr>
              <w:t>根据《建设项目环境影响报告表编制技术指南（生态影响类）（试行）》</w:t>
            </w:r>
            <w:r>
              <w:rPr>
                <w:rFonts w:hint="eastAsia"/>
                <w:lang w:val="en-US" w:eastAsia="zh-CN"/>
              </w:rPr>
              <w:t>“</w:t>
            </w:r>
            <w:r>
              <w:rPr>
                <w:rFonts w:hint="default"/>
                <w:lang w:val="en-US" w:eastAsia="zh-CN"/>
              </w:rPr>
              <w:t>不开展专项评价的环境要素，引用与项目距离近的有效数据和调查资料，包括符合时限要求的规划环境影响评价监测数据和调查资料，国家、地方环境质量监测网数据或生态环境主管部门公开发布的生态环境质量数据等</w:t>
            </w:r>
            <w:r>
              <w:rPr>
                <w:rFonts w:hint="eastAsia"/>
                <w:lang w:val="en-US" w:eastAsia="zh-CN"/>
              </w:rPr>
              <w:t>”</w:t>
            </w:r>
            <w:r>
              <w:rPr>
                <w:rFonts w:hint="default"/>
                <w:lang w:val="en-US" w:eastAsia="zh-CN"/>
              </w:rPr>
              <w:t>，项目所在区域目前没有国家和地方生态环境部门公开发布的评价基准年环境质量公告或环境质量报告中的数据，本次选用</w:t>
            </w:r>
            <w:r>
              <w:rPr>
                <w:rFonts w:hint="eastAsia"/>
                <w:lang w:val="en-US" w:eastAsia="zh-CN"/>
              </w:rPr>
              <w:t>且末县</w:t>
            </w:r>
            <w:r>
              <w:rPr>
                <w:rFonts w:hint="default"/>
                <w:lang w:val="en-US" w:eastAsia="zh-CN"/>
              </w:rPr>
              <w:t>空气自动监测站202</w:t>
            </w:r>
            <w:r>
              <w:rPr>
                <w:rFonts w:hint="eastAsia"/>
                <w:lang w:val="en-US" w:eastAsia="zh-CN"/>
              </w:rPr>
              <w:t>4</w:t>
            </w:r>
            <w:r>
              <w:rPr>
                <w:rFonts w:hint="default"/>
                <w:lang w:val="en-US" w:eastAsia="zh-CN"/>
              </w:rPr>
              <w:t>年的监测数据。环境空气质量达标情况评价指标为SO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等6项基本污染物数据来源</w:t>
            </w:r>
            <w:r>
              <w:rPr>
                <w:rFonts w:hint="eastAsia"/>
                <w:lang w:val="en-US" w:eastAsia="zh-CN"/>
              </w:rPr>
              <w:t>，所引用数据可以满足环境空气质量评价有效性要求。</w:t>
            </w:r>
          </w:p>
          <w:p>
            <w:pPr>
              <w:pStyle w:val="48"/>
              <w:bidi w:val="0"/>
            </w:pPr>
            <w:r>
              <w:rPr>
                <w:rFonts w:hint="eastAsia"/>
              </w:rPr>
              <w:t>①监测点位：</w:t>
            </w:r>
            <w:r>
              <w:rPr>
                <w:rFonts w:hint="eastAsia"/>
                <w:lang w:val="en-US" w:eastAsia="zh-CN"/>
              </w:rPr>
              <w:t>且末</w:t>
            </w:r>
            <w:r>
              <w:rPr>
                <w:rFonts w:hint="eastAsia"/>
                <w:lang w:eastAsia="zh-CN"/>
              </w:rPr>
              <w:t>县</w:t>
            </w:r>
            <w:r>
              <w:rPr>
                <w:rFonts w:hint="eastAsia"/>
              </w:rPr>
              <w:t>环境空气自动监测站。</w:t>
            </w:r>
          </w:p>
          <w:p>
            <w:pPr>
              <w:pStyle w:val="48"/>
              <w:keepNext w:val="0"/>
              <w:keepLines w:val="0"/>
              <w:pageBreakBefore w:val="0"/>
              <w:widowControl w:val="0"/>
              <w:kinsoku/>
              <w:wordWrap/>
              <w:overflowPunct/>
              <w:topLinePunct w:val="0"/>
              <w:autoSpaceDE/>
              <w:autoSpaceDN/>
              <w:bidi w:val="0"/>
              <w:adjustRightInd w:val="0"/>
              <w:snapToGrid w:val="0"/>
              <w:textAlignment w:val="auto"/>
            </w:pPr>
            <w:r>
              <w:rPr>
                <w:rFonts w:hint="eastAsia"/>
              </w:rPr>
              <w:t>②监测项目：二氧化硫（</w:t>
            </w:r>
            <w:r>
              <w:t>SO</w:t>
            </w:r>
            <w:r>
              <w:rPr>
                <w:vertAlign w:val="subscript"/>
              </w:rPr>
              <w:t>2</w:t>
            </w:r>
            <w:r>
              <w:rPr>
                <w:rFonts w:hint="eastAsia"/>
              </w:rPr>
              <w:t>）、二氧化氮（</w:t>
            </w:r>
            <w:r>
              <w:t>NO</w:t>
            </w:r>
            <w:r>
              <w:rPr>
                <w:vertAlign w:val="subscript"/>
              </w:rPr>
              <w:t>2</w:t>
            </w:r>
            <w:r>
              <w:rPr>
                <w:rFonts w:hint="eastAsia"/>
              </w:rPr>
              <w:t>）、可吸入颗粒物（</w:t>
            </w:r>
            <w:r>
              <w:t>PM</w:t>
            </w:r>
            <w:r>
              <w:rPr>
                <w:vertAlign w:val="subscript"/>
              </w:rPr>
              <w:t>10</w:t>
            </w:r>
            <w:r>
              <w:rPr>
                <w:rFonts w:hint="eastAsia"/>
              </w:rPr>
              <w:t>）、一氧化碳（</w:t>
            </w:r>
            <w:r>
              <w:t>CO</w:t>
            </w:r>
            <w:r>
              <w:rPr>
                <w:rFonts w:hint="eastAsia"/>
              </w:rPr>
              <w:t>）、臭氧（</w:t>
            </w:r>
            <w:r>
              <w:t>O</w:t>
            </w:r>
            <w:r>
              <w:rPr>
                <w:vertAlign w:val="subscript"/>
              </w:rPr>
              <w:t>3</w:t>
            </w:r>
            <w:r>
              <w:rPr>
                <w:rFonts w:hint="eastAsia"/>
              </w:rPr>
              <w:t>）、细颗粒物（</w:t>
            </w:r>
            <w:r>
              <w:t>PM</w:t>
            </w:r>
            <w:r>
              <w:rPr>
                <w:vertAlign w:val="subscript"/>
              </w:rPr>
              <w:t>2.5</w:t>
            </w:r>
            <w:r>
              <w:rPr>
                <w:rFonts w:hint="eastAsia"/>
              </w:rPr>
              <w:t>）六项。</w:t>
            </w:r>
          </w:p>
          <w:p>
            <w:pPr>
              <w:pStyle w:val="48"/>
              <w:bidi w:val="0"/>
            </w:pPr>
            <w:r>
              <w:rPr>
                <w:rFonts w:hint="eastAsia"/>
              </w:rPr>
              <w:t>③监测时间：</w:t>
            </w:r>
            <w:r>
              <w:t>20</w:t>
            </w:r>
            <w:r>
              <w:rPr>
                <w:rFonts w:hint="eastAsia"/>
                <w:lang w:val="en-US" w:eastAsia="zh-CN"/>
              </w:rPr>
              <w:t>24年全年。</w:t>
            </w:r>
          </w:p>
          <w:p>
            <w:pPr>
              <w:pStyle w:val="48"/>
              <w:bidi w:val="0"/>
            </w:pPr>
            <w:r>
              <w:rPr>
                <w:rFonts w:hint="eastAsia"/>
              </w:rPr>
              <w:t>（</w:t>
            </w:r>
            <w:r>
              <w:t>2</w:t>
            </w:r>
            <w:r>
              <w:rPr>
                <w:rFonts w:hint="eastAsia"/>
              </w:rPr>
              <w:t>）评价标准</w:t>
            </w:r>
          </w:p>
          <w:p>
            <w:pPr>
              <w:pStyle w:val="48"/>
              <w:bidi w:val="0"/>
              <w:rPr>
                <w:rFonts w:hint="eastAsia"/>
              </w:rPr>
            </w:pPr>
            <w:r>
              <w:rPr>
                <w:rFonts w:hint="eastAsia"/>
              </w:rPr>
              <w:t>项目区属于二类环境空气功能区，评价标准采用环境空气质量执行《环境空气质量标准》（</w:t>
            </w:r>
            <w:r>
              <w:t>GB3095-20</w:t>
            </w:r>
            <w:r>
              <w:rPr>
                <w:rFonts w:hint="eastAsia"/>
                <w:lang w:val="en-US" w:eastAsia="zh-CN"/>
              </w:rPr>
              <w:t>26</w:t>
            </w:r>
            <w:r>
              <w:rPr>
                <w:rFonts w:hint="eastAsia"/>
              </w:rPr>
              <w:t>）</w:t>
            </w:r>
            <w:r>
              <w:rPr>
                <w:rFonts w:hint="eastAsia"/>
                <w:lang w:val="en-US" w:eastAsia="zh-CN"/>
              </w:rPr>
              <w:t>过渡阶段的</w:t>
            </w:r>
            <w:r>
              <w:rPr>
                <w:rFonts w:hint="eastAsia"/>
              </w:rPr>
              <w:t>二级标准。</w:t>
            </w:r>
          </w:p>
          <w:p>
            <w:pPr>
              <w:pStyle w:val="48"/>
              <w:bidi w:val="0"/>
              <w:rPr>
                <w:rFonts w:hint="default"/>
                <w:lang w:val="en-US" w:eastAsia="zh-CN"/>
              </w:rPr>
            </w:pPr>
            <w:r>
              <w:rPr>
                <w:rFonts w:hint="default"/>
                <w:lang w:val="en-US" w:eastAsia="zh-CN"/>
              </w:rPr>
              <w:t>（3）评价方法</w:t>
            </w:r>
          </w:p>
          <w:p>
            <w:pPr>
              <w:pStyle w:val="48"/>
              <w:bidi w:val="0"/>
              <w:rPr>
                <w:rFonts w:hint="default"/>
              </w:rPr>
            </w:pPr>
            <w:r>
              <w:rPr>
                <w:rFonts w:hint="default"/>
              </w:rPr>
              <w:t>选用占标率进行评价，公式为：</w:t>
            </w:r>
          </w:p>
          <w:p>
            <w:pPr>
              <w:keepLines w:val="0"/>
              <w:pageBreakBefore w:val="0"/>
              <w:kinsoku/>
              <w:wordWrap/>
              <w:overflowPunct/>
              <w:topLinePunct w:val="0"/>
              <w:autoSpaceDE/>
              <w:autoSpaceDN/>
              <w:bidi w:val="0"/>
              <w:spacing w:line="480" w:lineRule="exact"/>
              <w:jc w:val="center"/>
              <w:rPr>
                <w:rFonts w:hint="default" w:ascii="Times New Roman" w:hAnsi="Times New Roman" w:eastAsia="宋体" w:cs="Times New Roman"/>
                <w:sz w:val="24"/>
                <w:szCs w:val="24"/>
                <w:highlight w:val="none"/>
                <w:vertAlign w:val="subscript"/>
              </w:rPr>
            </w:pPr>
            <w:r>
              <w:rPr>
                <w:rFonts w:hint="default" w:ascii="Times New Roman" w:hAnsi="Times New Roman" w:eastAsia="宋体" w:cs="Times New Roman"/>
                <w:sz w:val="24"/>
                <w:szCs w:val="24"/>
                <w:highlight w:val="none"/>
              </w:rPr>
              <w:t>P</w:t>
            </w:r>
            <w:r>
              <w:rPr>
                <w:rFonts w:hint="default" w:ascii="Times New Roman" w:hAnsi="Times New Roman" w:eastAsia="宋体" w:cs="Times New Roman"/>
                <w:sz w:val="24"/>
                <w:szCs w:val="24"/>
                <w:highlight w:val="none"/>
                <w:vertAlign w:val="subscript"/>
              </w:rPr>
              <w:t>i</w:t>
            </w:r>
            <w:r>
              <w:rPr>
                <w:rFonts w:hint="eastAsia" w:cs="Times New Roman"/>
                <w:sz w:val="24"/>
                <w:szCs w:val="24"/>
                <w:highlight w:val="none"/>
                <w:vertAlign w:val="subscript"/>
                <w:lang w:eastAsia="zh-CN"/>
              </w:rPr>
              <w:t>=</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vertAlign w:val="baseline"/>
              </w:rPr>
              <w:t>i</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vertAlign w:val="baseline"/>
              </w:rPr>
              <w:t>oi</w:t>
            </w:r>
          </w:p>
          <w:p>
            <w:pPr>
              <w:pStyle w:val="48"/>
              <w:bidi w:val="0"/>
              <w:rPr>
                <w:rFonts w:hint="default"/>
              </w:rPr>
            </w:pPr>
            <w:r>
              <w:rPr>
                <w:rFonts w:hint="default"/>
              </w:rPr>
              <w:t>式中，Pi－第i个污染物的质量浓度占标率，%；</w:t>
            </w:r>
          </w:p>
          <w:p>
            <w:pPr>
              <w:pStyle w:val="48"/>
              <w:bidi w:val="0"/>
              <w:rPr>
                <w:rFonts w:hint="default"/>
              </w:rPr>
            </w:pPr>
            <w:r>
              <w:rPr>
                <w:rFonts w:hint="default"/>
              </w:rPr>
              <w:t>Ci－污染物的浓度，mg/m</w:t>
            </w:r>
            <w:r>
              <w:rPr>
                <w:rFonts w:hint="default"/>
                <w:vertAlign w:val="superscript"/>
              </w:rPr>
              <w:t>3</w:t>
            </w:r>
            <w:r>
              <w:rPr>
                <w:rFonts w:hint="default"/>
              </w:rPr>
              <w:t>（标准状态）；</w:t>
            </w:r>
          </w:p>
          <w:p>
            <w:pPr>
              <w:pStyle w:val="48"/>
              <w:bidi w:val="0"/>
              <w:rPr>
                <w:rFonts w:hint="default"/>
              </w:rPr>
            </w:pPr>
            <w:r>
              <w:rPr>
                <w:rFonts w:hint="default"/>
              </w:rPr>
              <w:t>Coi－污染物的质量标准，mg/m</w:t>
            </w:r>
            <w:r>
              <w:rPr>
                <w:rFonts w:hint="default"/>
                <w:vertAlign w:val="superscript"/>
              </w:rPr>
              <w:t>3</w:t>
            </w:r>
            <w:r>
              <w:rPr>
                <w:rFonts w:hint="default"/>
              </w:rPr>
              <w:t>（标准状态）。</w:t>
            </w:r>
          </w:p>
          <w:p>
            <w:pPr>
              <w:pStyle w:val="48"/>
              <w:bidi w:val="0"/>
              <w:rPr>
                <w:rFonts w:hint="default"/>
                <w:lang w:val="en-US" w:eastAsia="zh-CN"/>
              </w:rPr>
            </w:pPr>
            <w:r>
              <w:rPr>
                <w:rFonts w:hint="default"/>
                <w:lang w:val="en-US" w:eastAsia="zh-CN"/>
              </w:rPr>
              <w:t>（4）评价结果</w:t>
            </w:r>
          </w:p>
          <w:p>
            <w:pPr>
              <w:pStyle w:val="48"/>
              <w:bidi w:val="0"/>
              <w:rPr>
                <w:rFonts w:hint="default"/>
              </w:rPr>
            </w:pPr>
            <w:r>
              <w:rPr>
                <w:rFonts w:hint="default"/>
              </w:rPr>
              <w:t>评价结果见下表。</w:t>
            </w:r>
          </w:p>
          <w:p>
            <w:pPr>
              <w:pStyle w:val="52"/>
              <w:bidi w:val="0"/>
              <w:rPr>
                <w:rFonts w:hint="default"/>
                <w:highlight w:val="green"/>
                <w:lang w:val="en-US" w:eastAsia="zh-CN"/>
              </w:rPr>
            </w:pPr>
            <w:r>
              <w:rPr>
                <w:rFonts w:hint="default"/>
                <w:lang w:val="en-US" w:eastAsia="zh-CN"/>
              </w:rPr>
              <w:t>表3-</w:t>
            </w:r>
            <w:r>
              <w:rPr>
                <w:rFonts w:hint="eastAsia"/>
                <w:lang w:val="en-US" w:eastAsia="zh-CN"/>
              </w:rPr>
              <w:t xml:space="preserve">5 </w:t>
            </w:r>
            <w:r>
              <w:rPr>
                <w:rFonts w:hint="default"/>
                <w:lang w:val="en-US" w:eastAsia="zh-CN"/>
              </w:rPr>
              <w:t xml:space="preserve">   </w:t>
            </w:r>
            <w:r>
              <w:rPr>
                <w:rFonts w:hint="default"/>
                <w:highlight w:val="none"/>
                <w:lang w:val="en-US" w:eastAsia="zh-CN"/>
              </w:rPr>
              <w:t>现状监测结果分析表</w:t>
            </w:r>
          </w:p>
          <w:tbl>
            <w:tblPr>
              <w:tblStyle w:val="23"/>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10"/>
              <w:gridCol w:w="1119"/>
              <w:gridCol w:w="1277"/>
              <w:gridCol w:w="108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7" w:type="pct"/>
                  <w:vMerge w:val="restart"/>
                  <w:noWrap w:val="0"/>
                  <w:vAlign w:val="center"/>
                </w:tcPr>
                <w:p>
                  <w:pPr>
                    <w:pStyle w:val="58"/>
                    <w:bidi w:val="0"/>
                    <w:rPr>
                      <w:rFonts w:hint="default"/>
                    </w:rPr>
                  </w:pPr>
                  <w:bookmarkStart w:id="3" w:name="_Hlk82001264"/>
                  <w:r>
                    <w:rPr>
                      <w:rFonts w:hint="default"/>
                    </w:rPr>
                    <w:t>监测项目</w:t>
                  </w:r>
                </w:p>
              </w:tc>
              <w:tc>
                <w:tcPr>
                  <w:tcW w:w="1708" w:type="pct"/>
                  <w:vMerge w:val="restart"/>
                  <w:noWrap w:val="0"/>
                  <w:vAlign w:val="center"/>
                </w:tcPr>
                <w:p>
                  <w:pPr>
                    <w:pStyle w:val="58"/>
                    <w:bidi w:val="0"/>
                    <w:rPr>
                      <w:rFonts w:hint="default"/>
                    </w:rPr>
                  </w:pPr>
                  <w:r>
                    <w:rPr>
                      <w:rFonts w:hint="default"/>
                    </w:rPr>
                    <w:t>评价指标</w:t>
                  </w:r>
                </w:p>
              </w:tc>
              <w:tc>
                <w:tcPr>
                  <w:tcW w:w="732" w:type="pct"/>
                  <w:vMerge w:val="restart"/>
                  <w:noWrap w:val="0"/>
                  <w:vAlign w:val="center"/>
                </w:tcPr>
                <w:p>
                  <w:pPr>
                    <w:pStyle w:val="58"/>
                    <w:bidi w:val="0"/>
                    <w:rPr>
                      <w:rFonts w:hint="default"/>
                    </w:rPr>
                  </w:pPr>
                  <w:r>
                    <w:rPr>
                      <w:rFonts w:hint="default"/>
                    </w:rPr>
                    <w:t>现状</w:t>
                  </w:r>
                  <w:r>
                    <w:rPr>
                      <w:rFonts w:hint="eastAsia"/>
                      <w:lang w:val="en-US" w:eastAsia="zh-CN"/>
                    </w:rPr>
                    <w:t>值</w:t>
                  </w:r>
                  <w:r>
                    <w:rPr>
                      <w:rFonts w:hint="default"/>
                    </w:rPr>
                    <w:t>（μg/m</w:t>
                  </w:r>
                  <w:r>
                    <w:rPr>
                      <w:rFonts w:hint="default"/>
                      <w:vertAlign w:val="superscript"/>
                    </w:rPr>
                    <w:t>3</w:t>
                  </w:r>
                  <w:r>
                    <w:rPr>
                      <w:rFonts w:hint="default"/>
                    </w:rPr>
                    <w:t>）</w:t>
                  </w:r>
                </w:p>
              </w:tc>
              <w:tc>
                <w:tcPr>
                  <w:tcW w:w="836" w:type="pct"/>
                  <w:vMerge w:val="restart"/>
                  <w:noWrap w:val="0"/>
                  <w:vAlign w:val="center"/>
                </w:tcPr>
                <w:p>
                  <w:pPr>
                    <w:pStyle w:val="58"/>
                    <w:bidi w:val="0"/>
                    <w:rPr>
                      <w:rFonts w:hint="eastAsia" w:eastAsia="宋体"/>
                      <w:lang w:eastAsia="zh-CN"/>
                    </w:rPr>
                  </w:pPr>
                  <w:r>
                    <w:rPr>
                      <w:rFonts w:hint="default"/>
                    </w:rPr>
                    <w:t>标准值</w:t>
                  </w:r>
                </w:p>
                <w:p>
                  <w:pPr>
                    <w:pStyle w:val="58"/>
                    <w:bidi w:val="0"/>
                    <w:rPr>
                      <w:rFonts w:hint="default"/>
                    </w:rPr>
                  </w:pPr>
                  <w:r>
                    <w:rPr>
                      <w:rFonts w:hint="default"/>
                    </w:rPr>
                    <w:t>（μg/m</w:t>
                  </w:r>
                  <w:r>
                    <w:rPr>
                      <w:rFonts w:hint="default"/>
                      <w:vertAlign w:val="superscript"/>
                    </w:rPr>
                    <w:t>3</w:t>
                  </w:r>
                  <w:r>
                    <w:rPr>
                      <w:rFonts w:hint="default"/>
                    </w:rPr>
                    <w:t>）</w:t>
                  </w:r>
                </w:p>
              </w:tc>
              <w:tc>
                <w:tcPr>
                  <w:tcW w:w="706" w:type="pct"/>
                  <w:vMerge w:val="restart"/>
                  <w:noWrap w:val="0"/>
                  <w:vAlign w:val="center"/>
                </w:tcPr>
                <w:p>
                  <w:pPr>
                    <w:pStyle w:val="58"/>
                    <w:bidi w:val="0"/>
                    <w:rPr>
                      <w:rFonts w:hint="default"/>
                    </w:rPr>
                  </w:pPr>
                  <w:r>
                    <w:rPr>
                      <w:rFonts w:hint="default"/>
                    </w:rPr>
                    <w:t>占标率</w:t>
                  </w:r>
                </w:p>
                <w:p>
                  <w:pPr>
                    <w:pStyle w:val="58"/>
                    <w:bidi w:val="0"/>
                    <w:rPr>
                      <w:rFonts w:hint="default"/>
                    </w:rPr>
                  </w:pPr>
                  <w:r>
                    <w:rPr>
                      <w:rFonts w:hint="default"/>
                    </w:rPr>
                    <w:t>%</w:t>
                  </w:r>
                </w:p>
              </w:tc>
              <w:tc>
                <w:tcPr>
                  <w:tcW w:w="529" w:type="pct"/>
                  <w:vMerge w:val="restart"/>
                  <w:noWrap w:val="0"/>
                  <w:vAlign w:val="center"/>
                </w:tcPr>
                <w:p>
                  <w:pPr>
                    <w:pStyle w:val="58"/>
                    <w:bidi w:val="0"/>
                    <w:rPr>
                      <w:rFonts w:hint="default"/>
                    </w:rPr>
                  </w:pPr>
                  <w:r>
                    <w:rPr>
                      <w:rFonts w:hint="default"/>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7" w:type="pct"/>
                  <w:vMerge w:val="continue"/>
                  <w:noWrap w:val="0"/>
                  <w:vAlign w:val="center"/>
                </w:tcPr>
                <w:p>
                  <w:pPr>
                    <w:pStyle w:val="58"/>
                    <w:bidi w:val="0"/>
                    <w:rPr>
                      <w:rFonts w:hint="default"/>
                    </w:rPr>
                  </w:pPr>
                </w:p>
              </w:tc>
              <w:tc>
                <w:tcPr>
                  <w:tcW w:w="1708" w:type="pct"/>
                  <w:vMerge w:val="continue"/>
                  <w:noWrap w:val="0"/>
                  <w:vAlign w:val="center"/>
                </w:tcPr>
                <w:p>
                  <w:pPr>
                    <w:pStyle w:val="58"/>
                    <w:bidi w:val="0"/>
                    <w:rPr>
                      <w:rFonts w:hint="default"/>
                    </w:rPr>
                  </w:pPr>
                </w:p>
              </w:tc>
              <w:tc>
                <w:tcPr>
                  <w:tcW w:w="732" w:type="pct"/>
                  <w:vMerge w:val="continue"/>
                  <w:noWrap w:val="0"/>
                  <w:vAlign w:val="center"/>
                </w:tcPr>
                <w:p>
                  <w:pPr>
                    <w:pStyle w:val="58"/>
                    <w:bidi w:val="0"/>
                    <w:rPr>
                      <w:rFonts w:hint="default"/>
                    </w:rPr>
                  </w:pPr>
                </w:p>
              </w:tc>
              <w:tc>
                <w:tcPr>
                  <w:tcW w:w="836" w:type="pct"/>
                  <w:vMerge w:val="continue"/>
                  <w:noWrap w:val="0"/>
                  <w:vAlign w:val="center"/>
                </w:tcPr>
                <w:p>
                  <w:pPr>
                    <w:pStyle w:val="58"/>
                    <w:bidi w:val="0"/>
                    <w:rPr>
                      <w:rFonts w:hint="default"/>
                    </w:rPr>
                  </w:pPr>
                </w:p>
              </w:tc>
              <w:tc>
                <w:tcPr>
                  <w:tcW w:w="706" w:type="pct"/>
                  <w:vMerge w:val="continue"/>
                  <w:noWrap w:val="0"/>
                  <w:vAlign w:val="center"/>
                </w:tcPr>
                <w:p>
                  <w:pPr>
                    <w:pStyle w:val="58"/>
                    <w:bidi w:val="0"/>
                    <w:rPr>
                      <w:rFonts w:hint="default"/>
                    </w:rPr>
                  </w:pPr>
                </w:p>
              </w:tc>
              <w:tc>
                <w:tcPr>
                  <w:tcW w:w="529" w:type="pct"/>
                  <w:vMerge w:val="continue"/>
                  <w:noWrap w:val="0"/>
                  <w:vAlign w:val="center"/>
                </w:tcPr>
                <w:p>
                  <w:pPr>
                    <w:pStyle w:val="58"/>
                    <w:bidi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noWrap w:val="0"/>
                  <w:vAlign w:val="center"/>
                </w:tcPr>
                <w:p>
                  <w:pPr>
                    <w:pStyle w:val="58"/>
                    <w:bidi w:val="0"/>
                    <w:rPr>
                      <w:rFonts w:hint="default"/>
                    </w:rPr>
                  </w:pPr>
                  <w:r>
                    <w:rPr>
                      <w:rFonts w:hint="default"/>
                    </w:rPr>
                    <w:t>SO</w:t>
                  </w:r>
                  <w:r>
                    <w:rPr>
                      <w:rFonts w:hint="default"/>
                      <w:vertAlign w:val="subscript"/>
                    </w:rPr>
                    <w:t>2</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年平均</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6</w:t>
                  </w:r>
                </w:p>
              </w:tc>
              <w:tc>
                <w:tcPr>
                  <w:tcW w:w="836" w:type="pct"/>
                  <w:noWrap w:val="0"/>
                  <w:vAlign w:val="center"/>
                </w:tcPr>
                <w:p>
                  <w:pPr>
                    <w:pStyle w:val="74"/>
                    <w:spacing w:beforeLines="0" w:afterLines="0"/>
                    <w:rPr>
                      <w:rFonts w:hint="default"/>
                    </w:rPr>
                  </w:pPr>
                  <w:r>
                    <w:rPr>
                      <w:rFonts w:hint="eastAsia"/>
                      <w:color w:val="auto"/>
                      <w:sz w:val="21"/>
                      <w:szCs w:val="21"/>
                    </w:rPr>
                    <w:t>60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10</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24h平均第98百分位数</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9</w:t>
                  </w:r>
                </w:p>
              </w:tc>
              <w:tc>
                <w:tcPr>
                  <w:tcW w:w="836" w:type="pct"/>
                  <w:noWrap w:val="0"/>
                  <w:vAlign w:val="center"/>
                </w:tcPr>
                <w:p>
                  <w:pPr>
                    <w:pStyle w:val="74"/>
                    <w:spacing w:beforeLines="0" w:afterLines="0"/>
                    <w:rPr>
                      <w:rFonts w:hint="default"/>
                    </w:rPr>
                  </w:pPr>
                  <w:r>
                    <w:rPr>
                      <w:rFonts w:hint="eastAsia"/>
                      <w:color w:val="auto"/>
                      <w:sz w:val="21"/>
                      <w:szCs w:val="21"/>
                    </w:rPr>
                    <w:t>150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6</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noWrap w:val="0"/>
                  <w:vAlign w:val="center"/>
                </w:tcPr>
                <w:p>
                  <w:pPr>
                    <w:pStyle w:val="58"/>
                    <w:bidi w:val="0"/>
                    <w:rPr>
                      <w:rFonts w:hint="default"/>
                    </w:rPr>
                  </w:pPr>
                  <w:r>
                    <w:rPr>
                      <w:rFonts w:hint="default"/>
                    </w:rPr>
                    <w:t>NO</w:t>
                  </w:r>
                  <w:r>
                    <w:rPr>
                      <w:rFonts w:hint="default"/>
                      <w:vertAlign w:val="subscript"/>
                    </w:rPr>
                    <w:t>2</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年平均</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6</w:t>
                  </w:r>
                </w:p>
              </w:tc>
              <w:tc>
                <w:tcPr>
                  <w:tcW w:w="836" w:type="pct"/>
                  <w:noWrap w:val="0"/>
                  <w:vAlign w:val="center"/>
                </w:tcPr>
                <w:p>
                  <w:pPr>
                    <w:pStyle w:val="74"/>
                    <w:spacing w:beforeLines="0" w:afterLines="0"/>
                    <w:rPr>
                      <w:rFonts w:hint="default"/>
                    </w:rPr>
                  </w:pPr>
                  <w:r>
                    <w:rPr>
                      <w:rFonts w:hint="eastAsia"/>
                      <w:color w:val="auto"/>
                      <w:sz w:val="21"/>
                      <w:szCs w:val="21"/>
                    </w:rPr>
                    <w:t>40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15</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24h平均第98百分位数</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13</w:t>
                  </w:r>
                </w:p>
              </w:tc>
              <w:tc>
                <w:tcPr>
                  <w:tcW w:w="836" w:type="pct"/>
                  <w:noWrap w:val="0"/>
                  <w:vAlign w:val="center"/>
                </w:tcPr>
                <w:p>
                  <w:pPr>
                    <w:pStyle w:val="74"/>
                    <w:spacing w:beforeLines="0" w:afterLines="0"/>
                    <w:rPr>
                      <w:rFonts w:hint="default"/>
                    </w:rPr>
                  </w:pPr>
                  <w:r>
                    <w:rPr>
                      <w:rFonts w:hint="eastAsia"/>
                      <w:color w:val="auto"/>
                      <w:sz w:val="21"/>
                      <w:szCs w:val="21"/>
                    </w:rPr>
                    <w:t>80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16</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noWrap w:val="0"/>
                  <w:vAlign w:val="center"/>
                </w:tcPr>
                <w:p>
                  <w:pPr>
                    <w:pStyle w:val="58"/>
                    <w:bidi w:val="0"/>
                    <w:rPr>
                      <w:rFonts w:hint="default"/>
                    </w:rPr>
                  </w:pPr>
                  <w:r>
                    <w:rPr>
                      <w:rFonts w:hint="default"/>
                    </w:rPr>
                    <w:t>CO</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24h平均第95百分位数</w:t>
                  </w:r>
                </w:p>
              </w:tc>
              <w:tc>
                <w:tcPr>
                  <w:tcW w:w="732" w:type="pct"/>
                  <w:noWrap w:val="0"/>
                  <w:vAlign w:val="center"/>
                </w:tcPr>
                <w:p>
                  <w:pPr>
                    <w:pStyle w:val="6"/>
                    <w:bidi w:val="0"/>
                    <w:ind w:left="0" w:leftChars="0" w:right="0" w:rightChars="0" w:firstLine="0" w:firstLineChars="0"/>
                    <w:jc w:val="center"/>
                    <w:rPr>
                      <w:rFonts w:hint="default" w:eastAsia="宋体"/>
                      <w:lang w:val="en-US" w:eastAsia="zh-CN"/>
                    </w:rPr>
                  </w:pPr>
                  <w:r>
                    <w:rPr>
                      <w:rFonts w:hint="eastAsia"/>
                      <w:lang w:val="en-US" w:eastAsia="zh-CN"/>
                    </w:rPr>
                    <w:t>700</w:t>
                  </w:r>
                </w:p>
              </w:tc>
              <w:tc>
                <w:tcPr>
                  <w:tcW w:w="836" w:type="pct"/>
                  <w:noWrap w:val="0"/>
                  <w:vAlign w:val="center"/>
                </w:tcPr>
                <w:p>
                  <w:pPr>
                    <w:pStyle w:val="74"/>
                    <w:spacing w:beforeLines="0" w:afterLines="0"/>
                    <w:rPr>
                      <w:rFonts w:hint="default" w:eastAsia="宋体"/>
                      <w:lang w:val="en-US" w:eastAsia="zh-CN"/>
                    </w:rPr>
                  </w:pPr>
                  <w:r>
                    <w:rPr>
                      <w:rFonts w:hint="eastAsia"/>
                      <w:color w:val="auto"/>
                      <w:sz w:val="21"/>
                      <w:szCs w:val="21"/>
                    </w:rPr>
                    <w:t>4000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18</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noWrap w:val="0"/>
                  <w:vAlign w:val="center"/>
                </w:tcPr>
                <w:p>
                  <w:pPr>
                    <w:pStyle w:val="58"/>
                    <w:bidi w:val="0"/>
                    <w:rPr>
                      <w:rFonts w:hint="default"/>
                    </w:rPr>
                  </w:pPr>
                  <w:r>
                    <w:rPr>
                      <w:rFonts w:hint="default"/>
                    </w:rPr>
                    <w:t>O</w:t>
                  </w:r>
                  <w:r>
                    <w:rPr>
                      <w:rFonts w:hint="default"/>
                      <w:vertAlign w:val="subscript"/>
                    </w:rPr>
                    <w:t>3</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default"/>
                      <w:lang w:val="en-US" w:eastAsia="zh-CN"/>
                    </w:rPr>
                    <w:t>最大8小时滑动平均值的第90百分位数</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128</w:t>
                  </w:r>
                </w:p>
              </w:tc>
              <w:tc>
                <w:tcPr>
                  <w:tcW w:w="836" w:type="pct"/>
                  <w:noWrap w:val="0"/>
                  <w:vAlign w:val="center"/>
                </w:tcPr>
                <w:p>
                  <w:pPr>
                    <w:pStyle w:val="74"/>
                    <w:spacing w:beforeLines="0" w:afterLines="0"/>
                    <w:rPr>
                      <w:rFonts w:hint="default"/>
                    </w:rPr>
                  </w:pPr>
                  <w:r>
                    <w:rPr>
                      <w:rFonts w:hint="eastAsia"/>
                      <w:color w:val="auto"/>
                      <w:sz w:val="21"/>
                      <w:szCs w:val="21"/>
                    </w:rPr>
                    <w:t>160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80</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shd w:val="clear" w:color="auto" w:fill="auto"/>
                  <w:noWrap w:val="0"/>
                  <w:vAlign w:val="center"/>
                </w:tcPr>
                <w:p>
                  <w:pPr>
                    <w:pStyle w:val="58"/>
                    <w:bidi w:val="0"/>
                    <w:rPr>
                      <w:rFonts w:hint="default" w:eastAsia="宋体"/>
                      <w:lang w:val="en-US" w:eastAsia="zh-CN"/>
                    </w:rPr>
                  </w:pPr>
                  <w:r>
                    <w:rPr>
                      <w:rFonts w:hint="default"/>
                    </w:rPr>
                    <w:t>PM</w:t>
                  </w:r>
                  <w:r>
                    <w:rPr>
                      <w:rFonts w:hint="eastAsia"/>
                      <w:vertAlign w:val="subscript"/>
                      <w:lang w:val="en-US" w:eastAsia="zh-CN"/>
                    </w:rPr>
                    <w:t>10</w:t>
                  </w: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年平均</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407</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color w:val="auto"/>
                      <w:sz w:val="21"/>
                      <w:szCs w:val="21"/>
                      <w:lang w:val="en-US" w:eastAsia="zh-CN"/>
                    </w:rPr>
                    <w:t>60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678</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lang w:val="en-US" w:eastAsia="zh-CN"/>
                    </w:rPr>
                    <w:t>超</w:t>
                  </w:r>
                  <w:r>
                    <w:rPr>
                      <w:rFonts w:hint="default"/>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24h平均第95百分位数</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1294</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lang w:val="en-US" w:eastAsia="zh-CN"/>
                    </w:rPr>
                    <w:t>120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1078</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shd w:val="clear" w:color="auto" w:fill="auto"/>
                  <w:noWrap w:val="0"/>
                  <w:vAlign w:val="center"/>
                </w:tcPr>
                <w:p>
                  <w:pPr>
                    <w:pStyle w:val="58"/>
                    <w:bidi w:val="0"/>
                    <w:rPr>
                      <w:rFonts w:hint="default" w:eastAsia="宋体"/>
                      <w:lang w:val="en-US" w:eastAsia="zh-CN"/>
                    </w:rPr>
                  </w:pPr>
                  <w:r>
                    <w:rPr>
                      <w:rFonts w:hint="default"/>
                    </w:rPr>
                    <w:t>PM</w:t>
                  </w:r>
                  <w:r>
                    <w:rPr>
                      <w:rFonts w:hint="eastAsia"/>
                      <w:vertAlign w:val="subscript"/>
                      <w:lang w:val="en-US" w:eastAsia="zh-CN"/>
                    </w:rPr>
                    <w:t>2.5</w:t>
                  </w: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年平均</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157</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lang w:val="en-US" w:eastAsia="zh-CN"/>
                    </w:rPr>
                    <w:t>30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523</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24h平均第95百分位数</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562</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lang w:val="en-US" w:eastAsia="zh-CN"/>
                    </w:rPr>
                    <w:t>60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937</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超标</w:t>
                  </w:r>
                </w:p>
              </w:tc>
            </w:tr>
            <w:bookmarkEnd w:id="3"/>
          </w:tbl>
          <w:p>
            <w:pPr>
              <w:pStyle w:val="48"/>
              <w:bidi w:val="0"/>
              <w:rPr>
                <w:rFonts w:hint="default"/>
                <w:lang w:val="en-US" w:eastAsia="zh-CN"/>
              </w:rPr>
            </w:pPr>
            <w:r>
              <w:rPr>
                <w:rFonts w:hint="default"/>
                <w:lang w:val="en-US" w:eastAsia="zh-CN"/>
              </w:rPr>
              <w:t>本项目所在区域PM</w:t>
            </w:r>
            <w:r>
              <w:rPr>
                <w:rFonts w:hint="default"/>
                <w:vertAlign w:val="subscript"/>
                <w:lang w:val="en-US" w:eastAsia="zh-CN"/>
              </w:rPr>
              <w:t>2.5</w:t>
            </w:r>
            <w:r>
              <w:rPr>
                <w:rFonts w:hint="default"/>
                <w:lang w:val="en-US" w:eastAsia="zh-CN"/>
              </w:rPr>
              <w:t>、PM</w:t>
            </w:r>
            <w:r>
              <w:rPr>
                <w:rFonts w:hint="default"/>
                <w:vertAlign w:val="subscript"/>
                <w:lang w:val="en-US" w:eastAsia="zh-CN"/>
              </w:rPr>
              <w:t>10</w:t>
            </w:r>
            <w:r>
              <w:rPr>
                <w:rFonts w:hint="default"/>
                <w:lang w:val="en-US" w:eastAsia="zh-CN"/>
              </w:rPr>
              <w:t>年平均和24h平均第95百分位数浓度超过《环境空气质量标准》（GB3095-2026）过渡阶段的二级标准要求，SO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、CO、O</w:t>
            </w:r>
            <w:r>
              <w:rPr>
                <w:rFonts w:hint="default"/>
                <w:vertAlign w:val="subscript"/>
                <w:lang w:val="en-US" w:eastAsia="zh-CN"/>
              </w:rPr>
              <w:t>3</w:t>
            </w:r>
            <w:r>
              <w:rPr>
                <w:rFonts w:hint="default"/>
                <w:lang w:val="en-US" w:eastAsia="zh-CN"/>
              </w:rPr>
              <w:t>等其他监测指标均满足二级标准。PM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超标主要与当地气候条件和地理位置有关，评价区大气受当地干旱气候的影响，空气中PM</w:t>
            </w:r>
            <w:r>
              <w:rPr>
                <w:rFonts w:hint="default"/>
                <w:vertAlign w:val="subscript"/>
                <w:lang w:val="en-US" w:eastAsia="zh-CN"/>
              </w:rPr>
              <w:t>2.5</w:t>
            </w:r>
            <w:r>
              <w:rPr>
                <w:rFonts w:hint="default"/>
                <w:lang w:val="en-US" w:eastAsia="zh-CN"/>
              </w:rPr>
              <w:t>、PM</w:t>
            </w:r>
            <w:r>
              <w:rPr>
                <w:rFonts w:hint="default"/>
                <w:vertAlign w:val="subscript"/>
                <w:lang w:val="en-US" w:eastAsia="zh-CN"/>
              </w:rPr>
              <w:t>10</w:t>
            </w:r>
            <w:r>
              <w:rPr>
                <w:rFonts w:hint="default"/>
                <w:lang w:val="en-US" w:eastAsia="zh-CN"/>
              </w:rPr>
              <w:t>的本底值偏高，尤其在沙尘暴和浮尘天气，会出现严重超标。因此，项目所在区域为不达标区。</w:t>
            </w:r>
          </w:p>
          <w:p>
            <w:pPr>
              <w:pStyle w:val="50"/>
              <w:bidi w:val="0"/>
              <w:rPr>
                <w:rFonts w:hint="default"/>
                <w:highlight w:val="none"/>
                <w:lang w:val="en-US" w:eastAsia="zh-CN"/>
              </w:rPr>
            </w:pPr>
            <w:r>
              <w:rPr>
                <w:rFonts w:hint="eastAsia"/>
                <w:highlight w:val="none"/>
                <w:lang w:val="en-US" w:eastAsia="zh-CN"/>
              </w:rPr>
              <w:t>3.地表</w:t>
            </w:r>
            <w:r>
              <w:rPr>
                <w:rFonts w:hint="default"/>
                <w:highlight w:val="none"/>
              </w:rPr>
              <w:t>水环境质量现状</w:t>
            </w:r>
          </w:p>
          <w:p>
            <w:pPr>
              <w:pStyle w:val="48"/>
              <w:bidi w:val="0"/>
              <w:rPr>
                <w:rFonts w:hint="default"/>
                <w:lang w:val="en-US" w:eastAsia="zh-CN"/>
              </w:rPr>
            </w:pPr>
            <w:r>
              <w:rPr>
                <w:rFonts w:hint="default"/>
                <w:lang w:val="en-US" w:eastAsia="zh-CN"/>
              </w:rPr>
              <w:t>本项目</w:t>
            </w:r>
            <w:r>
              <w:rPr>
                <w:rFonts w:hint="eastAsia"/>
                <w:lang w:val="en-US" w:eastAsia="zh-CN"/>
              </w:rPr>
              <w:t>区内有色日克库勒萨依河穿越，东北方向900米处有吉格代库勒萨依河，色日克库勒萨依河和吉格代库勒萨依河为莫勒且河的上游支流，发源于‌昆仑山阿孜塔格冰川区域，莫勒且河流域整体被归类为‌季节性显著的冰川融水补给型河流，属于典型的内陆干旱区河流。</w:t>
            </w:r>
          </w:p>
          <w:p>
            <w:pPr>
              <w:pStyle w:val="48"/>
              <w:bidi w:val="0"/>
              <w:rPr>
                <w:rFonts w:hint="default"/>
                <w:lang w:val="en-US" w:eastAsia="zh-CN"/>
              </w:rPr>
            </w:pPr>
            <w:r>
              <w:rPr>
                <w:rFonts w:hint="default"/>
                <w:lang w:val="en-US" w:eastAsia="zh-CN"/>
              </w:rPr>
              <w:t>本项目无生产、生活废水外排，不涉及任何涉水工程建设，不会改变区域地表水文要素。为切实保障地表水体生态安全，项目合理布设勘查线路与作业范围，主动避让季节性河流、冲沟等水体，严格划定地表水沿岸区域为禁作业区，禁止勘探活动跨越河道，严禁在河道内开展取水、施工等一切涉水作业。依据《环境影响评价技术导则 地表水环境》（HJ2.3-2018）要求，本项目无需开展地表水环境现状调查</w:t>
            </w:r>
            <w:r>
              <w:rPr>
                <w:rFonts w:hint="eastAsia"/>
                <w:lang w:val="en-US" w:eastAsia="zh-CN"/>
              </w:rPr>
              <w:t>。</w:t>
            </w:r>
          </w:p>
          <w:p>
            <w:pPr>
              <w:pStyle w:val="50"/>
              <w:bidi w:val="0"/>
              <w:rPr>
                <w:rFonts w:hint="default"/>
              </w:rPr>
            </w:pPr>
            <w:r>
              <w:rPr>
                <w:rFonts w:hint="eastAsia"/>
                <w:lang w:val="en-US" w:eastAsia="zh-CN"/>
              </w:rPr>
              <w:t>4.</w:t>
            </w:r>
            <w:r>
              <w:rPr>
                <w:rFonts w:hint="default"/>
                <w:highlight w:val="none"/>
              </w:rPr>
              <w:t>声环境质量现状</w:t>
            </w:r>
          </w:p>
          <w:p>
            <w:pPr>
              <w:pStyle w:val="48"/>
              <w:bidi w:val="0"/>
              <w:rPr>
                <w:rFonts w:hint="default"/>
              </w:rPr>
            </w:pPr>
            <w:r>
              <w:rPr>
                <w:rFonts w:hint="default"/>
              </w:rPr>
              <w:t>根据《建设项目环境影响报告表编制技术指南（污染影响类）（试行）》，</w:t>
            </w:r>
            <w:r>
              <w:rPr>
                <w:rFonts w:hint="default"/>
                <w:lang w:val="en-US" w:eastAsia="zh-CN"/>
              </w:rPr>
              <w:t>本项目探矿区</w:t>
            </w:r>
            <w:r>
              <w:rPr>
                <w:rFonts w:hint="default"/>
              </w:rPr>
              <w:t>外周边50米范围内不存在声环境保护目标的建设项目，不需要监测声环境质量现状并评价达标情况</w:t>
            </w:r>
            <w:r>
              <w:rPr>
                <w:rFonts w:hint="eastAsia"/>
                <w:lang w:val="en-US" w:eastAsia="zh-CN"/>
              </w:rPr>
              <w:t>。</w:t>
            </w:r>
          </w:p>
          <w:p>
            <w:pPr>
              <w:pStyle w:val="50"/>
              <w:bidi w:val="0"/>
              <w:rPr>
                <w:rFonts w:hint="default"/>
              </w:rPr>
            </w:pPr>
            <w:r>
              <w:rPr>
                <w:rFonts w:hint="eastAsia"/>
                <w:lang w:val="en-US" w:eastAsia="zh-CN"/>
              </w:rPr>
              <w:t>5.</w:t>
            </w:r>
            <w:r>
              <w:rPr>
                <w:rFonts w:hint="eastAsia"/>
                <w:lang w:eastAsia="zh-CN"/>
              </w:rPr>
              <w:t>地下水</w:t>
            </w:r>
            <w:r>
              <w:rPr>
                <w:rFonts w:hint="default"/>
              </w:rPr>
              <w:t>环境质量现状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本项目为</w:t>
            </w:r>
            <w:r>
              <w:rPr>
                <w:rFonts w:hint="eastAsia" w:ascii="Times New Roman" w:hAnsi="Times New Roman" w:eastAsia="宋体" w:cs="Times New Roman"/>
                <w:sz w:val="24"/>
                <w:highlight w:val="none"/>
                <w:lang w:val="en-US" w:eastAsia="zh-CN"/>
              </w:rPr>
              <w:t>陆地矿产资源地质勘查项目</w:t>
            </w:r>
            <w:r>
              <w:rPr>
                <w:rFonts w:hint="default" w:ascii="Times New Roman" w:hAnsi="Times New Roman" w:eastAsia="宋体" w:cs="Times New Roman"/>
                <w:sz w:val="24"/>
                <w:highlight w:val="none"/>
                <w:lang w:val="en-US" w:eastAsia="zh-CN"/>
              </w:rPr>
              <w:t>，根据</w:t>
            </w:r>
            <w:r>
              <w:rPr>
                <w:rFonts w:hint="default" w:ascii="Times New Roman" w:hAnsi="Times New Roman" w:eastAsia="宋体" w:cs="Times New Roman"/>
                <w:sz w:val="24"/>
                <w:highlight w:val="none"/>
              </w:rPr>
              <w:t>《环境影响评价技术导则</w:t>
            </w:r>
            <w:r>
              <w:rPr>
                <w:rFonts w:hint="eastAsia" w:cs="Times New Roman"/>
                <w:sz w:val="24"/>
                <w:highlight w:val="none"/>
                <w:lang w:eastAsia="zh-CN"/>
              </w:rPr>
              <w:t>－</w:t>
            </w:r>
            <w:r>
              <w:rPr>
                <w:rFonts w:hint="default" w:ascii="Times New Roman" w:hAnsi="Times New Roman" w:eastAsia="宋体" w:cs="Times New Roman"/>
                <w:sz w:val="24"/>
                <w:highlight w:val="none"/>
                <w:lang w:val="en-US" w:eastAsia="zh-CN"/>
              </w:rPr>
              <w:t>地下水</w:t>
            </w:r>
            <w:r>
              <w:rPr>
                <w:rFonts w:hint="default" w:ascii="Times New Roman" w:hAnsi="Times New Roman" w:eastAsia="宋体" w:cs="Times New Roman"/>
                <w:sz w:val="24"/>
                <w:highlight w:val="none"/>
              </w:rPr>
              <w:t>环境》（HJ2.2-201</w:t>
            </w:r>
            <w:r>
              <w:rPr>
                <w:rFonts w:hint="default" w:ascii="Times New Roman" w:hAnsi="Times New Roman" w:eastAsia="宋体" w:cs="Times New Roman"/>
                <w:sz w:val="24"/>
                <w:highlight w:val="none"/>
                <w:lang w:val="en-US" w:eastAsia="zh-CN"/>
              </w:rPr>
              <w:t>6</w:t>
            </w:r>
            <w:r>
              <w:rPr>
                <w:rFonts w:hint="default"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，属于</w:t>
            </w:r>
            <w:r>
              <w:rPr>
                <w:rFonts w:hint="default" w:ascii="Times New Roman" w:hAnsi="Times New Roman" w:eastAsia="宋体" w:cs="Times New Roman"/>
                <w:sz w:val="24"/>
                <w:highlight w:val="none"/>
                <w:lang w:val="en-US" w:eastAsia="zh-CN"/>
              </w:rPr>
              <w:t>附录A中：</w:t>
            </w:r>
            <w:r>
              <w:rPr>
                <w:rFonts w:hint="eastAsia" w:ascii="Times New Roman" w:hAnsi="Times New Roman" w:eastAsia="宋体" w:cs="Times New Roman"/>
                <w:sz w:val="24"/>
                <w:highlight w:val="none"/>
                <w:lang w:val="en-US" w:eastAsia="zh-CN"/>
              </w:rPr>
              <w:t>24.矿产资源地质勘查（包括勘探活动），</w:t>
            </w:r>
            <w:r>
              <w:rPr>
                <w:rFonts w:hint="default" w:ascii="Times New Roman" w:hAnsi="Times New Roman" w:eastAsia="宋体" w:cs="Times New Roman"/>
                <w:sz w:val="24"/>
                <w:highlight w:val="none"/>
                <w:lang w:val="en-US" w:eastAsia="zh-CN"/>
              </w:rPr>
              <w:t>地下水环境影响评价</w:t>
            </w:r>
            <w:r>
              <w:rPr>
                <w:rFonts w:hint="eastAsia" w:ascii="Times New Roman" w:hAnsi="Times New Roman" w:eastAsia="宋体" w:cs="Times New Roman"/>
                <w:sz w:val="24"/>
                <w:highlight w:val="none"/>
                <w:lang w:val="en-US" w:eastAsia="zh-CN"/>
              </w:rPr>
              <w:t>项目</w:t>
            </w:r>
            <w:r>
              <w:rPr>
                <w:rFonts w:hint="default" w:ascii="Times New Roman" w:hAnsi="Times New Roman" w:eastAsia="宋体" w:cs="Times New Roman"/>
                <w:sz w:val="24"/>
                <w:highlight w:val="none"/>
                <w:lang w:val="en-US" w:eastAsia="zh-CN"/>
              </w:rPr>
              <w:t>类别</w:t>
            </w:r>
            <w:r>
              <w:rPr>
                <w:rFonts w:hint="eastAsia" w:ascii="Times New Roman" w:hAnsi="Times New Roman" w:eastAsia="宋体" w:cs="Times New Roman"/>
                <w:sz w:val="24"/>
                <w:highlight w:val="none"/>
                <w:lang w:val="en-US" w:eastAsia="zh-CN"/>
              </w:rPr>
              <w:t>为</w:t>
            </w:r>
            <w:r>
              <w:rPr>
                <w:rFonts w:hint="eastAsia" w:cs="Times New Roman"/>
                <w:sz w:val="24"/>
                <w:highlight w:val="none"/>
                <w:lang w:val="en-US" w:eastAsia="zh-CN"/>
              </w:rPr>
              <w:t>Ⅳ类</w:t>
            </w:r>
            <w:r>
              <w:rPr>
                <w:rFonts w:hint="default" w:ascii="Times New Roman" w:hAnsi="Times New Roman" w:eastAsia="宋体" w:cs="Times New Roman"/>
                <w:sz w:val="24"/>
                <w:highlight w:val="none"/>
                <w:lang w:val="en-US" w:eastAsia="zh-CN"/>
              </w:rPr>
              <w:t>。因此，本项目不开展地下水环境质量现状调查评价</w:t>
            </w:r>
            <w:r>
              <w:rPr>
                <w:rFonts w:hint="eastAsia" w:ascii="Times New Roman" w:hAnsi="Times New Roman" w:eastAsia="宋体" w:cs="Times New Roman"/>
                <w:sz w:val="24"/>
                <w:highlight w:val="none"/>
                <w:lang w:val="en-US" w:eastAsia="zh-CN"/>
              </w:rPr>
              <w:t>。</w:t>
            </w:r>
          </w:p>
          <w:p>
            <w:pPr>
              <w:pStyle w:val="50"/>
              <w:bidi w:val="0"/>
              <w:rPr>
                <w:rFonts w:hint="default"/>
                <w:lang w:val="en-US" w:eastAsia="zh-CN"/>
              </w:rPr>
            </w:pPr>
            <w:r>
              <w:rPr>
                <w:rFonts w:hint="eastAsia"/>
                <w:lang w:val="en-US" w:eastAsia="zh-CN"/>
              </w:rPr>
              <w:t>6.土壤环境质量现状</w:t>
            </w:r>
          </w:p>
          <w:p>
            <w:pPr>
              <w:pStyle w:val="48"/>
              <w:bidi w:val="0"/>
              <w:rPr>
                <w:rFonts w:hint="default"/>
                <w:vertAlign w:val="superscript"/>
                <w:lang w:val="en-US" w:eastAsia="zh-CN"/>
              </w:rPr>
            </w:pPr>
            <w:r>
              <w:rPr>
                <w:rFonts w:hint="default"/>
                <w:lang w:eastAsia="zh-CN"/>
              </w:rPr>
              <w:t>根据《环境影响评价技术导则 土壤环境》（HJ964-2018），</w:t>
            </w:r>
            <w:r>
              <w:rPr>
                <w:rFonts w:hint="default"/>
                <w:lang w:val="en-US" w:eastAsia="zh-CN"/>
              </w:rPr>
              <w:t>本项目</w:t>
            </w:r>
            <w:r>
              <w:rPr>
                <w:rFonts w:hint="eastAsia"/>
                <w:lang w:val="en-US" w:eastAsia="zh-CN"/>
              </w:rPr>
              <w:t>为</w:t>
            </w:r>
            <w:r>
              <w:rPr>
                <w:rFonts w:hint="default"/>
                <w:lang w:val="en-US" w:eastAsia="zh-CN"/>
              </w:rPr>
              <w:t>地质勘探类项目</w:t>
            </w:r>
            <w:r>
              <w:rPr>
                <w:rFonts w:hint="eastAsia"/>
                <w:lang w:val="en-US" w:eastAsia="zh-CN"/>
              </w:rPr>
              <w:t>，</w:t>
            </w:r>
            <w:r>
              <w:rPr>
                <w:rFonts w:hint="default"/>
                <w:lang w:eastAsia="zh-CN"/>
              </w:rPr>
              <w:t>属于</w:t>
            </w:r>
            <w:r>
              <w:rPr>
                <w:rFonts w:hint="eastAsia"/>
                <w:lang w:eastAsia="zh-CN"/>
              </w:rPr>
              <w:t>“其他行业－</w:t>
            </w:r>
            <w:r>
              <w:rPr>
                <w:rFonts w:hint="eastAsia"/>
                <w:lang w:val="en-US" w:eastAsia="zh-CN"/>
              </w:rPr>
              <w:t>全部</w:t>
            </w:r>
            <w:r>
              <w:rPr>
                <w:rFonts w:hint="eastAsia"/>
                <w:lang w:eastAsia="zh-CN"/>
              </w:rPr>
              <w:t>”</w:t>
            </w:r>
            <w:r>
              <w:rPr>
                <w:rFonts w:hint="default"/>
                <w:lang w:eastAsia="zh-CN"/>
              </w:rPr>
              <w:t>，为</w:t>
            </w:r>
            <w:r>
              <w:rPr>
                <w:rFonts w:hint="eastAsia"/>
                <w:lang w:eastAsia="zh-CN"/>
              </w:rPr>
              <w:t>Ⅳ类</w:t>
            </w:r>
            <w:r>
              <w:rPr>
                <w:rFonts w:hint="default"/>
                <w:lang w:eastAsia="zh-CN"/>
              </w:rPr>
              <w:t>项目，可不开展土壤</w:t>
            </w:r>
            <w:r>
              <w:rPr>
                <w:rFonts w:hint="eastAsia"/>
                <w:lang w:val="en-US" w:eastAsia="zh-CN"/>
              </w:rPr>
              <w:t>现状调查</w:t>
            </w:r>
            <w:r>
              <w:rPr>
                <w:rFonts w:hint="default"/>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664" w:type="dxa"/>
            <w:noWrap w:val="0"/>
            <w:vAlign w:val="center"/>
          </w:tcPr>
          <w:p>
            <w:pPr>
              <w:adjustRightInd w:val="0"/>
              <w:snapToGrid w:val="0"/>
              <w:jc w:val="center"/>
              <w:rPr>
                <w:rFonts w:ascii="宋体" w:hAnsi="宋体" w:cs="宋体"/>
                <w:kern w:val="0"/>
                <w:szCs w:val="21"/>
              </w:rPr>
            </w:pPr>
            <w:r>
              <w:rPr>
                <w:rFonts w:hint="eastAsia" w:ascii="宋体" w:hAnsi="宋体"/>
                <w:bCs/>
                <w:szCs w:val="21"/>
              </w:rPr>
              <w:t>与项目有关的原有环境污染和生态破坏问题</w:t>
            </w:r>
          </w:p>
        </w:tc>
        <w:tc>
          <w:tcPr>
            <w:tcW w:w="8139" w:type="dxa"/>
            <w:noWrap w:val="0"/>
            <w:vAlign w:val="center"/>
          </w:tcPr>
          <w:p>
            <w:pPr>
              <w:adjustRightInd w:val="0"/>
              <w:snapToGrid w:val="0"/>
              <w:ind w:firstLine="480" w:firstLineChars="200"/>
              <w:jc w:val="center"/>
              <w:rPr>
                <w:rFonts w:hint="eastAsia"/>
                <w:lang w:val="en-US" w:eastAsia="zh-CN"/>
              </w:rPr>
            </w:pPr>
            <w:r>
              <w:rPr>
                <w:rFonts w:hint="eastAsia" w:ascii="Times New Roman" w:hAnsi="Times New Roman" w:eastAsia="宋体" w:cs="Times New Roman"/>
                <w:sz w:val="24"/>
                <w:highlight w:val="none"/>
              </w:rPr>
              <w:t>本项目属于新建项目，</w:t>
            </w:r>
            <w:r>
              <w:rPr>
                <w:rFonts w:hint="eastAsia" w:cs="Times New Roman"/>
                <w:sz w:val="24"/>
                <w:highlight w:val="none"/>
                <w:lang w:val="en-US" w:eastAsia="zh-CN"/>
              </w:rPr>
              <w:t>无原有环境污染问题。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64"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生态环境保护目标</w:t>
            </w:r>
          </w:p>
        </w:tc>
        <w:tc>
          <w:tcPr>
            <w:tcW w:w="8139" w:type="dxa"/>
            <w:noWrap w:val="0"/>
            <w:vAlign w:val="center"/>
          </w:tcPr>
          <w:p>
            <w:pPr>
              <w:pStyle w:val="48"/>
              <w:bidi w:val="0"/>
              <w:rPr>
                <w:rFonts w:hint="eastAsia" w:ascii="Times New Roman" w:hAnsi="Times New Roman" w:eastAsia="宋体" w:cs="Times New Roman"/>
                <w:sz w:val="24"/>
                <w:highlight w:val="none"/>
                <w:lang w:val="en-US" w:eastAsia="zh-CN"/>
              </w:rPr>
            </w:pPr>
            <w:r>
              <w:rPr>
                <w:rFonts w:hint="eastAsia"/>
                <w:lang w:val="en-US" w:eastAsia="zh-CN"/>
              </w:rPr>
              <w:t>勘探</w:t>
            </w:r>
            <w:r>
              <w:rPr>
                <w:rFonts w:hint="eastAsia"/>
              </w:rPr>
              <w:t>区位于</w:t>
            </w:r>
            <w:r>
              <w:rPr>
                <w:rFonts w:hint="eastAsia"/>
                <w:highlight w:val="none"/>
                <w:lang w:val="en-US" w:eastAsia="zh-CN"/>
              </w:rPr>
              <w:t>且末县城西南209°方向，直线距离150千米</w:t>
            </w:r>
            <w:r>
              <w:rPr>
                <w:rFonts w:hint="eastAsia" w:ascii="Times New Roman" w:hAnsi="Times New Roman" w:eastAsia="宋体" w:cs="Times New Roman"/>
                <w:sz w:val="24"/>
                <w:highlight w:val="none"/>
                <w:lang w:val="zh-CN" w:eastAsia="zh-CN"/>
              </w:rPr>
              <w:t>。</w:t>
            </w:r>
            <w:r>
              <w:rPr>
                <w:rFonts w:hint="eastAsia" w:ascii="Times New Roman" w:hAnsi="Times New Roman" w:eastAsia="宋体" w:cs="Times New Roman"/>
                <w:sz w:val="24"/>
                <w:highlight w:val="none"/>
                <w:lang w:val="en-US" w:eastAsia="zh-CN"/>
              </w:rPr>
              <w:t>根据《环境影响评价技术导则 生态影响》（HJ19-2022）本项目评价等级为三级，评价范围为项目占地范围内，项目沿线不涉及自然保护区、风景名胜区；不占基本农田。</w:t>
            </w:r>
          </w:p>
          <w:p>
            <w:pPr>
              <w:pStyle w:val="52"/>
              <w:bidi w:val="0"/>
              <w:rPr>
                <w:rFonts w:hint="eastAsia"/>
                <w:lang w:val="en-US" w:eastAsia="zh-CN"/>
              </w:rPr>
            </w:pPr>
            <w:r>
              <w:rPr>
                <w:rFonts w:hint="eastAsia"/>
                <w:lang w:val="en-US" w:eastAsia="zh-CN"/>
              </w:rPr>
              <w:t>表3-6    项目主要环境保护目标一览表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018"/>
              <w:gridCol w:w="248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660" w:type="dxa"/>
                  <w:noWrap w:val="0"/>
                  <w:vAlign w:val="center"/>
                </w:tcPr>
                <w:p>
                  <w:pPr>
                    <w:pStyle w:val="58"/>
                  </w:pPr>
                  <w:r>
                    <w:t>名称</w:t>
                  </w:r>
                </w:p>
              </w:tc>
              <w:tc>
                <w:tcPr>
                  <w:tcW w:w="2034" w:type="dxa"/>
                  <w:noWrap w:val="0"/>
                  <w:vAlign w:val="center"/>
                </w:tcPr>
                <w:p>
                  <w:pPr>
                    <w:pStyle w:val="58"/>
                  </w:pPr>
                  <w:r>
                    <w:t>主要保护对象</w:t>
                  </w:r>
                </w:p>
              </w:tc>
              <w:tc>
                <w:tcPr>
                  <w:tcW w:w="2499" w:type="dxa"/>
                  <w:noWrap w:val="0"/>
                  <w:vAlign w:val="center"/>
                </w:tcPr>
                <w:p>
                  <w:pPr>
                    <w:pStyle w:val="58"/>
                  </w:pPr>
                  <w:r>
                    <w:t>与建设项目的位置关系</w:t>
                  </w:r>
                </w:p>
              </w:tc>
              <w:tc>
                <w:tcPr>
                  <w:tcW w:w="1777" w:type="dxa"/>
                  <w:noWrap w:val="0"/>
                  <w:vAlign w:val="center"/>
                </w:tcPr>
                <w:p>
                  <w:pPr>
                    <w:pStyle w:val="58"/>
                  </w:pPr>
                  <w:r>
                    <w:rPr>
                      <w:highlight w:val="none"/>
                    </w:rPr>
                    <w:t>涉及的功能分区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60" w:type="dxa"/>
                  <w:noWrap w:val="0"/>
                  <w:vAlign w:val="center"/>
                </w:tcPr>
                <w:p>
                  <w:pPr>
                    <w:pStyle w:val="58"/>
                    <w:rPr>
                      <w:rFonts w:hint="default"/>
                      <w:lang w:val="en-US" w:eastAsia="zh-CN"/>
                    </w:rPr>
                  </w:pPr>
                  <w:r>
                    <w:t>生态环境</w:t>
                  </w:r>
                </w:p>
              </w:tc>
              <w:tc>
                <w:tcPr>
                  <w:tcW w:w="2034" w:type="dxa"/>
                  <w:noWrap w:val="0"/>
                  <w:vAlign w:val="center"/>
                </w:tcPr>
                <w:p>
                  <w:pPr>
                    <w:pStyle w:val="58"/>
                    <w:rPr>
                      <w:rFonts w:hint="default"/>
                      <w:lang w:val="en-US"/>
                    </w:rPr>
                  </w:pPr>
                  <w:r>
                    <w:t>陆生生态系统结构及功能</w:t>
                  </w:r>
                </w:p>
              </w:tc>
              <w:tc>
                <w:tcPr>
                  <w:tcW w:w="2499" w:type="dxa"/>
                  <w:noWrap w:val="0"/>
                  <w:vAlign w:val="center"/>
                </w:tcPr>
                <w:p>
                  <w:pPr>
                    <w:pStyle w:val="58"/>
                    <w:rPr>
                      <w:rFonts w:hint="eastAsia"/>
                      <w:lang w:val="en-US" w:eastAsia="zh-CN"/>
                    </w:rPr>
                  </w:pPr>
                  <w:r>
                    <w:t>占地范围内</w:t>
                  </w:r>
                </w:p>
              </w:tc>
              <w:tc>
                <w:tcPr>
                  <w:tcW w:w="1777" w:type="dxa"/>
                  <w:noWrap w:val="0"/>
                  <w:vAlign w:val="center"/>
                </w:tcPr>
                <w:p>
                  <w:pPr>
                    <w:pStyle w:val="58"/>
                    <w:rPr>
                      <w:rFonts w:hint="default" w:eastAsia="宋体"/>
                      <w:lang w:val="en-US" w:eastAsia="zh-CN"/>
                    </w:rPr>
                  </w:pPr>
                  <w:r>
                    <w:rPr>
                      <w:rFonts w:hint="eastAsia"/>
                      <w:lang w:val="en-US" w:eastAsia="zh-CN"/>
                    </w:rPr>
                    <w:t>草地、裸地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0" w:type="dxa"/>
                  <w:noWrap w:val="0"/>
                  <w:vAlign w:val="center"/>
                </w:tcPr>
                <w:p>
                  <w:pPr>
                    <w:pStyle w:val="58"/>
                    <w:rPr>
                      <w:rFonts w:hint="default"/>
                      <w:lang w:val="en-US" w:eastAsia="zh-CN"/>
                    </w:rPr>
                  </w:pPr>
                  <w:r>
                    <w:t>环境空气</w:t>
                  </w:r>
                </w:p>
              </w:tc>
              <w:tc>
                <w:tcPr>
                  <w:tcW w:w="2034" w:type="dxa"/>
                  <w:noWrap w:val="0"/>
                  <w:vAlign w:val="center"/>
                </w:tcPr>
                <w:p>
                  <w:pPr>
                    <w:pStyle w:val="58"/>
                    <w:rPr>
                      <w:rFonts w:hint="eastAsia"/>
                      <w:lang w:eastAsia="zh-CN"/>
                    </w:rPr>
                  </w:pPr>
                  <w:r>
                    <w:t>空气质量</w:t>
                  </w:r>
                </w:p>
              </w:tc>
              <w:tc>
                <w:tcPr>
                  <w:tcW w:w="2499" w:type="dxa"/>
                  <w:noWrap w:val="0"/>
                  <w:vAlign w:val="center"/>
                </w:tcPr>
                <w:p>
                  <w:pPr>
                    <w:pStyle w:val="58"/>
                    <w:rPr>
                      <w:rFonts w:hint="eastAsia"/>
                      <w:lang w:eastAsia="zh-CN"/>
                    </w:rPr>
                  </w:pPr>
                  <w:r>
                    <w:t>占地范围内</w:t>
                  </w:r>
                </w:p>
              </w:tc>
              <w:tc>
                <w:tcPr>
                  <w:tcW w:w="1777" w:type="dxa"/>
                  <w:noWrap w:val="0"/>
                  <w:vAlign w:val="center"/>
                </w:tcPr>
                <w:p>
                  <w:pPr>
                    <w:pStyle w:val="58"/>
                    <w:rPr>
                      <w:rFonts w:hint="eastAsia"/>
                      <w:lang w:val="en-US" w:eastAsia="zh-CN"/>
                    </w:rPr>
                  </w:pPr>
                  <w: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0" w:type="dxa"/>
                  <w:noWrap w:val="0"/>
                  <w:vAlign w:val="center"/>
                </w:tcPr>
                <w:p>
                  <w:pPr>
                    <w:pStyle w:val="58"/>
                    <w:rPr>
                      <w:rFonts w:hint="default" w:ascii="Times New Roman" w:hAnsi="Times New Roman" w:eastAsia="宋体" w:cs="Times New Roman"/>
                      <w:lang w:val="en-US" w:eastAsia="zh-CN"/>
                    </w:rPr>
                  </w:pPr>
                  <w:r>
                    <w:rPr>
                      <w:rFonts w:ascii="Times New Roman" w:hAnsi="Times New Roman" w:eastAsia="宋体" w:cs="Times New Roman"/>
                    </w:rPr>
                    <w:t>土壤环境</w:t>
                  </w:r>
                </w:p>
              </w:tc>
              <w:tc>
                <w:tcPr>
                  <w:tcW w:w="2034" w:type="dxa"/>
                  <w:noWrap w:val="0"/>
                  <w:vAlign w:val="center"/>
                </w:tcPr>
                <w:p>
                  <w:pPr>
                    <w:pStyle w:val="58"/>
                    <w:rPr>
                      <w:rFonts w:hint="default" w:ascii="Times New Roman" w:hAnsi="Times New Roman" w:eastAsia="宋体" w:cs="Times New Roman"/>
                      <w:lang w:val="en-US" w:eastAsia="zh-CN"/>
                    </w:rPr>
                  </w:pPr>
                  <w:r>
                    <w:rPr>
                      <w:rFonts w:ascii="Times New Roman" w:hAnsi="Times New Roman" w:eastAsia="宋体" w:cs="Times New Roman"/>
                    </w:rPr>
                    <w:t>水土流失</w:t>
                  </w:r>
                </w:p>
              </w:tc>
              <w:tc>
                <w:tcPr>
                  <w:tcW w:w="2499" w:type="dxa"/>
                  <w:noWrap w:val="0"/>
                  <w:vAlign w:val="center"/>
                </w:tcPr>
                <w:p>
                  <w:pPr>
                    <w:pStyle w:val="58"/>
                    <w:rPr>
                      <w:rFonts w:hint="eastAsia" w:ascii="Times New Roman" w:hAnsi="Times New Roman" w:eastAsia="宋体" w:cs="Times New Roman"/>
                      <w:lang w:eastAsia="zh-CN"/>
                    </w:rPr>
                  </w:pPr>
                  <w:r>
                    <w:rPr>
                      <w:rFonts w:ascii="Times New Roman" w:hAnsi="Times New Roman" w:eastAsia="宋体" w:cs="Times New Roman"/>
                    </w:rPr>
                    <w:t>占地范围内</w:t>
                  </w:r>
                </w:p>
              </w:tc>
              <w:tc>
                <w:tcPr>
                  <w:tcW w:w="1777" w:type="dxa"/>
                  <w:noWrap w:val="0"/>
                  <w:vAlign w:val="center"/>
                </w:tcPr>
                <w:p>
                  <w:pPr>
                    <w:pStyle w:val="58"/>
                    <w:rPr>
                      <w:rFonts w:hint="default" w:ascii="Times New Roman" w:hAnsi="Times New Roman" w:eastAsia="宋体" w:cs="Times New Roman"/>
                      <w:lang w:val="en-US" w:eastAsia="zh-CN"/>
                    </w:rPr>
                  </w:pPr>
                  <w:r>
                    <w:rPr>
                      <w:rFonts w:ascii="Times New Roman" w:hAnsi="Times New Roman" w:eastAsia="宋体" w:cs="Times New Roman"/>
                    </w:rPr>
                    <w:t>微度水土流失</w:t>
                  </w:r>
                </w:p>
              </w:tc>
            </w:tr>
          </w:tbl>
          <w:p>
            <w:pPr>
              <w:pStyle w:val="48"/>
              <w:bidi w:val="0"/>
              <w:ind w:left="0" w:leftChars="0" w:firstLine="0" w:firstLineChars="0"/>
              <w:rPr>
                <w:rFonts w:hint="default" w:ascii="Times New Roman" w:hAnsi="Times New Roman" w:eastAsia="宋体" w:cs="Times New Roman"/>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adjustRightInd w:val="0"/>
              <w:snapToGrid w:val="0"/>
              <w:jc w:val="center"/>
              <w:rPr>
                <w:rFonts w:hint="eastAsia" w:ascii="宋体" w:hAnsi="宋体" w:cs="宋体"/>
                <w:kern w:val="0"/>
                <w:szCs w:val="21"/>
              </w:rPr>
            </w:pPr>
            <w:r>
              <w:rPr>
                <w:rFonts w:hint="eastAsia" w:ascii="宋体" w:hAnsi="宋体" w:eastAsia="宋体" w:cs="宋体"/>
                <w:kern w:val="0"/>
                <w:szCs w:val="21"/>
              </w:rPr>
              <w:t>评价标准</w:t>
            </w:r>
          </w:p>
        </w:tc>
        <w:tc>
          <w:tcPr>
            <w:tcW w:w="8139" w:type="dxa"/>
            <w:noWrap w:val="0"/>
            <w:vAlign w:val="center"/>
          </w:tcPr>
          <w:p>
            <w:pPr>
              <w:pStyle w:val="50"/>
              <w:bidi w:val="0"/>
              <w:rPr>
                <w:rFonts w:hint="default"/>
                <w:lang w:val="en-US" w:eastAsia="zh-CN"/>
              </w:rPr>
            </w:pPr>
            <w:r>
              <w:rPr>
                <w:rFonts w:hint="default"/>
                <w:lang w:val="en-US" w:eastAsia="zh-CN"/>
              </w:rPr>
              <w:t>1.环境质量标准</w:t>
            </w:r>
          </w:p>
          <w:p>
            <w:pPr>
              <w:pStyle w:val="48"/>
              <w:bidi w:val="0"/>
              <w:rPr>
                <w:rFonts w:hint="default"/>
                <w:lang w:val="en-US" w:eastAsia="zh-CN"/>
              </w:rPr>
            </w:pPr>
            <w:r>
              <w:rPr>
                <w:rFonts w:hint="default"/>
                <w:lang w:val="en-US" w:eastAsia="zh-CN"/>
              </w:rPr>
              <w:t>（1）环境空气</w:t>
            </w:r>
          </w:p>
          <w:p>
            <w:pPr>
              <w:pStyle w:val="48"/>
              <w:bidi w:val="0"/>
              <w:rPr>
                <w:rFonts w:hint="default"/>
                <w:lang w:val="en-US" w:eastAsia="zh-CN"/>
              </w:rPr>
            </w:pPr>
            <w:r>
              <w:rPr>
                <w:rFonts w:hint="default"/>
                <w:lang w:val="en-US" w:eastAsia="zh-CN"/>
              </w:rPr>
              <w:t>环境空气质量执行《环境空气质量标准》（GB3095-2026）过渡阶段的二级标准。</w:t>
            </w:r>
          </w:p>
          <w:p>
            <w:pPr>
              <w:pStyle w:val="48"/>
              <w:bidi w:val="0"/>
              <w:rPr>
                <w:rFonts w:hint="default"/>
                <w:lang w:val="en-US" w:eastAsia="zh-CN"/>
              </w:rPr>
            </w:pPr>
            <w:r>
              <w:rPr>
                <w:rFonts w:hint="default"/>
                <w:lang w:val="en-US" w:eastAsia="zh-CN"/>
              </w:rPr>
              <w:t>（2）</w:t>
            </w:r>
            <w:r>
              <w:rPr>
                <w:rFonts w:hint="default"/>
                <w:highlight w:val="none"/>
                <w:lang w:val="en-US" w:eastAsia="zh-CN"/>
              </w:rPr>
              <w:t>声环境</w:t>
            </w:r>
          </w:p>
          <w:p>
            <w:pPr>
              <w:pStyle w:val="48"/>
              <w:bidi w:val="0"/>
              <w:rPr>
                <w:rFonts w:hint="default"/>
                <w:lang w:val="en-US" w:eastAsia="zh-CN"/>
              </w:rPr>
            </w:pPr>
            <w:r>
              <w:rPr>
                <w:rFonts w:hint="default"/>
                <w:lang w:val="en-US" w:eastAsia="zh-CN"/>
              </w:rPr>
              <w:t>该项目所在地声环境质量执行《声环境质量标准》（GB3096-2008）</w:t>
            </w:r>
            <w:r>
              <w:rPr>
                <w:rFonts w:hint="eastAsia"/>
                <w:lang w:val="en-US" w:eastAsia="zh-CN"/>
              </w:rPr>
              <w:t>2</w:t>
            </w:r>
            <w:r>
              <w:rPr>
                <w:rFonts w:hint="default"/>
                <w:lang w:val="en-US" w:eastAsia="zh-CN"/>
              </w:rPr>
              <w:t>类标准执行，即昼间≤</w:t>
            </w:r>
            <w:r>
              <w:rPr>
                <w:rFonts w:hint="eastAsia"/>
                <w:lang w:val="en-US" w:eastAsia="zh-CN"/>
              </w:rPr>
              <w:t>60</w:t>
            </w:r>
            <w:r>
              <w:rPr>
                <w:rFonts w:hint="default"/>
                <w:lang w:val="en-US" w:eastAsia="zh-CN"/>
              </w:rPr>
              <w:t>dB（A），夜间≤</w:t>
            </w:r>
            <w:r>
              <w:rPr>
                <w:rFonts w:hint="eastAsia"/>
                <w:lang w:val="en-US" w:eastAsia="zh-CN"/>
              </w:rPr>
              <w:t>50</w:t>
            </w:r>
            <w:r>
              <w:rPr>
                <w:rFonts w:hint="default"/>
                <w:lang w:val="en-US" w:eastAsia="zh-CN"/>
              </w:rPr>
              <w:t>dB（A）。</w:t>
            </w:r>
          </w:p>
          <w:p>
            <w:pPr>
              <w:pStyle w:val="50"/>
              <w:bidi w:val="0"/>
              <w:rPr>
                <w:rFonts w:hint="default"/>
                <w:lang w:val="en-US" w:eastAsia="zh-CN"/>
              </w:rPr>
            </w:pPr>
            <w:r>
              <w:rPr>
                <w:rFonts w:hint="eastAsia"/>
                <w:lang w:val="en-US" w:eastAsia="zh-CN"/>
              </w:rPr>
              <w:t>2.</w:t>
            </w:r>
            <w:r>
              <w:rPr>
                <w:rFonts w:hint="default"/>
                <w:lang w:val="en-US" w:eastAsia="zh-CN"/>
              </w:rPr>
              <w:t>污染物排放标准</w:t>
            </w:r>
          </w:p>
          <w:p>
            <w:pPr>
              <w:pStyle w:val="48"/>
              <w:bidi w:val="0"/>
              <w:rPr>
                <w:rFonts w:hint="eastAsia"/>
                <w:lang w:val="en-US" w:eastAsia="zh-CN"/>
              </w:rPr>
            </w:pPr>
            <w:r>
              <w:rPr>
                <w:rFonts w:hint="eastAsia"/>
                <w:lang w:val="en-US" w:eastAsia="zh-CN"/>
              </w:rPr>
              <w:t>（1）大气污染物排放标准</w:t>
            </w:r>
          </w:p>
          <w:p>
            <w:pPr>
              <w:pStyle w:val="48"/>
              <w:bidi w:val="0"/>
              <w:rPr>
                <w:rFonts w:hint="default"/>
                <w:lang w:val="en-US" w:eastAsia="zh-CN"/>
              </w:rPr>
            </w:pPr>
            <w:r>
              <w:rPr>
                <w:rFonts w:hint="eastAsia"/>
                <w:lang w:val="en-US" w:eastAsia="zh-CN"/>
              </w:rPr>
              <w:t>施工期：建设项目施工期场地平整、物资运输产生扬尘执行《大气污染物综合排放标准》（GB16297-19</w:t>
            </w:r>
            <w:r>
              <w:rPr>
                <w:rFonts w:hint="default"/>
                <w:lang w:val="en-US" w:eastAsia="zh-CN"/>
              </w:rPr>
              <w:t>96</w:t>
            </w:r>
            <w:r>
              <w:rPr>
                <w:rFonts w:hint="eastAsia"/>
                <w:lang w:val="en-US" w:eastAsia="zh-CN"/>
              </w:rPr>
              <w:t>）</w:t>
            </w:r>
            <w:r>
              <w:rPr>
                <w:rFonts w:hint="default"/>
                <w:lang w:val="en-US" w:eastAsia="zh-CN"/>
              </w:rPr>
              <w:t>无组织排放监控浓度限值。</w:t>
            </w:r>
          </w:p>
          <w:p>
            <w:pPr>
              <w:pStyle w:val="52"/>
              <w:bidi w:val="0"/>
              <w:rPr>
                <w:rFonts w:hint="default"/>
                <w:lang w:val="en-US" w:eastAsia="zh-CN"/>
              </w:rPr>
            </w:pPr>
            <w:r>
              <w:rPr>
                <w:rFonts w:hint="default"/>
                <w:lang w:val="en-US" w:eastAsia="zh-CN"/>
              </w:rPr>
              <w:t>表3-</w:t>
            </w:r>
            <w:r>
              <w:rPr>
                <w:rFonts w:hint="eastAsia"/>
                <w:lang w:val="en-US" w:eastAsia="zh-CN"/>
              </w:rPr>
              <w:t>7</w:t>
            </w:r>
            <w:r>
              <w:rPr>
                <w:rFonts w:hint="default"/>
                <w:lang w:val="en-US" w:eastAsia="zh-CN"/>
              </w:rPr>
              <w:t xml:space="preserve">    施工期无组织废气执行标准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847"/>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5" w:type="pct"/>
                  <w:noWrap w:val="0"/>
                  <w:vAlign w:val="center"/>
                </w:tcPr>
                <w:p>
                  <w:pPr>
                    <w:pStyle w:val="58"/>
                    <w:bidi w:val="0"/>
                    <w:rPr>
                      <w:rFonts w:hint="default"/>
                      <w:lang w:val="en-US" w:eastAsia="zh-CN"/>
                    </w:rPr>
                  </w:pPr>
                  <w:r>
                    <w:rPr>
                      <w:rFonts w:hint="default"/>
                      <w:lang w:val="en-US" w:eastAsia="zh-CN"/>
                    </w:rPr>
                    <w:t>污染物</w:t>
                  </w:r>
                </w:p>
              </w:tc>
              <w:tc>
                <w:tcPr>
                  <w:tcW w:w="1167" w:type="pct"/>
                  <w:noWrap w:val="0"/>
                  <w:vAlign w:val="center"/>
                </w:tcPr>
                <w:p>
                  <w:pPr>
                    <w:pStyle w:val="58"/>
                    <w:bidi w:val="0"/>
                    <w:rPr>
                      <w:rFonts w:hint="default"/>
                      <w:lang w:val="en-US" w:eastAsia="zh-CN"/>
                    </w:rPr>
                  </w:pPr>
                  <w:r>
                    <w:rPr>
                      <w:rFonts w:hint="default"/>
                      <w:lang w:val="en-US" w:eastAsia="zh-CN"/>
                    </w:rPr>
                    <w:t>限值</w:t>
                  </w:r>
                </w:p>
              </w:tc>
              <w:tc>
                <w:tcPr>
                  <w:tcW w:w="2167" w:type="pct"/>
                  <w:noWrap w:val="0"/>
                  <w:vAlign w:val="center"/>
                </w:tcPr>
                <w:p>
                  <w:pPr>
                    <w:pStyle w:val="58"/>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65" w:type="pct"/>
                  <w:noWrap w:val="0"/>
                  <w:vAlign w:val="center"/>
                </w:tcPr>
                <w:p>
                  <w:pPr>
                    <w:pStyle w:val="58"/>
                    <w:bidi w:val="0"/>
                    <w:rPr>
                      <w:rFonts w:hint="default"/>
                      <w:lang w:val="en-US" w:eastAsia="zh-CN"/>
                    </w:rPr>
                  </w:pPr>
                  <w:r>
                    <w:rPr>
                      <w:rFonts w:hint="default"/>
                      <w:lang w:val="en-US" w:eastAsia="zh-CN"/>
                    </w:rPr>
                    <w:t>颗粒物</w:t>
                  </w:r>
                </w:p>
              </w:tc>
              <w:tc>
                <w:tcPr>
                  <w:tcW w:w="1167" w:type="pct"/>
                  <w:noWrap w:val="0"/>
                  <w:vAlign w:val="center"/>
                </w:tcPr>
                <w:p>
                  <w:pPr>
                    <w:pStyle w:val="58"/>
                    <w:bidi w:val="0"/>
                    <w:rPr>
                      <w:rFonts w:hint="default"/>
                      <w:lang w:val="en-US" w:eastAsia="zh-CN"/>
                    </w:rPr>
                  </w:pPr>
                  <w:r>
                    <w:rPr>
                      <w:rFonts w:hint="default"/>
                      <w:lang w:val="en-US" w:eastAsia="zh-CN"/>
                    </w:rPr>
                    <w:t>1mg/m</w:t>
                  </w:r>
                  <w:r>
                    <w:rPr>
                      <w:rFonts w:hint="default"/>
                      <w:vertAlign w:val="superscript"/>
                      <w:lang w:val="en-US" w:eastAsia="zh-CN"/>
                    </w:rPr>
                    <w:t>3</w:t>
                  </w:r>
                </w:p>
              </w:tc>
              <w:tc>
                <w:tcPr>
                  <w:tcW w:w="2167" w:type="pct"/>
                  <w:noWrap w:val="0"/>
                  <w:vAlign w:val="center"/>
                </w:tcPr>
                <w:p>
                  <w:pPr>
                    <w:pStyle w:val="58"/>
                    <w:bidi w:val="0"/>
                    <w:rPr>
                      <w:rFonts w:hint="default"/>
                      <w:lang w:val="en-US" w:eastAsia="zh-CN"/>
                    </w:rPr>
                  </w:pPr>
                  <w:r>
                    <w:rPr>
                      <w:rFonts w:hint="default"/>
                      <w:lang w:val="en-US" w:eastAsia="zh-CN"/>
                    </w:rPr>
                    <w:t>《大气污染物综合排放标准》（GB16297-1996）中表2</w:t>
                  </w:r>
                </w:p>
              </w:tc>
            </w:tr>
          </w:tbl>
          <w:p>
            <w:pPr>
              <w:pStyle w:val="48"/>
              <w:bidi w:val="0"/>
              <w:rPr>
                <w:rFonts w:hint="eastAsia"/>
                <w:lang w:val="en-US" w:eastAsia="zh-CN"/>
              </w:rPr>
            </w:pPr>
            <w:r>
              <w:rPr>
                <w:rFonts w:hint="eastAsia"/>
                <w:lang w:val="en-US" w:eastAsia="zh-CN"/>
              </w:rPr>
              <w:t>勘探期：勘探过程中产生的废气执行《大气污染物综合排放标准》（GB 16297-19</w:t>
            </w:r>
            <w:r>
              <w:rPr>
                <w:rFonts w:hint="default"/>
                <w:lang w:val="en-US" w:eastAsia="zh-CN"/>
              </w:rPr>
              <w:t>96</w:t>
            </w:r>
            <w:r>
              <w:rPr>
                <w:rFonts w:hint="eastAsia"/>
                <w:lang w:val="en-US" w:eastAsia="zh-CN"/>
              </w:rPr>
              <w:t>）</w:t>
            </w:r>
            <w:r>
              <w:rPr>
                <w:rFonts w:hint="default"/>
                <w:lang w:val="en-US" w:eastAsia="zh-CN"/>
              </w:rPr>
              <w:t>无组织排放监控浓度限值。</w:t>
            </w:r>
            <w:r>
              <w:rPr>
                <w:rFonts w:hint="eastAsia" w:ascii="Times New Roman" w:hAnsi="Times New Roman" w:eastAsia="宋体" w:cs="Times New Roman"/>
                <w:color w:val="auto"/>
                <w:kern w:val="0"/>
                <w:sz w:val="24"/>
                <w:lang w:val="en-US" w:eastAsia="zh-CN"/>
              </w:rPr>
              <w:t>柴油发电机烟气参照执行《非道路移动机械用柴油机排气污染物排放限值及测量方法（中国第三、四阶段）》（GB20891-2014）修改单以及《非道路柴油移动机械污染物排放控制技术要求》（HJ1014-2020）。</w:t>
            </w:r>
          </w:p>
          <w:p>
            <w:pPr>
              <w:pStyle w:val="52"/>
              <w:bidi w:val="0"/>
              <w:rPr>
                <w:rFonts w:hint="default"/>
                <w:lang w:val="en-US" w:eastAsia="zh-CN"/>
              </w:rPr>
            </w:pPr>
            <w:r>
              <w:rPr>
                <w:rFonts w:hint="default"/>
                <w:lang w:val="en-US" w:eastAsia="zh-CN"/>
              </w:rPr>
              <w:t>表3-</w:t>
            </w:r>
            <w:r>
              <w:rPr>
                <w:rFonts w:hint="eastAsia"/>
                <w:lang w:val="en-US" w:eastAsia="zh-CN"/>
              </w:rPr>
              <w:t>8</w:t>
            </w:r>
            <w:r>
              <w:rPr>
                <w:rFonts w:hint="default"/>
                <w:lang w:val="en-US" w:eastAsia="zh-CN"/>
              </w:rPr>
              <w:t xml:space="preserve">  </w:t>
            </w:r>
            <w:r>
              <w:rPr>
                <w:rFonts w:hint="eastAsia"/>
                <w:lang w:val="en-US" w:eastAsia="zh-CN"/>
              </w:rPr>
              <w:t xml:space="preserve"> </w:t>
            </w:r>
            <w:r>
              <w:rPr>
                <w:rFonts w:hint="default"/>
                <w:lang w:val="en-US" w:eastAsia="zh-CN"/>
              </w:rPr>
              <w:t xml:space="preserve"> </w:t>
            </w:r>
            <w:r>
              <w:rPr>
                <w:rFonts w:hint="eastAsia"/>
                <w:lang w:val="en-US" w:eastAsia="zh-CN"/>
              </w:rPr>
              <w:t>勘探期</w:t>
            </w:r>
            <w:r>
              <w:rPr>
                <w:rFonts w:hint="default"/>
                <w:lang w:val="en-US" w:eastAsia="zh-CN"/>
              </w:rPr>
              <w:t>无组织废气执行标准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29"/>
              <w:gridCol w:w="1364"/>
              <w:gridCol w:w="1134"/>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jc w:val="center"/>
              </w:trPr>
              <w:tc>
                <w:tcPr>
                  <w:tcW w:w="530" w:type="pct"/>
                  <w:noWrap w:val="0"/>
                  <w:vAlign w:val="center"/>
                </w:tcPr>
                <w:p>
                  <w:pPr>
                    <w:pStyle w:val="58"/>
                    <w:bidi w:val="0"/>
                    <w:rPr>
                      <w:rFonts w:hint="default"/>
                      <w:lang w:val="en-US" w:eastAsia="zh-CN"/>
                    </w:rPr>
                  </w:pPr>
                  <w:r>
                    <w:rPr>
                      <w:rFonts w:hint="eastAsia"/>
                      <w:lang w:val="en-US" w:eastAsia="zh-CN"/>
                    </w:rPr>
                    <w:t>工序</w:t>
                  </w:r>
                </w:p>
              </w:tc>
              <w:tc>
                <w:tcPr>
                  <w:tcW w:w="966" w:type="pct"/>
                  <w:noWrap w:val="0"/>
                  <w:vAlign w:val="center"/>
                </w:tcPr>
                <w:p>
                  <w:pPr>
                    <w:pStyle w:val="58"/>
                    <w:bidi w:val="0"/>
                    <w:rPr>
                      <w:rFonts w:hint="default"/>
                      <w:lang w:val="en-US" w:eastAsia="zh-CN"/>
                    </w:rPr>
                  </w:pPr>
                  <w:r>
                    <w:rPr>
                      <w:rFonts w:hint="default"/>
                      <w:lang w:val="en-US" w:eastAsia="zh-CN"/>
                    </w:rPr>
                    <w:t>污染物</w:t>
                  </w:r>
                </w:p>
              </w:tc>
              <w:tc>
                <w:tcPr>
                  <w:tcW w:w="862" w:type="pct"/>
                  <w:noWrap w:val="0"/>
                  <w:vAlign w:val="center"/>
                </w:tcPr>
                <w:p>
                  <w:pPr>
                    <w:pStyle w:val="58"/>
                    <w:bidi w:val="0"/>
                    <w:rPr>
                      <w:rFonts w:hint="default"/>
                      <w:lang w:val="en-US" w:eastAsia="zh-CN"/>
                    </w:rPr>
                  </w:pPr>
                  <w:r>
                    <w:rPr>
                      <w:rFonts w:hint="default"/>
                      <w:lang w:val="en-US" w:eastAsia="zh-CN"/>
                    </w:rPr>
                    <w:t>限值</w:t>
                  </w:r>
                </w:p>
              </w:tc>
              <w:tc>
                <w:tcPr>
                  <w:tcW w:w="716" w:type="pct"/>
                  <w:noWrap w:val="0"/>
                  <w:vAlign w:val="center"/>
                </w:tcPr>
                <w:p>
                  <w:pPr>
                    <w:pStyle w:val="58"/>
                    <w:bidi w:val="0"/>
                    <w:rPr>
                      <w:rFonts w:hint="default"/>
                      <w:lang w:val="en-US" w:eastAsia="zh-CN"/>
                    </w:rPr>
                  </w:pPr>
                  <w:r>
                    <w:rPr>
                      <w:rFonts w:hint="eastAsia"/>
                      <w:lang w:val="en-US" w:eastAsia="zh-CN"/>
                    </w:rPr>
                    <w:t>单位</w:t>
                  </w:r>
                </w:p>
              </w:tc>
              <w:tc>
                <w:tcPr>
                  <w:tcW w:w="1924" w:type="pct"/>
                  <w:noWrap w:val="0"/>
                  <w:vAlign w:val="center"/>
                </w:tcPr>
                <w:p>
                  <w:pPr>
                    <w:pStyle w:val="58"/>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0" w:type="pct"/>
                  <w:noWrap w:val="0"/>
                  <w:vAlign w:val="center"/>
                </w:tcPr>
                <w:p>
                  <w:pPr>
                    <w:pStyle w:val="58"/>
                    <w:bidi w:val="0"/>
                    <w:rPr>
                      <w:rFonts w:hint="default"/>
                      <w:lang w:val="en-US" w:eastAsia="zh-CN"/>
                    </w:rPr>
                  </w:pPr>
                  <w:r>
                    <w:rPr>
                      <w:rFonts w:hint="eastAsia"/>
                      <w:lang w:val="en-US" w:eastAsia="zh-CN"/>
                    </w:rPr>
                    <w:t>勘探</w:t>
                  </w:r>
                </w:p>
              </w:tc>
              <w:tc>
                <w:tcPr>
                  <w:tcW w:w="966" w:type="pct"/>
                  <w:noWrap w:val="0"/>
                  <w:vAlign w:val="center"/>
                </w:tcPr>
                <w:p>
                  <w:pPr>
                    <w:pStyle w:val="58"/>
                    <w:bidi w:val="0"/>
                    <w:rPr>
                      <w:rFonts w:hint="default"/>
                      <w:lang w:val="en-US" w:eastAsia="zh-CN"/>
                    </w:rPr>
                  </w:pPr>
                  <w:r>
                    <w:rPr>
                      <w:rFonts w:hint="default"/>
                      <w:lang w:val="en-US" w:eastAsia="zh-CN"/>
                    </w:rPr>
                    <w:t>颗粒物</w:t>
                  </w:r>
                </w:p>
              </w:tc>
              <w:tc>
                <w:tcPr>
                  <w:tcW w:w="862" w:type="pct"/>
                  <w:noWrap w:val="0"/>
                  <w:vAlign w:val="center"/>
                </w:tcPr>
                <w:p>
                  <w:pPr>
                    <w:pStyle w:val="58"/>
                    <w:bidi w:val="0"/>
                    <w:rPr>
                      <w:rFonts w:hint="default"/>
                      <w:lang w:val="en-US" w:eastAsia="zh-CN"/>
                    </w:rPr>
                  </w:pPr>
                  <w:r>
                    <w:rPr>
                      <w:rFonts w:hint="default"/>
                      <w:lang w:val="en-US" w:eastAsia="zh-CN"/>
                    </w:rPr>
                    <w:t>1</w:t>
                  </w:r>
                </w:p>
              </w:tc>
              <w:tc>
                <w:tcPr>
                  <w:tcW w:w="716" w:type="pct"/>
                  <w:noWrap w:val="0"/>
                  <w:vAlign w:val="center"/>
                </w:tcPr>
                <w:p>
                  <w:pPr>
                    <w:pStyle w:val="58"/>
                    <w:bidi w:val="0"/>
                    <w:rPr>
                      <w:rFonts w:hint="default"/>
                      <w:lang w:val="en-US" w:eastAsia="zh-CN"/>
                    </w:rPr>
                  </w:pPr>
                  <w:r>
                    <w:rPr>
                      <w:rFonts w:hint="default"/>
                      <w:lang w:val="en-US" w:eastAsia="zh-CN"/>
                    </w:rPr>
                    <w:t>mg/m</w:t>
                  </w:r>
                  <w:r>
                    <w:rPr>
                      <w:rFonts w:hint="default"/>
                      <w:vertAlign w:val="superscript"/>
                      <w:lang w:val="en-US" w:eastAsia="zh-CN"/>
                    </w:rPr>
                    <w:t>3</w:t>
                  </w:r>
                </w:p>
              </w:tc>
              <w:tc>
                <w:tcPr>
                  <w:tcW w:w="1924" w:type="pct"/>
                  <w:noWrap w:val="0"/>
                  <w:vAlign w:val="center"/>
                </w:tcPr>
                <w:p>
                  <w:pPr>
                    <w:pStyle w:val="58"/>
                    <w:bidi w:val="0"/>
                    <w:rPr>
                      <w:rFonts w:hint="default"/>
                      <w:lang w:val="en-US" w:eastAsia="zh-CN"/>
                    </w:rPr>
                  </w:pPr>
                  <w:r>
                    <w:rPr>
                      <w:rFonts w:hint="default"/>
                      <w:lang w:val="en-US" w:eastAsia="zh-CN"/>
                    </w:rPr>
                    <w:t>《大气污染物综合排放标准》（GB</w:t>
                  </w:r>
                  <w:r>
                    <w:rPr>
                      <w:rFonts w:hint="eastAsia"/>
                      <w:lang w:val="en-US" w:eastAsia="zh-CN"/>
                    </w:rPr>
                    <w:t xml:space="preserve"> </w:t>
                  </w:r>
                  <w:r>
                    <w:rPr>
                      <w:rFonts w:hint="default"/>
                      <w:lang w:val="en-US" w:eastAsia="zh-CN"/>
                    </w:rPr>
                    <w:t>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530" w:type="pct"/>
                  <w:vMerge w:val="restart"/>
                  <w:noWrap w:val="0"/>
                  <w:vAlign w:val="center"/>
                </w:tcPr>
                <w:p>
                  <w:pPr>
                    <w:pStyle w:val="58"/>
                    <w:bidi w:val="0"/>
                    <w:rPr>
                      <w:rFonts w:hint="default"/>
                      <w:lang w:val="en-US" w:eastAsia="zh-CN"/>
                    </w:rPr>
                  </w:pPr>
                  <w:r>
                    <w:rPr>
                      <w:rFonts w:hint="eastAsia"/>
                      <w:lang w:val="en-US" w:eastAsia="zh-CN"/>
                    </w:rPr>
                    <w:t>非道路移动机械烟气</w:t>
                  </w:r>
                </w:p>
              </w:tc>
              <w:tc>
                <w:tcPr>
                  <w:tcW w:w="966" w:type="pct"/>
                  <w:noWrap w:val="0"/>
                  <w:vAlign w:val="center"/>
                </w:tcPr>
                <w:p>
                  <w:pPr>
                    <w:pStyle w:val="58"/>
                    <w:bidi w:val="0"/>
                    <w:rPr>
                      <w:rFonts w:hint="default"/>
                      <w:lang w:val="en-US" w:eastAsia="zh-CN"/>
                    </w:rPr>
                  </w:pPr>
                  <w:r>
                    <w:rPr>
                      <w:rFonts w:hint="eastAsia"/>
                    </w:rPr>
                    <w:t>CO</w:t>
                  </w:r>
                </w:p>
              </w:tc>
              <w:tc>
                <w:tcPr>
                  <w:tcW w:w="862" w:type="pct"/>
                  <w:noWrap w:val="0"/>
                  <w:vAlign w:val="center"/>
                </w:tcPr>
                <w:p>
                  <w:pPr>
                    <w:pStyle w:val="58"/>
                    <w:bidi w:val="0"/>
                    <w:rPr>
                      <w:rFonts w:hint="default"/>
                      <w:lang w:val="en-US" w:eastAsia="zh-CN"/>
                    </w:rPr>
                  </w:pPr>
                  <w:r>
                    <w:rPr>
                      <w:rFonts w:hint="eastAsia"/>
                    </w:rPr>
                    <w:t>3.5</w:t>
                  </w:r>
                </w:p>
              </w:tc>
              <w:tc>
                <w:tcPr>
                  <w:tcW w:w="716" w:type="pct"/>
                  <w:vMerge w:val="restart"/>
                  <w:noWrap w:val="0"/>
                  <w:vAlign w:val="center"/>
                </w:tcPr>
                <w:p>
                  <w:pPr>
                    <w:pStyle w:val="58"/>
                    <w:bidi w:val="0"/>
                    <w:rPr>
                      <w:rFonts w:hint="default"/>
                      <w:lang w:val="en-US" w:eastAsia="zh-CN"/>
                    </w:rPr>
                  </w:pPr>
                  <w:r>
                    <w:rPr>
                      <w:rFonts w:hint="eastAsia"/>
                    </w:rPr>
                    <w:t>g/kWh</w:t>
                  </w:r>
                </w:p>
              </w:tc>
              <w:tc>
                <w:tcPr>
                  <w:tcW w:w="1924" w:type="pct"/>
                  <w:vMerge w:val="restart"/>
                  <w:noWrap w:val="0"/>
                  <w:vAlign w:val="center"/>
                </w:tcPr>
                <w:p>
                  <w:pPr>
                    <w:pStyle w:val="58"/>
                    <w:bidi w:val="0"/>
                    <w:rPr>
                      <w:rFonts w:hint="default"/>
                      <w:lang w:val="en-US" w:eastAsia="zh-CN"/>
                    </w:rPr>
                  </w:pPr>
                  <w:r>
                    <w:rPr>
                      <w:rFonts w:hint="eastAsia"/>
                    </w:rPr>
                    <w:t>《非道路移动机械用柴油机排气污染物排放限值及测量方法(中国第三、四阶段)》(GB</w:t>
                  </w:r>
                  <w:r>
                    <w:rPr>
                      <w:rFonts w:hint="eastAsia"/>
                      <w:lang w:val="en-US" w:eastAsia="zh-CN"/>
                    </w:rPr>
                    <w:t xml:space="preserve"> </w:t>
                  </w:r>
                  <w:r>
                    <w:rPr>
                      <w:rFonts w:hint="eastAsia"/>
                    </w:rPr>
                    <w:t>20891-2014)修改单以及《非道路柴油移动机械污染物排放控制技术要求》（HJ</w:t>
                  </w:r>
                  <w:r>
                    <w:rPr>
                      <w:rFonts w:hint="eastAsia"/>
                      <w:lang w:val="en-US" w:eastAsia="zh-CN"/>
                    </w:rPr>
                    <w:t xml:space="preserve"> </w:t>
                  </w:r>
                  <w:r>
                    <w:rPr>
                      <w:rFonts w:hint="eastAsia"/>
                    </w:rPr>
                    <w:t>1014-2020）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default"/>
                      <w:lang w:val="en-US" w:eastAsia="zh-CN"/>
                    </w:rPr>
                  </w:pPr>
                  <w:r>
                    <w:rPr>
                      <w:rFonts w:hint="eastAsia"/>
                    </w:rPr>
                    <w:t>HC</w:t>
                  </w:r>
                </w:p>
              </w:tc>
              <w:tc>
                <w:tcPr>
                  <w:tcW w:w="862" w:type="pct"/>
                  <w:noWrap w:val="0"/>
                  <w:vAlign w:val="center"/>
                </w:tcPr>
                <w:p>
                  <w:pPr>
                    <w:pStyle w:val="58"/>
                    <w:bidi w:val="0"/>
                    <w:rPr>
                      <w:rFonts w:hint="default"/>
                      <w:lang w:val="en-US" w:eastAsia="zh-CN"/>
                    </w:rPr>
                  </w:pPr>
                  <w:r>
                    <w:rPr>
                      <w:rFonts w:hint="eastAsia"/>
                    </w:rPr>
                    <w:t>--</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default"/>
                      <w:lang w:val="en-US" w:eastAsia="zh-CN"/>
                    </w:rPr>
                  </w:pPr>
                  <w:r>
                    <w:rPr>
                      <w:rFonts w:hint="eastAsia"/>
                    </w:rPr>
                    <w:t>NO</w:t>
                  </w:r>
                  <w:r>
                    <w:rPr>
                      <w:rFonts w:hint="eastAsia"/>
                      <w:vertAlign w:val="subscript"/>
                    </w:rPr>
                    <w:t>X</w:t>
                  </w:r>
                </w:p>
              </w:tc>
              <w:tc>
                <w:tcPr>
                  <w:tcW w:w="862" w:type="pct"/>
                  <w:noWrap w:val="0"/>
                  <w:vAlign w:val="center"/>
                </w:tcPr>
                <w:p>
                  <w:pPr>
                    <w:pStyle w:val="58"/>
                    <w:bidi w:val="0"/>
                    <w:rPr>
                      <w:rFonts w:hint="default"/>
                      <w:lang w:val="en-US" w:eastAsia="zh-CN"/>
                    </w:rPr>
                  </w:pPr>
                  <w:r>
                    <w:rPr>
                      <w:rFonts w:hint="eastAsia"/>
                    </w:rPr>
                    <w:t>--</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eastAsia"/>
                    </w:rPr>
                  </w:pPr>
                  <w:r>
                    <w:rPr>
                      <w:rFonts w:hint="eastAsia"/>
                    </w:rPr>
                    <w:t>HC+NO</w:t>
                  </w:r>
                  <w:r>
                    <w:rPr>
                      <w:rFonts w:hint="eastAsia"/>
                      <w:vertAlign w:val="subscript"/>
                    </w:rPr>
                    <w:t>X</w:t>
                  </w:r>
                </w:p>
              </w:tc>
              <w:tc>
                <w:tcPr>
                  <w:tcW w:w="862" w:type="pct"/>
                  <w:noWrap w:val="0"/>
                  <w:vAlign w:val="center"/>
                </w:tcPr>
                <w:p>
                  <w:pPr>
                    <w:pStyle w:val="58"/>
                    <w:bidi w:val="0"/>
                    <w:rPr>
                      <w:rFonts w:hint="eastAsia"/>
                      <w:lang w:val="en-US" w:eastAsia="zh-CN"/>
                    </w:rPr>
                  </w:pPr>
                  <w:r>
                    <w:rPr>
                      <w:rFonts w:hint="eastAsia"/>
                    </w:rPr>
                    <w:t>6.4</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eastAsia"/>
                    </w:rPr>
                  </w:pPr>
                  <w:r>
                    <w:rPr>
                      <w:rFonts w:hint="eastAsia"/>
                    </w:rPr>
                    <w:t>PM</w:t>
                  </w:r>
                </w:p>
              </w:tc>
              <w:tc>
                <w:tcPr>
                  <w:tcW w:w="862" w:type="pct"/>
                  <w:noWrap w:val="0"/>
                  <w:vAlign w:val="center"/>
                </w:tcPr>
                <w:p>
                  <w:pPr>
                    <w:pStyle w:val="58"/>
                    <w:bidi w:val="0"/>
                    <w:rPr>
                      <w:rFonts w:hint="eastAsia"/>
                      <w:lang w:val="en-US" w:eastAsia="zh-CN"/>
                    </w:rPr>
                  </w:pPr>
                  <w:r>
                    <w:rPr>
                      <w:rFonts w:hint="eastAsia"/>
                    </w:rPr>
                    <w:t>0.20</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bl>
          <w:p>
            <w:pPr>
              <w:pStyle w:val="48"/>
              <w:bidi w:val="0"/>
              <w:rPr>
                <w:rFonts w:hint="eastAsia"/>
                <w:lang w:val="en-US" w:eastAsia="zh-CN"/>
              </w:rPr>
            </w:pPr>
            <w:r>
              <w:rPr>
                <w:rFonts w:hint="eastAsia"/>
                <w:lang w:val="en-US" w:eastAsia="zh-CN"/>
              </w:rPr>
              <w:t>达标要求：《非道路移动机械污染防治技术政策》提出加强非道路移动机械的维修、保养，只有按照机械说明书要求进行正常的保养、维修，才能确保在用非道路移动机械保持原有污染物排放水平；非道路移动机械需要随车携带“非道路移动机械环保信息采集卡”，并悬挂联网备案的环保号牌；在不使用时关闭机械设备。这些措施有助于追踪和管理机械的环保合规性。</w:t>
            </w:r>
          </w:p>
          <w:p>
            <w:pPr>
              <w:pStyle w:val="48"/>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（2）</w:t>
            </w:r>
            <w:r>
              <w:rPr>
                <w:rFonts w:hint="eastAsia"/>
                <w:lang w:val="en-US" w:eastAsia="zh-CN"/>
              </w:rPr>
              <w:t>废水排放标准</w:t>
            </w:r>
          </w:p>
          <w:p>
            <w:pPr>
              <w:pStyle w:val="48"/>
              <w:bidi w:val="0"/>
              <w:rPr>
                <w:rFonts w:hint="eastAsia"/>
                <w:lang w:val="en-US" w:eastAsia="zh-CN"/>
              </w:rPr>
            </w:pPr>
            <w:r>
              <w:rPr>
                <w:rFonts w:hint="default"/>
                <w:lang w:val="en-US" w:eastAsia="zh-CN"/>
              </w:rPr>
              <w:t>生活污水排入一体化污水处理设施后，其出水标准</w:t>
            </w:r>
            <w:r>
              <w:rPr>
                <w:rFonts w:hint="eastAsia"/>
                <w:lang w:val="en-US" w:eastAsia="zh-CN"/>
              </w:rPr>
              <w:t>执行</w:t>
            </w:r>
            <w:r>
              <w:rPr>
                <w:rFonts w:hint="default"/>
                <w:lang w:val="en-US" w:eastAsia="zh-CN"/>
              </w:rPr>
              <w:t>《农村生活污水处理排放标准》（DB654275-2019）表2中C级标准</w:t>
            </w:r>
            <w:r>
              <w:rPr>
                <w:rFonts w:hint="eastAsia"/>
                <w:lang w:val="en-US" w:eastAsia="zh-CN"/>
              </w:rPr>
              <w:t>。</w:t>
            </w:r>
          </w:p>
          <w:p>
            <w:pPr>
              <w:pStyle w:val="52"/>
              <w:bidi w:val="0"/>
              <w:rPr>
                <w:rFonts w:hint="default"/>
                <w:lang w:val="en-US" w:eastAsia="zh-CN"/>
              </w:rPr>
            </w:pPr>
            <w:r>
              <w:rPr>
                <w:rFonts w:hint="eastAsia"/>
                <w:lang w:val="en-US" w:eastAsia="zh-CN"/>
              </w:rPr>
              <w:t>表3-9    生活污水污染物排放限值</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27"/>
              <w:gridCol w:w="1583"/>
              <w:gridCol w:w="1546"/>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16" w:type="pct"/>
                  <w:noWrap w:val="0"/>
                  <w:vAlign w:val="center"/>
                </w:tcPr>
                <w:p>
                  <w:pPr>
                    <w:pStyle w:val="58"/>
                    <w:bidi w:val="0"/>
                    <w:rPr>
                      <w:rFonts w:hint="default"/>
                      <w:lang w:val="en-US" w:eastAsia="zh-CN"/>
                    </w:rPr>
                  </w:pPr>
                  <w:r>
                    <w:rPr>
                      <w:rFonts w:hint="eastAsia"/>
                      <w:lang w:val="en-US" w:eastAsia="zh-CN"/>
                    </w:rPr>
                    <w:t>序号</w:t>
                  </w:r>
                </w:p>
              </w:tc>
              <w:tc>
                <w:tcPr>
                  <w:tcW w:w="1597" w:type="pct"/>
                  <w:noWrap w:val="0"/>
                  <w:vAlign w:val="center"/>
                </w:tcPr>
                <w:p>
                  <w:pPr>
                    <w:pStyle w:val="58"/>
                    <w:bidi w:val="0"/>
                    <w:rPr>
                      <w:rFonts w:hint="default"/>
                      <w:lang w:val="en-US" w:eastAsia="zh-CN"/>
                    </w:rPr>
                  </w:pPr>
                  <w:r>
                    <w:rPr>
                      <w:rFonts w:hint="default"/>
                      <w:lang w:val="en-US" w:eastAsia="zh-CN"/>
                    </w:rPr>
                    <w:t>污染物</w:t>
                  </w:r>
                </w:p>
              </w:tc>
              <w:tc>
                <w:tcPr>
                  <w:tcW w:w="1000" w:type="pct"/>
                  <w:noWrap w:val="0"/>
                  <w:vAlign w:val="center"/>
                </w:tcPr>
                <w:p>
                  <w:pPr>
                    <w:pStyle w:val="58"/>
                    <w:bidi w:val="0"/>
                    <w:rPr>
                      <w:rFonts w:hint="default"/>
                      <w:lang w:val="en-US" w:eastAsia="zh-CN"/>
                    </w:rPr>
                  </w:pPr>
                  <w:r>
                    <w:rPr>
                      <w:rFonts w:hint="eastAsia"/>
                      <w:lang w:val="en-US" w:eastAsia="zh-CN"/>
                    </w:rPr>
                    <w:t>A级</w:t>
                  </w:r>
                </w:p>
              </w:tc>
              <w:tc>
                <w:tcPr>
                  <w:tcW w:w="977" w:type="pct"/>
                  <w:noWrap w:val="0"/>
                  <w:vAlign w:val="center"/>
                </w:tcPr>
                <w:p>
                  <w:pPr>
                    <w:pStyle w:val="58"/>
                    <w:bidi w:val="0"/>
                    <w:rPr>
                      <w:rFonts w:hint="default"/>
                      <w:lang w:val="en-US" w:eastAsia="zh-CN"/>
                    </w:rPr>
                  </w:pPr>
                  <w:r>
                    <w:rPr>
                      <w:rFonts w:hint="eastAsia"/>
                      <w:lang w:val="en-US" w:eastAsia="zh-CN"/>
                    </w:rPr>
                    <w:t>B级</w:t>
                  </w:r>
                </w:p>
              </w:tc>
              <w:tc>
                <w:tcPr>
                  <w:tcW w:w="907" w:type="pct"/>
                  <w:noWrap w:val="0"/>
                  <w:vAlign w:val="center"/>
                </w:tcPr>
                <w:p>
                  <w:pPr>
                    <w:pStyle w:val="58"/>
                    <w:bidi w:val="0"/>
                    <w:rPr>
                      <w:rFonts w:hint="default"/>
                      <w:lang w:val="en-US" w:eastAsia="zh-CN"/>
                    </w:rPr>
                  </w:pPr>
                  <w:r>
                    <w:rPr>
                      <w:rFonts w:hint="eastAsia"/>
                      <w:lang w:val="en-US" w:eastAsia="zh-CN"/>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1</w:t>
                  </w:r>
                </w:p>
              </w:tc>
              <w:tc>
                <w:tcPr>
                  <w:tcW w:w="1597" w:type="pct"/>
                  <w:noWrap w:val="0"/>
                  <w:vAlign w:val="center"/>
                </w:tcPr>
                <w:p>
                  <w:pPr>
                    <w:pStyle w:val="58"/>
                    <w:bidi w:val="0"/>
                    <w:rPr>
                      <w:rFonts w:hint="default"/>
                      <w:lang w:val="en-US" w:eastAsia="zh-CN"/>
                    </w:rPr>
                  </w:pPr>
                  <w:r>
                    <w:rPr>
                      <w:rFonts w:hint="eastAsia"/>
                      <w:lang w:val="en-US" w:eastAsia="zh-CN"/>
                    </w:rPr>
                    <w:t>pH值</w:t>
                  </w:r>
                </w:p>
              </w:tc>
              <w:tc>
                <w:tcPr>
                  <w:tcW w:w="2885" w:type="pct"/>
                  <w:gridSpan w:val="3"/>
                  <w:noWrap w:val="0"/>
                  <w:vAlign w:val="center"/>
                </w:tcPr>
                <w:p>
                  <w:pPr>
                    <w:pStyle w:val="58"/>
                    <w:bidi w:val="0"/>
                    <w:rPr>
                      <w:rFonts w:hint="default"/>
                      <w:lang w:val="en-US" w:eastAsia="zh-CN"/>
                    </w:rPr>
                  </w:pPr>
                  <w:r>
                    <w:rPr>
                      <w:rFonts w:hint="eastAsia"/>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6" w:type="pct"/>
                  <w:noWrap w:val="0"/>
                  <w:vAlign w:val="center"/>
                </w:tcPr>
                <w:p>
                  <w:pPr>
                    <w:pStyle w:val="58"/>
                    <w:bidi w:val="0"/>
                    <w:rPr>
                      <w:rFonts w:hint="default"/>
                      <w:lang w:val="en-US" w:eastAsia="zh-CN"/>
                    </w:rPr>
                  </w:pPr>
                  <w:r>
                    <w:rPr>
                      <w:rFonts w:hint="eastAsia"/>
                      <w:lang w:val="en-US" w:eastAsia="zh-CN"/>
                    </w:rPr>
                    <w:t>2</w:t>
                  </w:r>
                </w:p>
              </w:tc>
              <w:tc>
                <w:tcPr>
                  <w:tcW w:w="1597" w:type="pct"/>
                  <w:noWrap w:val="0"/>
                  <w:vAlign w:val="center"/>
                </w:tcPr>
                <w:p>
                  <w:pPr>
                    <w:pStyle w:val="58"/>
                    <w:bidi w:val="0"/>
                    <w:rPr>
                      <w:rFonts w:hint="default"/>
                      <w:lang w:val="en-US" w:eastAsia="zh-CN"/>
                    </w:rPr>
                  </w:pPr>
                  <w:r>
                    <w:rPr>
                      <w:rFonts w:hint="eastAsia"/>
                      <w:lang w:val="en-US" w:eastAsia="zh-CN"/>
                    </w:rPr>
                    <w:t>化学需氧量，mg/L</w:t>
                  </w:r>
                </w:p>
              </w:tc>
              <w:tc>
                <w:tcPr>
                  <w:tcW w:w="1000" w:type="pct"/>
                  <w:noWrap w:val="0"/>
                  <w:vAlign w:val="center"/>
                </w:tcPr>
                <w:p>
                  <w:pPr>
                    <w:pStyle w:val="58"/>
                    <w:bidi w:val="0"/>
                    <w:rPr>
                      <w:rFonts w:hint="default"/>
                      <w:lang w:val="en-US" w:eastAsia="zh-CN"/>
                    </w:rPr>
                  </w:pPr>
                  <w:r>
                    <w:rPr>
                      <w:rFonts w:hint="eastAsia"/>
                      <w:lang w:val="en-US" w:eastAsia="zh-CN"/>
                    </w:rPr>
                    <w:t>60</w:t>
                  </w:r>
                </w:p>
              </w:tc>
              <w:tc>
                <w:tcPr>
                  <w:tcW w:w="977" w:type="pct"/>
                  <w:noWrap w:val="0"/>
                  <w:vAlign w:val="center"/>
                </w:tcPr>
                <w:p>
                  <w:pPr>
                    <w:pStyle w:val="58"/>
                    <w:bidi w:val="0"/>
                    <w:rPr>
                      <w:rFonts w:hint="default"/>
                      <w:lang w:val="en-US" w:eastAsia="zh-CN"/>
                    </w:rPr>
                  </w:pPr>
                  <w:r>
                    <w:rPr>
                      <w:rFonts w:hint="eastAsia"/>
                      <w:lang w:val="en-US" w:eastAsia="zh-CN"/>
                    </w:rPr>
                    <w:t>180</w:t>
                  </w:r>
                </w:p>
              </w:tc>
              <w:tc>
                <w:tcPr>
                  <w:tcW w:w="907" w:type="pct"/>
                  <w:noWrap w:val="0"/>
                  <w:vAlign w:val="center"/>
                </w:tcPr>
                <w:p>
                  <w:pPr>
                    <w:pStyle w:val="58"/>
                    <w:bidi w:val="0"/>
                    <w:rPr>
                      <w:rFonts w:hint="default"/>
                      <w:lang w:val="en-US" w:eastAsia="zh-CN"/>
                    </w:rPr>
                  </w:pPr>
                  <w:r>
                    <w:rPr>
                      <w:rFonts w:hint="eastAsia"/>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3</w:t>
                  </w:r>
                </w:p>
              </w:tc>
              <w:tc>
                <w:tcPr>
                  <w:tcW w:w="1597" w:type="pct"/>
                  <w:noWrap w:val="0"/>
                  <w:vAlign w:val="center"/>
                </w:tcPr>
                <w:p>
                  <w:pPr>
                    <w:pStyle w:val="58"/>
                    <w:bidi w:val="0"/>
                    <w:rPr>
                      <w:rFonts w:hint="eastAsia"/>
                      <w:lang w:val="en-US" w:eastAsia="zh-CN"/>
                    </w:rPr>
                  </w:pPr>
                  <w:r>
                    <w:rPr>
                      <w:rFonts w:hint="eastAsia"/>
                      <w:lang w:val="en-US" w:eastAsia="zh-CN"/>
                    </w:rPr>
                    <w:t>悬浮物，mg/L</w:t>
                  </w:r>
                </w:p>
              </w:tc>
              <w:tc>
                <w:tcPr>
                  <w:tcW w:w="1000" w:type="pct"/>
                  <w:noWrap w:val="0"/>
                  <w:vAlign w:val="center"/>
                </w:tcPr>
                <w:p>
                  <w:pPr>
                    <w:pStyle w:val="58"/>
                    <w:bidi w:val="0"/>
                    <w:rPr>
                      <w:rFonts w:hint="default"/>
                      <w:lang w:val="en-US" w:eastAsia="zh-CN"/>
                    </w:rPr>
                  </w:pPr>
                  <w:r>
                    <w:rPr>
                      <w:rFonts w:hint="eastAsia"/>
                      <w:lang w:val="en-US" w:eastAsia="zh-CN"/>
                    </w:rPr>
                    <w:t>30</w:t>
                  </w:r>
                </w:p>
              </w:tc>
              <w:tc>
                <w:tcPr>
                  <w:tcW w:w="977" w:type="pct"/>
                  <w:noWrap w:val="0"/>
                  <w:vAlign w:val="center"/>
                </w:tcPr>
                <w:p>
                  <w:pPr>
                    <w:pStyle w:val="58"/>
                    <w:bidi w:val="0"/>
                    <w:rPr>
                      <w:rFonts w:hint="default"/>
                      <w:lang w:val="en-US" w:eastAsia="zh-CN"/>
                    </w:rPr>
                  </w:pPr>
                  <w:r>
                    <w:rPr>
                      <w:rFonts w:hint="eastAsia"/>
                      <w:lang w:val="en-US" w:eastAsia="zh-CN"/>
                    </w:rPr>
                    <w:t>90</w:t>
                  </w:r>
                </w:p>
              </w:tc>
              <w:tc>
                <w:tcPr>
                  <w:tcW w:w="907" w:type="pct"/>
                  <w:noWrap w:val="0"/>
                  <w:vAlign w:val="center"/>
                </w:tcPr>
                <w:p>
                  <w:pPr>
                    <w:pStyle w:val="58"/>
                    <w:bidi w:val="0"/>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4</w:t>
                  </w:r>
                </w:p>
              </w:tc>
              <w:tc>
                <w:tcPr>
                  <w:tcW w:w="1597" w:type="pct"/>
                  <w:noWrap w:val="0"/>
                  <w:vAlign w:val="center"/>
                </w:tcPr>
                <w:p>
                  <w:pPr>
                    <w:pStyle w:val="58"/>
                    <w:bidi w:val="0"/>
                    <w:rPr>
                      <w:rFonts w:hint="eastAsia"/>
                      <w:lang w:val="en-US" w:eastAsia="zh-CN"/>
                    </w:rPr>
                  </w:pPr>
                  <w:r>
                    <w:rPr>
                      <w:rFonts w:hint="eastAsia"/>
                      <w:lang w:val="en-US" w:eastAsia="zh-CN"/>
                    </w:rPr>
                    <w:t>粪大肠菌群，MPN/L</w:t>
                  </w:r>
                </w:p>
              </w:tc>
              <w:tc>
                <w:tcPr>
                  <w:tcW w:w="1000" w:type="pct"/>
                  <w:noWrap w:val="0"/>
                  <w:vAlign w:val="center"/>
                </w:tcPr>
                <w:p>
                  <w:pPr>
                    <w:pStyle w:val="58"/>
                    <w:bidi w:val="0"/>
                    <w:rPr>
                      <w:rFonts w:hint="default"/>
                      <w:lang w:val="en-US" w:eastAsia="zh-CN"/>
                    </w:rPr>
                  </w:pPr>
                  <w:r>
                    <w:rPr>
                      <w:rFonts w:hint="eastAsia"/>
                      <w:lang w:val="en-US" w:eastAsia="zh-CN"/>
                    </w:rPr>
                    <w:t>10000</w:t>
                  </w:r>
                </w:p>
              </w:tc>
              <w:tc>
                <w:tcPr>
                  <w:tcW w:w="1884" w:type="pct"/>
                  <w:gridSpan w:val="2"/>
                  <w:noWrap w:val="0"/>
                  <w:vAlign w:val="center"/>
                </w:tcPr>
                <w:p>
                  <w:pPr>
                    <w:pStyle w:val="58"/>
                    <w:bidi w:val="0"/>
                    <w:rPr>
                      <w:rFonts w:hint="default"/>
                      <w:lang w:val="en-US" w:eastAsia="zh-CN"/>
                    </w:rPr>
                  </w:pPr>
                  <w:r>
                    <w:rPr>
                      <w:rFonts w:hint="eastAsia"/>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5</w:t>
                  </w:r>
                </w:p>
              </w:tc>
              <w:tc>
                <w:tcPr>
                  <w:tcW w:w="1597" w:type="pct"/>
                  <w:noWrap w:val="0"/>
                  <w:vAlign w:val="center"/>
                </w:tcPr>
                <w:p>
                  <w:pPr>
                    <w:pStyle w:val="58"/>
                    <w:bidi w:val="0"/>
                    <w:rPr>
                      <w:rFonts w:hint="eastAsia"/>
                      <w:lang w:val="en-US" w:eastAsia="zh-CN"/>
                    </w:rPr>
                  </w:pPr>
                  <w:r>
                    <w:rPr>
                      <w:rFonts w:hint="eastAsia"/>
                      <w:lang w:val="en-US" w:eastAsia="zh-CN"/>
                    </w:rPr>
                    <w:t>蛔虫卵个数，个/L</w:t>
                  </w:r>
                </w:p>
              </w:tc>
              <w:tc>
                <w:tcPr>
                  <w:tcW w:w="2885" w:type="pct"/>
                  <w:gridSpan w:val="3"/>
                  <w:noWrap w:val="0"/>
                  <w:vAlign w:val="center"/>
                </w:tcPr>
                <w:p>
                  <w:pPr>
                    <w:pStyle w:val="58"/>
                    <w:bidi w:val="0"/>
                    <w:rPr>
                      <w:rFonts w:hint="default"/>
                      <w:lang w:val="en-US" w:eastAsia="zh-CN"/>
                    </w:rPr>
                  </w:pPr>
                  <w:r>
                    <w:rPr>
                      <w:rFonts w:hint="eastAsia"/>
                      <w:lang w:val="en-US" w:eastAsia="zh-CN"/>
                    </w:rPr>
                    <w:t>2</w:t>
                  </w:r>
                </w:p>
              </w:tc>
            </w:tr>
          </w:tbl>
          <w:p>
            <w:pPr>
              <w:pStyle w:val="48"/>
              <w:bidi w:val="0"/>
              <w:rPr>
                <w:rFonts w:hint="default"/>
                <w:lang w:val="en-US" w:eastAsia="zh-CN"/>
              </w:rPr>
            </w:pPr>
            <w:r>
              <w:rPr>
                <w:rFonts w:hint="eastAsia"/>
                <w:lang w:val="en-US" w:eastAsia="zh-CN"/>
              </w:rPr>
              <w:t>（3）</w:t>
            </w:r>
            <w:r>
              <w:rPr>
                <w:rFonts w:hint="default"/>
                <w:lang w:val="en-US" w:eastAsia="zh-CN"/>
              </w:rPr>
              <w:t>噪声排放标准</w:t>
            </w:r>
          </w:p>
          <w:p>
            <w:pPr>
              <w:pStyle w:val="48"/>
              <w:bidi w:val="0"/>
              <w:rPr>
                <w:rFonts w:hint="default"/>
                <w:lang w:val="en-US" w:eastAsia="zh-CN"/>
              </w:rPr>
            </w:pPr>
            <w:r>
              <w:rPr>
                <w:rFonts w:hint="eastAsia"/>
                <w:lang w:val="en-US" w:eastAsia="zh-CN"/>
              </w:rPr>
              <w:t>施工期和勘探期噪声排放限值执行《建筑施工噪声排放标准》（GB12523-2025）。</w:t>
            </w:r>
          </w:p>
          <w:p>
            <w:pPr>
              <w:pStyle w:val="48"/>
              <w:bidi w:val="0"/>
              <w:rPr>
                <w:rFonts w:hint="eastAsia"/>
                <w:lang w:val="en-US" w:eastAsia="zh-CN"/>
              </w:rPr>
            </w:pPr>
            <w:r>
              <w:rPr>
                <w:rFonts w:hint="eastAsia"/>
                <w:lang w:val="en-US" w:eastAsia="zh-CN"/>
              </w:rPr>
              <w:t>（4）固体废弃物</w:t>
            </w:r>
          </w:p>
          <w:p>
            <w:pPr>
              <w:pStyle w:val="48"/>
              <w:bidi w:val="0"/>
              <w:rPr>
                <w:rFonts w:hint="default"/>
                <w:lang w:val="en-US" w:eastAsia="zh-CN"/>
              </w:rPr>
            </w:pPr>
            <w:r>
              <w:rPr>
                <w:rFonts w:hint="default"/>
                <w:lang w:val="en-US" w:eastAsia="zh-CN"/>
              </w:rPr>
              <w:t>本项目产生的一般固废执行《中华人民共和国固体废物污染环境防治法》（2020年9月1日起施行）、《一般工业固体废物贮存和填埋污染控制标准》（GB18599-2020）中相关标准，危险废物贮存执行《危险废物贮存污染控制标准》（GB18597-2023）</w:t>
            </w: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664" w:type="dxa"/>
            <w:noWrap w:val="0"/>
            <w:vAlign w:val="center"/>
          </w:tcPr>
          <w:p>
            <w:pPr>
              <w:adjustRightInd w:val="0"/>
              <w:snapToGrid w:val="0"/>
              <w:jc w:val="center"/>
              <w:rPr>
                <w:rFonts w:hint="eastAsia" w:ascii="宋体" w:hAnsi="宋体" w:eastAsia="宋体" w:cs="宋体"/>
                <w:kern w:val="0"/>
                <w:szCs w:val="21"/>
              </w:rPr>
            </w:pPr>
            <w:r>
              <w:rPr>
                <w:rFonts w:hint="eastAsia" w:ascii="宋体" w:hAnsi="宋体" w:cs="宋体"/>
                <w:kern w:val="0"/>
                <w:szCs w:val="21"/>
              </w:rPr>
              <w:t>其他</w:t>
            </w:r>
          </w:p>
        </w:tc>
        <w:tc>
          <w:tcPr>
            <w:tcW w:w="8139" w:type="dxa"/>
            <w:noWrap w:val="0"/>
            <w:vAlign w:val="center"/>
          </w:tcPr>
          <w:p>
            <w:pPr>
              <w:pStyle w:val="48"/>
              <w:bidi w:val="0"/>
              <w:ind w:left="0" w:leftChars="0" w:firstLine="0" w:firstLineChars="0"/>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无</w:t>
            </w:r>
          </w:p>
        </w:tc>
      </w:tr>
    </w:tbl>
    <w:p>
      <w:pPr>
        <w:pStyle w:val="20"/>
        <w:adjustRightInd w:val="0"/>
        <w:snapToGrid w:val="0"/>
        <w:spacing w:before="0" w:beforeAutospacing="0" w:after="0" w:afterAutospacing="0" w:line="14" w:lineRule="auto"/>
        <w:jc w:val="center"/>
        <w:outlineLvl w:val="0"/>
        <w:rPr>
          <w:rFonts w:ascii="黑体" w:hAnsi="黑体" w:eastAsia="黑体"/>
          <w:snapToGrid w:val="0"/>
          <w:kern w:val="2"/>
          <w:sz w:val="36"/>
          <w:szCs w:val="36"/>
        </w:r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23"/>
        <w:tblW w:w="82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7" w:type="dxa"/>
            <w:noWrap w:val="0"/>
            <w:tcMar>
              <w:left w:w="28" w:type="dxa"/>
              <w:right w:w="28" w:type="dxa"/>
            </w:tcMar>
            <w:vAlign w:val="center"/>
          </w:tcPr>
          <w:p>
            <w:pPr>
              <w:pStyle w:val="20"/>
              <w:adjustRightInd w:val="0"/>
              <w:snapToGrid w:val="0"/>
              <w:spacing w:before="0" w:beforeAutospacing="0" w:after="0" w:afterAutospacing="0"/>
              <w:jc w:val="center"/>
              <w:rPr>
                <w:rFonts w:cs="宋体"/>
                <w:bCs/>
                <w:kern w:val="2"/>
                <w:sz w:val="21"/>
                <w:szCs w:val="21"/>
              </w:rPr>
            </w:pPr>
            <w:bookmarkStart w:id="4" w:name="_Hlk49796138"/>
            <w:r>
              <w:rPr>
                <w:rFonts w:hint="eastAsia" w:cs="宋体"/>
                <w:bCs/>
                <w:spacing w:val="10"/>
                <w:kern w:val="2"/>
                <w:sz w:val="21"/>
                <w:szCs w:val="21"/>
              </w:rPr>
              <w:t>施工期生态环境影响分析</w:t>
            </w:r>
            <w:bookmarkEnd w:id="4"/>
          </w:p>
        </w:tc>
        <w:tc>
          <w:tcPr>
            <w:tcW w:w="7699" w:type="dxa"/>
            <w:noWrap w:val="0"/>
            <w:vAlign w:val="top"/>
          </w:tcPr>
          <w:p>
            <w:pPr>
              <w:pStyle w:val="48"/>
              <w:bidi w:val="0"/>
              <w:rPr>
                <w:rFonts w:hint="eastAsia"/>
                <w:lang w:eastAsia="zh-CN"/>
              </w:rPr>
            </w:pPr>
            <w:r>
              <w:rPr>
                <w:rFonts w:hint="eastAsia"/>
                <w:lang w:val="en-US" w:eastAsia="zh-CN"/>
              </w:rPr>
              <w:t>本项目为新建项目，施工期</w:t>
            </w:r>
            <w:r>
              <w:rPr>
                <w:rFonts w:hint="default"/>
              </w:rPr>
              <w:t>主要活动</w:t>
            </w:r>
            <w:r>
              <w:rPr>
                <w:rFonts w:hint="eastAsia"/>
                <w:lang w:val="en-US" w:eastAsia="zh-CN"/>
              </w:rPr>
              <w:t>为临时生活营地建设和道路修建</w:t>
            </w:r>
            <w:r>
              <w:rPr>
                <w:rFonts w:hint="default"/>
              </w:rPr>
              <w:t>，</w:t>
            </w:r>
            <w:r>
              <w:rPr>
                <w:rFonts w:hint="eastAsia"/>
                <w:lang w:eastAsia="zh-CN"/>
              </w:rPr>
              <w:t>在施工过程中会有</w:t>
            </w:r>
            <w:r>
              <w:rPr>
                <w:rFonts w:hint="default"/>
              </w:rPr>
              <w:t>施工废气、施工扬尘、施工噪声</w:t>
            </w:r>
            <w:r>
              <w:rPr>
                <w:rFonts w:hint="eastAsia"/>
                <w:lang w:eastAsia="zh-CN"/>
              </w:rPr>
              <w:t>、</w:t>
            </w:r>
            <w:r>
              <w:rPr>
                <w:rFonts w:hint="eastAsia"/>
                <w:lang w:val="en-US" w:eastAsia="zh-CN"/>
              </w:rPr>
              <w:t>开挖土石方</w:t>
            </w:r>
            <w:r>
              <w:rPr>
                <w:rFonts w:hint="default"/>
              </w:rPr>
              <w:t>等产生</w:t>
            </w:r>
            <w:r>
              <w:rPr>
                <w:rFonts w:hint="eastAsia"/>
                <w:lang w:eastAsia="zh-CN"/>
              </w:rPr>
              <w:t>。</w:t>
            </w:r>
          </w:p>
          <w:p>
            <w:pPr>
              <w:pStyle w:val="50"/>
              <w:bidi w:val="0"/>
              <w:rPr>
                <w:rFonts w:hint="eastAsia"/>
                <w:lang w:val="en-US" w:eastAsia="zh-CN"/>
              </w:rPr>
            </w:pPr>
            <w:r>
              <w:rPr>
                <w:rFonts w:hint="eastAsia"/>
                <w:lang w:val="en-US" w:eastAsia="zh-CN"/>
              </w:rPr>
              <w:t>1.生态影响分析</w:t>
            </w:r>
          </w:p>
          <w:p>
            <w:pPr>
              <w:pStyle w:val="50"/>
              <w:bidi w:val="0"/>
              <w:rPr>
                <w:rFonts w:hint="eastAsia"/>
                <w:highlight w:val="none"/>
                <w:lang w:val="en-US" w:eastAsia="zh-CN"/>
              </w:rPr>
            </w:pPr>
            <w:r>
              <w:rPr>
                <w:rFonts w:hint="eastAsia"/>
                <w:lang w:val="en-US" w:eastAsia="zh-CN"/>
              </w:rPr>
              <w:t>1.1</w:t>
            </w:r>
            <w:r>
              <w:rPr>
                <w:rFonts w:hint="eastAsia"/>
                <w:highlight w:val="none"/>
                <w:lang w:val="en-US" w:eastAsia="zh-CN"/>
              </w:rPr>
              <w:t>占地影响</w:t>
            </w:r>
          </w:p>
          <w:p>
            <w:pPr>
              <w:pStyle w:val="48"/>
              <w:bidi w:val="0"/>
              <w:rPr>
                <w:rFonts w:hint="eastAsia"/>
                <w:lang w:val="en-US" w:eastAsia="zh-CN"/>
              </w:rPr>
            </w:pPr>
            <w:r>
              <w:rPr>
                <w:rFonts w:hint="eastAsia"/>
                <w:lang w:val="en-US" w:eastAsia="zh-CN"/>
              </w:rPr>
              <w:t>本项目施工期建设主要为临时道路和临时生活营地的修筑，占地共计35100m</w:t>
            </w:r>
            <w:r>
              <w:rPr>
                <w:rFonts w:hint="eastAsia"/>
                <w:vertAlign w:val="superscript"/>
                <w:lang w:val="en-US" w:eastAsia="zh-CN"/>
              </w:rPr>
              <w:t>2</w:t>
            </w:r>
            <w:r>
              <w:rPr>
                <w:rFonts w:hint="eastAsia"/>
                <w:lang w:val="en-US" w:eastAsia="zh-CN"/>
              </w:rPr>
              <w:t>，均为临时占地。临时占地会改变土地原有使用功能，造成资源浪费，临时构筑物的压占会造成剥离后的表层土壤过于紧实，降低土壤的通透性和渗水性，对土壤环境、动植物以及区域景观生态产生不利的影响。</w:t>
            </w:r>
          </w:p>
          <w:p>
            <w:pPr>
              <w:pStyle w:val="50"/>
              <w:bidi w:val="0"/>
              <w:rPr>
                <w:rFonts w:hint="eastAsia"/>
                <w:lang w:val="en-US" w:eastAsia="zh-CN"/>
              </w:rPr>
            </w:pPr>
            <w:r>
              <w:rPr>
                <w:rFonts w:hint="eastAsia"/>
                <w:lang w:val="en-US" w:eastAsia="zh-CN"/>
              </w:rPr>
              <w:t>1.2土壤环境的影响</w:t>
            </w:r>
          </w:p>
          <w:p>
            <w:pPr>
              <w:pStyle w:val="48"/>
              <w:bidi w:val="0"/>
              <w:rPr>
                <w:rFonts w:hint="eastAsia"/>
                <w:lang w:val="en-US" w:eastAsia="zh-CN"/>
              </w:rPr>
            </w:pPr>
            <w:r>
              <w:rPr>
                <w:rFonts w:hint="eastAsia"/>
                <w:lang w:val="en-US" w:eastAsia="zh-CN"/>
              </w:rPr>
              <w:t>工程施工过程中的土方开挖、回填、机械碾压对土壤的理化性质和土壤肥力会产生一定不利影响，不会彻底改变土地利用结构和功能，对区域生态系统的影响有限。</w:t>
            </w:r>
          </w:p>
          <w:p>
            <w:pPr>
              <w:pStyle w:val="48"/>
              <w:bidi w:val="0"/>
              <w:rPr>
                <w:rFonts w:hint="eastAsia"/>
                <w:lang w:val="en-US" w:eastAsia="zh-CN"/>
              </w:rPr>
            </w:pPr>
            <w:r>
              <w:rPr>
                <w:rFonts w:hint="eastAsia"/>
                <w:lang w:val="en-US" w:eastAsia="zh-CN"/>
              </w:rPr>
              <w:t>本次施工期内道路修建产生堆土和临时构筑物的压占会造成剥离后的表层土壤过于紧实，降低土壤的通透性和渗水性，工程建设临时压占土地，主要是使这些土地失去原有的生物生产功能和生态服务功能，会对局部的土地利用产生一定的影响。</w:t>
            </w:r>
          </w:p>
          <w:p>
            <w:pPr>
              <w:pStyle w:val="50"/>
              <w:bidi w:val="0"/>
              <w:rPr>
                <w:rFonts w:hint="default"/>
                <w:lang w:val="en-US" w:eastAsia="zh-CN"/>
              </w:rPr>
            </w:pPr>
            <w:r>
              <w:rPr>
                <w:rFonts w:hint="eastAsia"/>
                <w:lang w:val="en-US" w:eastAsia="zh-CN"/>
              </w:rPr>
              <w:t>1.3对植物的影响</w:t>
            </w:r>
          </w:p>
          <w:p>
            <w:pPr>
              <w:pStyle w:val="48"/>
              <w:bidi w:val="0"/>
              <w:rPr>
                <w:rFonts w:hint="default"/>
                <w:lang w:val="en-US" w:eastAsia="zh-CN"/>
              </w:rPr>
            </w:pPr>
            <w:r>
              <w:rPr>
                <w:rFonts w:hint="default"/>
                <w:lang w:val="en-US" w:eastAsia="zh-CN"/>
              </w:rPr>
              <w:t>本项目占地性质属于临时占地，探矿区范围内部分区域为草地，主要植物为高山绢蒿和</w:t>
            </w:r>
            <w:r>
              <w:rPr>
                <w:rFonts w:hint="eastAsia"/>
                <w:lang w:val="en-US" w:eastAsia="zh-CN"/>
              </w:rPr>
              <w:t>合头藜</w:t>
            </w:r>
            <w:r>
              <w:rPr>
                <w:rFonts w:hint="default"/>
                <w:lang w:val="en-US" w:eastAsia="zh-CN"/>
              </w:rPr>
              <w:t>。施工过程中施工机械的碾压、建筑材料的占压、施工人员踩踏以及建筑物基础等都将不可避免对占地区域植被造成破坏性的影响。施工活动致使项目区转化为人工裸地，导致植被生产能力下降，植被覆盖度降低。</w:t>
            </w:r>
          </w:p>
          <w:p>
            <w:pPr>
              <w:pStyle w:val="50"/>
              <w:bidi w:val="0"/>
              <w:rPr>
                <w:rFonts w:hint="default"/>
                <w:lang w:val="en-US" w:eastAsia="zh-CN"/>
              </w:rPr>
            </w:pPr>
            <w:r>
              <w:rPr>
                <w:rFonts w:hint="eastAsia"/>
                <w:lang w:val="en-US" w:eastAsia="zh-CN"/>
              </w:rPr>
              <w:t>1.4对动物的影响</w:t>
            </w:r>
          </w:p>
          <w:p>
            <w:pPr>
              <w:pStyle w:val="48"/>
              <w:bidi w:val="0"/>
              <w:rPr>
                <w:rFonts w:hint="default"/>
                <w:lang w:val="en-US" w:eastAsia="zh-CN"/>
              </w:rPr>
            </w:pPr>
            <w:r>
              <w:rPr>
                <w:rFonts w:hint="eastAsia"/>
                <w:lang w:val="en-US" w:eastAsia="zh-CN"/>
              </w:rPr>
              <w:t>项目所涉范围内基本无大型哺乳动物分布，以小型哺乳类和爬行类为主，且数量不多。施工活动会对所在区域动物栖息环境产生扰动。施工过程中各类机械运转、人员活动等产生的噪声会使施工所在区域动物的正常生活受到暂时的轻微干扰，将会使区域内少量动物出现迁徙，使矿区生物量降低，分布、数量、生物多样性发生变化。施工时尽量避让野生动物，不追逐，不惊吓</w:t>
            </w:r>
            <w:r>
              <w:rPr>
                <w:rFonts w:hint="default"/>
                <w:lang w:val="en-US" w:eastAsia="zh-CN"/>
              </w:rPr>
              <w:t>。</w:t>
            </w:r>
          </w:p>
          <w:p>
            <w:pPr>
              <w:pStyle w:val="50"/>
              <w:bidi w:val="0"/>
              <w:rPr>
                <w:rFonts w:hint="default"/>
              </w:rPr>
            </w:pPr>
            <w:r>
              <w:rPr>
                <w:rFonts w:hint="default"/>
              </w:rPr>
              <w:t>1.</w:t>
            </w:r>
            <w:r>
              <w:rPr>
                <w:rFonts w:hint="eastAsia"/>
                <w:lang w:val="en-US" w:eastAsia="zh-CN"/>
              </w:rPr>
              <w:t>5</w:t>
            </w:r>
            <w:r>
              <w:rPr>
                <w:rFonts w:hint="default"/>
                <w:lang w:val="en-US" w:eastAsia="zh-CN"/>
              </w:rPr>
              <w:t>对</w:t>
            </w:r>
            <w:r>
              <w:rPr>
                <w:rFonts w:hint="default"/>
              </w:rPr>
              <w:t>区域景观的影响</w:t>
            </w:r>
          </w:p>
          <w:p>
            <w:pPr>
              <w:pStyle w:val="48"/>
              <w:bidi w:val="0"/>
              <w:rPr>
                <w:rFonts w:hint="default"/>
                <w:lang w:val="en-US" w:eastAsia="zh-CN"/>
              </w:rPr>
            </w:pPr>
            <w:r>
              <w:rPr>
                <w:rFonts w:hint="default"/>
                <w:lang w:val="en-US" w:eastAsia="zh-CN"/>
              </w:rPr>
              <w:t>由于项目施工开挖等活动，会造成地表植被不同程度的破坏，在短期内成为与原有生态景观不协调的</w:t>
            </w:r>
            <w:r>
              <w:rPr>
                <w:rFonts w:hint="eastAsia"/>
                <w:lang w:val="en-US" w:eastAsia="zh-CN"/>
              </w:rPr>
              <w:t>“</w:t>
            </w:r>
            <w:r>
              <w:rPr>
                <w:rFonts w:hint="default"/>
                <w:lang w:val="en-US" w:eastAsia="zh-CN"/>
              </w:rPr>
              <w:t>裸地</w:t>
            </w:r>
            <w:r>
              <w:rPr>
                <w:rFonts w:hint="eastAsia"/>
                <w:lang w:val="en-US" w:eastAsia="zh-CN"/>
              </w:rPr>
              <w:t>”</w:t>
            </w:r>
            <w:r>
              <w:rPr>
                <w:rFonts w:hint="default"/>
                <w:lang w:val="en-US" w:eastAsia="zh-CN"/>
              </w:rPr>
              <w:t>或</w:t>
            </w:r>
            <w:r>
              <w:rPr>
                <w:rFonts w:hint="eastAsia"/>
                <w:lang w:val="en-US" w:eastAsia="zh-CN"/>
              </w:rPr>
              <w:t>“</w:t>
            </w:r>
            <w:r>
              <w:rPr>
                <w:rFonts w:hint="default"/>
                <w:lang w:val="en-US" w:eastAsia="zh-CN"/>
              </w:rPr>
              <w:t>疮疤</w:t>
            </w:r>
            <w:r>
              <w:rPr>
                <w:rFonts w:hint="eastAsia"/>
                <w:lang w:val="en-US" w:eastAsia="zh-CN"/>
              </w:rPr>
              <w:t>”</w:t>
            </w:r>
            <w:r>
              <w:rPr>
                <w:rFonts w:hint="default"/>
                <w:lang w:val="en-US" w:eastAsia="zh-CN"/>
              </w:rPr>
              <w:t>斑块，另外施工现场的暴露、建筑垃圾的堆存也影响区域景观，对整体生态景观形成不和谐的视觉效果，造成较为明显的不利影响</w:t>
            </w:r>
            <w:r>
              <w:rPr>
                <w:rFonts w:hint="eastAsia"/>
                <w:lang w:eastAsia="zh-CN"/>
              </w:rPr>
              <w:t>。</w:t>
            </w:r>
          </w:p>
          <w:p>
            <w:pPr>
              <w:pStyle w:val="50"/>
              <w:bidi w:val="0"/>
              <w:rPr>
                <w:rFonts w:hint="eastAsia"/>
                <w:lang w:val="en-US" w:eastAsia="zh-CN"/>
              </w:rPr>
            </w:pPr>
            <w:r>
              <w:rPr>
                <w:rFonts w:hint="eastAsia"/>
                <w:lang w:val="en-US" w:eastAsia="zh-CN"/>
              </w:rPr>
              <w:t>1.6对区域沙化土地的影响分析</w:t>
            </w:r>
          </w:p>
          <w:p>
            <w:pPr>
              <w:pStyle w:val="48"/>
              <w:bidi w:val="0"/>
              <w:rPr>
                <w:rFonts w:hint="default"/>
                <w:lang w:val="en-US" w:eastAsia="zh-CN"/>
              </w:rPr>
            </w:pPr>
            <w:r>
              <w:rPr>
                <w:rFonts w:hint="default"/>
                <w:lang w:val="en-US" w:eastAsia="zh-CN"/>
              </w:rPr>
              <w:t>项目区属于非沙化土地，施工过程中将会破坏占地范围内的土壤表层稳定结皮和植被，项目所在区域具有多风、降水量偏低等气候特征，地表稳定结皮被破坏后，在大风天气条件下，施工会使占地范围内的土地就地起沙，局部从非沙化土地变成沙化土地。但是由于项目占地范围较小，施工时间短，施工结束后对场地进行平整和清理，尽量利用施工时产生的表层土对临时占地进行覆盖，采用自然恢复的方式对区域植被进行恢复。综上所述，本项目对区域土地沙化影响不大。</w:t>
            </w:r>
          </w:p>
          <w:p>
            <w:pPr>
              <w:pStyle w:val="50"/>
              <w:bidi w:val="0"/>
              <w:rPr>
                <w:rFonts w:hint="eastAsia"/>
                <w:lang w:val="en-US" w:eastAsia="zh-CN"/>
              </w:rPr>
            </w:pPr>
            <w:r>
              <w:rPr>
                <w:rFonts w:hint="eastAsia"/>
                <w:lang w:val="en-US" w:eastAsia="zh-CN"/>
              </w:rPr>
              <w:t>1.7对水土流失的影响分析</w:t>
            </w:r>
          </w:p>
          <w:p>
            <w:pPr>
              <w:pStyle w:val="48"/>
              <w:bidi w:val="0"/>
              <w:rPr>
                <w:rFonts w:hint="eastAsia"/>
                <w:lang w:eastAsia="zh-CN"/>
              </w:rPr>
            </w:pPr>
            <w:r>
              <w:rPr>
                <w:rFonts w:hint="eastAsia"/>
                <w:lang w:val="en-US" w:eastAsia="zh-CN"/>
              </w:rPr>
              <w:t>项目区水土流失情况为微度，水土流失类型为水力侵蚀。修建勘查道路时，大型机械设备频繁碾压，致使土壤颗粒紧密排列，孔隙大幅减小，严重压实了土壤，降低了土壤的透气性与透水性。平整场地时将原有的表土结构完全破坏，使得具有肥力和保水保肥能力的表层土壤被剥离。而搭建临时设施时，材料堆放、人员及机械的往来走动，进一步加剧了土壤的紧实度，给后续植被的扎根、生长带来了极大困难，使地表失去植被的有效保护，进而加剧水土流失。</w:t>
            </w:r>
          </w:p>
          <w:p>
            <w:pPr>
              <w:pStyle w:val="50"/>
              <w:bidi w:val="0"/>
              <w:rPr>
                <w:rFonts w:hint="eastAsia"/>
                <w:lang w:val="en-US" w:eastAsia="zh-CN"/>
              </w:rPr>
            </w:pPr>
            <w:r>
              <w:rPr>
                <w:rFonts w:hint="eastAsia"/>
                <w:lang w:val="en-US" w:eastAsia="zh-CN"/>
              </w:rPr>
              <w:t>2.大气污染物影响分析</w:t>
            </w:r>
          </w:p>
          <w:p>
            <w:pPr>
              <w:pStyle w:val="48"/>
              <w:bidi w:val="0"/>
              <w:rPr>
                <w:rFonts w:hint="eastAsia"/>
              </w:rPr>
            </w:pPr>
            <w:r>
              <w:rPr>
                <w:rFonts w:hint="eastAsia"/>
                <w:lang w:val="en-US" w:eastAsia="zh-CN"/>
              </w:rPr>
              <w:t>（1）车辆行驶</w:t>
            </w:r>
            <w:r>
              <w:rPr>
                <w:rFonts w:hint="eastAsia"/>
              </w:rPr>
              <w:t>扬尘</w:t>
            </w:r>
          </w:p>
          <w:p>
            <w:pPr>
              <w:pStyle w:val="48"/>
              <w:bidi w:val="0"/>
              <w:rPr>
                <w:rFonts w:hint="eastAsia"/>
                <w:lang w:val="en-US" w:eastAsia="zh-CN"/>
              </w:rPr>
            </w:pPr>
            <w:r>
              <w:rPr>
                <w:rFonts w:hint="eastAsia"/>
                <w:lang w:val="en-US" w:eastAsia="zh-CN"/>
              </w:rPr>
              <w:t>在施工过程中，车辆行驶产生的扬尘量一般占施工扬尘总量的60%以上。车辆在行驶过程中产生的扬尘量，可按下列经验公式计算：</w:t>
            </w:r>
          </w:p>
          <w:p>
            <w:pPr>
              <w:pStyle w:val="48"/>
              <w:bidi w:val="0"/>
              <w:rPr>
                <w:rFonts w:hint="eastAsia"/>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295275</wp:posOffset>
                  </wp:positionH>
                  <wp:positionV relativeFrom="paragraph">
                    <wp:posOffset>128905</wp:posOffset>
                  </wp:positionV>
                  <wp:extent cx="2246630" cy="501015"/>
                  <wp:effectExtent l="0" t="0" r="1270" b="13335"/>
                  <wp:wrapTight wrapText="bothSides">
                    <wp:wrapPolygon>
                      <wp:start x="0" y="0"/>
                      <wp:lineTo x="0" y="20532"/>
                      <wp:lineTo x="21429" y="20532"/>
                      <wp:lineTo x="21429" y="0"/>
                      <wp:lineTo x="0" y="0"/>
                    </wp:wrapPolygon>
                  </wp:wrapTight>
                  <wp:docPr id="2" name="图片 5"/>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14"/>
                          <a:stretch>
                            <a:fillRect/>
                          </a:stretch>
                        </pic:blipFill>
                        <pic:spPr>
                          <a:xfrm>
                            <a:off x="0" y="0"/>
                            <a:ext cx="2246630" cy="501015"/>
                          </a:xfrm>
                          <a:prstGeom prst="rect">
                            <a:avLst/>
                          </a:prstGeom>
                          <a:noFill/>
                          <a:ln>
                            <a:noFill/>
                          </a:ln>
                        </pic:spPr>
                      </pic:pic>
                    </a:graphicData>
                  </a:graphic>
                </wp:anchor>
              </w:drawing>
            </w:r>
          </w:p>
          <w:p>
            <w:pPr>
              <w:pStyle w:val="48"/>
              <w:bidi w:val="0"/>
              <w:rPr>
                <w:rFonts w:hint="eastAsia"/>
                <w:lang w:val="en-US" w:eastAsia="zh-CN"/>
              </w:rPr>
            </w:pPr>
          </w:p>
          <w:p>
            <w:pPr>
              <w:pStyle w:val="48"/>
              <w:bidi w:val="0"/>
              <w:rPr>
                <w:rFonts w:hint="eastAsia"/>
                <w:lang w:val="en-US" w:eastAsia="zh-CN"/>
              </w:rPr>
            </w:pPr>
            <w:r>
              <w:rPr>
                <w:rFonts w:hint="eastAsia"/>
                <w:lang w:val="en-US" w:eastAsia="zh-CN"/>
              </w:rPr>
              <w:t>式中：Q—汽车行驶的扬尘，kg/km·辆；</w:t>
            </w:r>
          </w:p>
          <w:p>
            <w:pPr>
              <w:pStyle w:val="48"/>
              <w:bidi w:val="0"/>
              <w:rPr>
                <w:rFonts w:hint="eastAsia"/>
                <w:lang w:val="en-US" w:eastAsia="zh-CN"/>
              </w:rPr>
            </w:pPr>
            <w:r>
              <w:rPr>
                <w:rFonts w:hint="eastAsia"/>
                <w:lang w:val="en-US" w:eastAsia="zh-CN"/>
              </w:rPr>
              <w:t>V—汽车速度，km/hr；</w:t>
            </w:r>
          </w:p>
          <w:p>
            <w:pPr>
              <w:pStyle w:val="48"/>
              <w:bidi w:val="0"/>
              <w:rPr>
                <w:rFonts w:hint="eastAsia"/>
                <w:lang w:val="en-US" w:eastAsia="zh-CN"/>
              </w:rPr>
            </w:pPr>
            <w:r>
              <w:rPr>
                <w:rFonts w:hint="eastAsia"/>
                <w:lang w:val="en-US" w:eastAsia="zh-CN"/>
              </w:rPr>
              <w:t>W—汽车载重量，t；</w:t>
            </w:r>
          </w:p>
          <w:p>
            <w:pPr>
              <w:pStyle w:val="48"/>
              <w:bidi w:val="0"/>
              <w:rPr>
                <w:rFonts w:hint="eastAsia"/>
                <w:lang w:val="en-US" w:eastAsia="zh-CN"/>
              </w:rPr>
            </w:pPr>
            <w:r>
              <w:rPr>
                <w:rFonts w:hint="eastAsia"/>
                <w:lang w:val="en-US" w:eastAsia="zh-CN"/>
              </w:rPr>
              <w:t>P—道路表面粉尘量，kg/m</w:t>
            </w:r>
            <w:r>
              <w:rPr>
                <w:rFonts w:hint="eastAsia"/>
                <w:vertAlign w:val="superscript"/>
                <w:lang w:val="en-US" w:eastAsia="zh-CN"/>
              </w:rPr>
              <w:t>2</w:t>
            </w:r>
            <w:r>
              <w:rPr>
                <w:rFonts w:hint="eastAsia"/>
                <w:lang w:val="en-US" w:eastAsia="zh-CN"/>
              </w:rPr>
              <w:t>。</w:t>
            </w:r>
          </w:p>
          <w:p>
            <w:pPr>
              <w:pStyle w:val="48"/>
              <w:bidi w:val="0"/>
              <w:rPr>
                <w:rFonts w:hint="eastAsia"/>
                <w:lang w:val="en-US" w:eastAsia="zh-CN"/>
              </w:rPr>
            </w:pPr>
            <w:r>
              <w:rPr>
                <w:rFonts w:hint="eastAsia"/>
                <w:lang w:val="en-US" w:eastAsia="zh-CN"/>
              </w:rPr>
              <w:t>可见，在同样的路面条件下，车速越快，扬尘量越大；在同样的车速情况下，路面越脏，扬尘量越大。因此，限制车辆行驶速度以及保持路面的清洁是减少汽车扬尘的有效手段。</w:t>
            </w:r>
          </w:p>
          <w:p>
            <w:pPr>
              <w:pStyle w:val="48"/>
              <w:numPr>
                <w:ilvl w:val="0"/>
                <w:numId w:val="1"/>
              </w:numPr>
              <w:bidi w:val="0"/>
              <w:rPr>
                <w:rFonts w:hint="eastAsia"/>
                <w:lang w:val="en-US" w:eastAsia="zh-CN"/>
              </w:rPr>
            </w:pPr>
            <w:r>
              <w:rPr>
                <w:rFonts w:hint="eastAsia"/>
                <w:lang w:val="en-US" w:eastAsia="zh-CN"/>
              </w:rPr>
              <w:t>施工机械尾气</w:t>
            </w:r>
          </w:p>
          <w:p>
            <w:pPr>
              <w:pStyle w:val="48"/>
              <w:bidi w:val="0"/>
              <w:rPr>
                <w:rFonts w:hint="default"/>
                <w:lang w:val="en-US" w:eastAsia="zh-CN"/>
              </w:rPr>
            </w:pPr>
            <w:r>
              <w:rPr>
                <w:rFonts w:hint="default"/>
                <w:lang w:val="en-US" w:eastAsia="zh-CN"/>
              </w:rPr>
              <w:t>施工机械和运输车辆排放的尾气中含有一氧化碳</w:t>
            </w:r>
            <w:r>
              <w:rPr>
                <w:rFonts w:hint="eastAsia"/>
                <w:lang w:val="en-US" w:eastAsia="zh-CN"/>
              </w:rPr>
              <w:t>（</w:t>
            </w:r>
            <w:r>
              <w:rPr>
                <w:rFonts w:hint="default"/>
                <w:lang w:val="en-US" w:eastAsia="zh-CN"/>
              </w:rPr>
              <w:t>CO</w:t>
            </w:r>
            <w:r>
              <w:rPr>
                <w:rFonts w:hint="eastAsia"/>
                <w:lang w:val="en-US" w:eastAsia="zh-CN"/>
              </w:rPr>
              <w:t>）</w:t>
            </w:r>
            <w:r>
              <w:rPr>
                <w:rFonts w:hint="default"/>
                <w:lang w:val="en-US" w:eastAsia="zh-CN"/>
              </w:rPr>
              <w:t>、氮氧化物</w:t>
            </w:r>
            <w:r>
              <w:rPr>
                <w:rFonts w:hint="eastAsia"/>
                <w:lang w:val="en-US" w:eastAsia="zh-CN"/>
              </w:rPr>
              <w:t>（</w:t>
            </w:r>
            <w:r>
              <w:rPr>
                <w:rFonts w:hint="default"/>
                <w:lang w:val="en-US" w:eastAsia="zh-CN"/>
              </w:rPr>
              <w:t>主要以NO和NO</w:t>
            </w:r>
            <w:r>
              <w:rPr>
                <w:rFonts w:hint="default"/>
                <w:vertAlign w:val="subscript"/>
                <w:lang w:val="en-US" w:eastAsia="zh-CN"/>
              </w:rPr>
              <w:t>2</w:t>
            </w:r>
            <w:r>
              <w:rPr>
                <w:rFonts w:hint="default"/>
                <w:lang w:val="en-US" w:eastAsia="zh-CN"/>
              </w:rPr>
              <w:t>形式存在</w:t>
            </w:r>
            <w:r>
              <w:rPr>
                <w:rFonts w:hint="eastAsia"/>
                <w:lang w:val="en-US" w:eastAsia="zh-CN"/>
              </w:rPr>
              <w:t>）</w:t>
            </w:r>
            <w:r>
              <w:rPr>
                <w:rFonts w:hint="default"/>
                <w:lang w:val="en-US" w:eastAsia="zh-CN"/>
              </w:rPr>
              <w:t>和总烃</w:t>
            </w:r>
            <w:r>
              <w:rPr>
                <w:rFonts w:hint="eastAsia"/>
                <w:lang w:val="en-US" w:eastAsia="zh-CN"/>
              </w:rPr>
              <w:t>（</w:t>
            </w:r>
            <w:r>
              <w:rPr>
                <w:rFonts w:hint="default"/>
                <w:lang w:val="en-US" w:eastAsia="zh-CN"/>
              </w:rPr>
              <w:t>THC</w:t>
            </w:r>
            <w:r>
              <w:rPr>
                <w:rFonts w:hint="eastAsia"/>
                <w:lang w:val="en-US" w:eastAsia="zh-CN"/>
              </w:rPr>
              <w:t>）</w:t>
            </w:r>
            <w:r>
              <w:rPr>
                <w:rFonts w:hint="default"/>
                <w:lang w:val="en-US" w:eastAsia="zh-CN"/>
              </w:rPr>
              <w:t>等有毒有害物质。拟建道路的施工作业量和物料运输量</w:t>
            </w:r>
            <w:r>
              <w:rPr>
                <w:rFonts w:hint="eastAsia"/>
                <w:lang w:val="en-US" w:eastAsia="zh-CN"/>
              </w:rPr>
              <w:t>较</w:t>
            </w:r>
            <w:r>
              <w:rPr>
                <w:rFonts w:hint="default"/>
                <w:lang w:val="en-US" w:eastAsia="zh-CN"/>
              </w:rPr>
              <w:t>大，因此汽车尾气排放对沿线环境空气质量的污染有一定程度的影响。工程勘探区地形开阔，空气流通性好，排放废气中的各项污染物能够很快扩散，不会引起局部大气环境质量的恶化。加之废气排放的不连续性和工程施工期有限，排放的废气对区域的环境空气质量影响较小。</w:t>
            </w:r>
            <w:r>
              <w:rPr>
                <w:rFonts w:hint="eastAsia" w:ascii="Times New Roman" w:hAnsi="Times New Roman" w:eastAsia="宋体" w:cs="Times New Roman"/>
                <w:color w:val="000000"/>
                <w:kern w:val="0"/>
                <w:sz w:val="24"/>
                <w:szCs w:val="24"/>
                <w:lang w:val="en-US" w:eastAsia="zh-CN"/>
              </w:rPr>
              <w:t>工程施工期间，施工单位应严格遵守有关法律、法规，采取合理可行的控制措施，要求使用符合国家标准的柴油，对于故障机械及时修理，保证运行车况良好，减少因故障而造成的尾气超标排放，以减少对周围大气环境的影响。</w:t>
            </w:r>
          </w:p>
          <w:p>
            <w:pPr>
              <w:pStyle w:val="50"/>
              <w:bidi w:val="0"/>
              <w:rPr>
                <w:rFonts w:hint="default"/>
              </w:rPr>
            </w:pPr>
            <w:r>
              <w:rPr>
                <w:rFonts w:hint="eastAsia"/>
                <w:highlight w:val="none"/>
                <w:lang w:val="en-US" w:eastAsia="zh-CN"/>
              </w:rPr>
              <w:t>3.</w:t>
            </w:r>
            <w:r>
              <w:rPr>
                <w:rFonts w:hint="eastAsia"/>
                <w:highlight w:val="none"/>
              </w:rPr>
              <w:t>废水</w:t>
            </w:r>
            <w:r>
              <w:rPr>
                <w:rFonts w:hint="default"/>
                <w:highlight w:val="none"/>
              </w:rPr>
              <w:t>污染物影</w:t>
            </w:r>
            <w:r>
              <w:rPr>
                <w:rFonts w:hint="default"/>
              </w:rPr>
              <w:t>响分析</w:t>
            </w:r>
          </w:p>
          <w:p>
            <w:pPr>
              <w:pStyle w:val="48"/>
              <w:bidi w:val="0"/>
              <w:rPr>
                <w:rFonts w:hint="eastAsia"/>
                <w:lang w:val="en-US" w:eastAsia="zh-CN"/>
              </w:rPr>
            </w:pPr>
            <w:r>
              <w:rPr>
                <w:rFonts w:hint="eastAsia"/>
                <w:lang w:val="en-US" w:eastAsia="zh-CN"/>
              </w:rPr>
              <w:t>本项目施工期施工废水沉淀后用于洒水降尘，不外排。由于本项目施工时间短，未涉及大规模用水环节，因此产生的生活污水量较少。</w:t>
            </w:r>
            <w:r>
              <w:rPr>
                <w:rFonts w:hint="eastAsia"/>
                <w:shd w:val="clear" w:color="auto" w:fill="auto"/>
                <w:lang w:val="en-US" w:eastAsia="zh-CN"/>
              </w:rPr>
              <w:t>生活污水排入一体化污水处理设施处理达标后，用于洒水绿化，不外排，</w:t>
            </w:r>
            <w:r>
              <w:rPr>
                <w:rFonts w:hint="eastAsia"/>
                <w:lang w:val="en-US" w:eastAsia="zh-CN"/>
              </w:rPr>
              <w:t>不会对周边水环境造成影响。</w:t>
            </w:r>
          </w:p>
          <w:p>
            <w:pPr>
              <w:pStyle w:val="50"/>
              <w:bidi w:val="0"/>
              <w:rPr>
                <w:rFonts w:hint="default"/>
                <w:lang w:val="en-US" w:eastAsia="zh-CN"/>
              </w:rPr>
            </w:pPr>
            <w:r>
              <w:rPr>
                <w:rFonts w:hint="eastAsia"/>
                <w:lang w:val="en-US" w:eastAsia="zh-CN"/>
              </w:rPr>
              <w:t>4.</w:t>
            </w:r>
            <w:r>
              <w:rPr>
                <w:rFonts w:hint="default"/>
                <w:lang w:val="en-US" w:eastAsia="zh-CN"/>
              </w:rPr>
              <w:t>噪声</w:t>
            </w:r>
            <w:r>
              <w:rPr>
                <w:rFonts w:hint="eastAsia"/>
                <w:lang w:val="en-US" w:eastAsia="zh-CN"/>
              </w:rPr>
              <w:t>环境影响分析</w:t>
            </w:r>
          </w:p>
          <w:p>
            <w:pPr>
              <w:pStyle w:val="48"/>
              <w:bidi w:val="0"/>
            </w:pPr>
            <w:r>
              <w:rPr>
                <w:rFonts w:hint="eastAsia"/>
              </w:rPr>
              <w:t>根据工程分析可知，</w:t>
            </w:r>
            <w:r>
              <w:rPr>
                <w:rFonts w:hint="eastAsia"/>
                <w:lang w:val="en-US" w:eastAsia="zh-CN"/>
              </w:rPr>
              <w:t>施工期</w:t>
            </w:r>
            <w:r>
              <w:rPr>
                <w:rFonts w:hint="eastAsia"/>
              </w:rPr>
              <w:t>的噪声</w:t>
            </w:r>
            <w:r>
              <w:rPr>
                <w:rFonts w:hint="eastAsia"/>
                <w:lang w:val="en-US" w:eastAsia="zh-CN"/>
              </w:rPr>
              <w:t>主要</w:t>
            </w:r>
            <w:r>
              <w:rPr>
                <w:rFonts w:hint="eastAsia"/>
              </w:rPr>
              <w:t>来自</w:t>
            </w:r>
            <w:r>
              <w:rPr>
                <w:rFonts w:hint="eastAsia"/>
                <w:lang w:val="en-US" w:eastAsia="zh-CN"/>
              </w:rPr>
              <w:t>道路修建和临时生活营地搭建，</w:t>
            </w:r>
            <w:r>
              <w:rPr>
                <w:rFonts w:hint="eastAsia"/>
              </w:rPr>
              <w:t>噪声源强一般为</w:t>
            </w:r>
            <w:r>
              <w:rPr>
                <w:rFonts w:hint="eastAsia"/>
                <w:lang w:val="en-US" w:eastAsia="zh-CN"/>
              </w:rPr>
              <w:t>80</w:t>
            </w:r>
            <w:r>
              <w:rPr>
                <w:rFonts w:hint="eastAsia"/>
              </w:rPr>
              <w:t>~</w:t>
            </w:r>
            <w:r>
              <w:rPr>
                <w:rFonts w:hint="eastAsia"/>
                <w:lang w:val="en-US" w:eastAsia="zh-CN"/>
              </w:rPr>
              <w:t>83</w:t>
            </w:r>
            <w:r>
              <w:t>dB</w:t>
            </w:r>
            <w:r>
              <w:rPr>
                <w:rFonts w:hint="eastAsia"/>
                <w:lang w:eastAsia="zh-CN"/>
              </w:rPr>
              <w:t>（</w:t>
            </w:r>
            <w:r>
              <w:t>A</w:t>
            </w:r>
            <w:r>
              <w:rPr>
                <w:rFonts w:hint="eastAsia"/>
                <w:lang w:eastAsia="zh-CN"/>
              </w:rPr>
              <w:t>）</w:t>
            </w:r>
            <w:r>
              <w:rPr>
                <w:rFonts w:hint="eastAsia"/>
              </w:rPr>
              <w:t>，特点为暂时的短期间歇性行为，无规律性。</w:t>
            </w:r>
          </w:p>
          <w:p>
            <w:pPr>
              <w:pStyle w:val="48"/>
              <w:bidi w:val="0"/>
            </w:pPr>
            <w:r>
              <w:rPr>
                <w:rFonts w:hint="eastAsia"/>
                <w:lang w:eastAsia="zh-CN"/>
              </w:rPr>
              <w:t>（</w:t>
            </w:r>
            <w:r>
              <w:rPr>
                <w:rFonts w:hint="eastAsia"/>
                <w:lang w:val="en-US" w:eastAsia="zh-CN"/>
              </w:rPr>
              <w:t>1</w:t>
            </w:r>
            <w:r>
              <w:rPr>
                <w:rFonts w:hint="eastAsia"/>
                <w:lang w:eastAsia="zh-CN"/>
              </w:rPr>
              <w:t>）</w:t>
            </w:r>
            <w:r>
              <w:rPr>
                <w:rFonts w:hint="eastAsia"/>
              </w:rPr>
              <w:t>施工噪声预测</w:t>
            </w:r>
          </w:p>
          <w:p>
            <w:pPr>
              <w:pStyle w:val="48"/>
              <w:bidi w:val="0"/>
            </w:pPr>
            <w:r>
              <w:rPr>
                <w:rFonts w:hint="eastAsia"/>
              </w:rPr>
              <w:t>施工噪声可近似视为点声源处理，其衰减模式如下：</w:t>
            </w:r>
          </w:p>
          <w:p>
            <w:pPr>
              <w:pStyle w:val="48"/>
              <w:bidi w:val="0"/>
            </w:pPr>
            <w:r>
              <w:rPr>
                <w:rFonts w:hint="eastAsia"/>
              </w:rPr>
              <w:t>Lp=Lpo-20Lg</w:t>
            </w:r>
            <w:r>
              <w:rPr>
                <w:rFonts w:hint="eastAsia"/>
                <w:lang w:eastAsia="zh-CN"/>
              </w:rPr>
              <w:t>（</w:t>
            </w:r>
            <w:r>
              <w:rPr>
                <w:rFonts w:hint="eastAsia"/>
              </w:rPr>
              <w:t>r/ro</w:t>
            </w:r>
            <w:r>
              <w:rPr>
                <w:rFonts w:hint="eastAsia"/>
                <w:lang w:eastAsia="zh-CN"/>
              </w:rPr>
              <w:t>）</w:t>
            </w:r>
            <w:r>
              <w:rPr>
                <w:rFonts w:hint="eastAsia"/>
              </w:rPr>
              <w:t>－△L</w:t>
            </w:r>
          </w:p>
          <w:p>
            <w:pPr>
              <w:pStyle w:val="48"/>
              <w:bidi w:val="0"/>
            </w:pPr>
            <w:r>
              <w:rPr>
                <w:rFonts w:hint="eastAsia"/>
              </w:rPr>
              <w:t>式中：Lp——距声源rm处的施工噪声预测值，dB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rPr>
              <w:t xml:space="preserve">      Lpo——距声源rom处的参考声级，dB</w:t>
            </w:r>
            <w:r>
              <w:rPr>
                <w:rFonts w:hint="eastAsia"/>
                <w:lang w:eastAsia="zh-CN"/>
              </w:rPr>
              <w:t>（</w:t>
            </w:r>
            <w:r>
              <w:rPr>
                <w:rFonts w:hint="eastAsia"/>
              </w:rPr>
              <w:t>A</w:t>
            </w:r>
            <w:r>
              <w:rPr>
                <w:rFonts w:hint="eastAsia"/>
                <w:lang w:eastAsia="zh-CN"/>
              </w:rPr>
              <w:t>）</w:t>
            </w:r>
            <w:r>
              <w:rPr>
                <w:rFonts w:hint="eastAsia"/>
              </w:rPr>
              <w:t>；</w:t>
            </w:r>
          </w:p>
          <w:p>
            <w:pPr>
              <w:pStyle w:val="48"/>
              <w:bidi w:val="0"/>
              <w:ind w:firstLine="1200" w:firstLineChars="500"/>
              <w:rPr>
                <w:rFonts w:hint="eastAsia" w:eastAsia="宋体"/>
                <w:lang w:eastAsia="zh-CN"/>
              </w:rPr>
            </w:pPr>
            <w:r>
              <w:rPr>
                <w:rFonts w:hint="eastAsia"/>
              </w:rPr>
              <w:t>ro——Lpo噪声的测点距离（1m），m</w:t>
            </w:r>
            <w:r>
              <w:rPr>
                <w:rFonts w:hint="eastAsia"/>
                <w:lang w:eastAsia="zh-CN"/>
              </w:rPr>
              <w:t>；</w:t>
            </w:r>
          </w:p>
          <w:p>
            <w:pPr>
              <w:pStyle w:val="48"/>
              <w:bidi w:val="0"/>
              <w:ind w:firstLine="1200" w:firstLineChars="500"/>
            </w:pPr>
            <w:r>
              <w:rPr>
                <w:rFonts w:hint="eastAsia"/>
              </w:rPr>
              <w:t>△L——采取各种措施后的噪声衰减量，dB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rPr>
              <w:t>施工期主要噪声源主要为</w:t>
            </w:r>
            <w:r>
              <w:rPr>
                <w:rFonts w:hint="eastAsia"/>
                <w:lang w:val="en-US" w:eastAsia="zh-CN"/>
              </w:rPr>
              <w:t>运输车辆、推土机等</w:t>
            </w:r>
            <w:r>
              <w:rPr>
                <w:rFonts w:hint="eastAsia"/>
              </w:rPr>
              <w:t>施工机械产生的噪声。</w:t>
            </w:r>
          </w:p>
          <w:p>
            <w:pPr>
              <w:pStyle w:val="48"/>
              <w:bidi w:val="0"/>
              <w:rPr>
                <w:highlight w:val="green"/>
              </w:rPr>
            </w:pPr>
            <w:r>
              <w:rPr>
                <w:rFonts w:hint="eastAsia"/>
                <w:lang w:eastAsia="zh-CN"/>
              </w:rPr>
              <w:t>（</w:t>
            </w:r>
            <w:r>
              <w:rPr>
                <w:rFonts w:hint="eastAsia"/>
                <w:lang w:val="en-US" w:eastAsia="zh-CN"/>
              </w:rPr>
              <w:t>2</w:t>
            </w:r>
            <w:r>
              <w:rPr>
                <w:rFonts w:hint="eastAsia"/>
                <w:lang w:eastAsia="zh-CN"/>
              </w:rPr>
              <w:t>）</w:t>
            </w:r>
            <w:r>
              <w:rPr>
                <w:rFonts w:hint="eastAsia"/>
                <w:highlight w:val="none"/>
              </w:rPr>
              <w:t>施工噪声预测结果及分析</w:t>
            </w:r>
          </w:p>
          <w:p>
            <w:pPr>
              <w:pStyle w:val="48"/>
              <w:bidi w:val="0"/>
            </w:pPr>
            <w:r>
              <w:rPr>
                <w:rFonts w:hint="eastAsia"/>
              </w:rPr>
              <w:t>预测结果</w:t>
            </w:r>
            <w:r>
              <w:rPr>
                <w:rFonts w:hint="eastAsia"/>
                <w:lang w:eastAsia="zh-CN"/>
              </w:rPr>
              <w:t>：</w:t>
            </w:r>
            <w:r>
              <w:rPr>
                <w:rFonts w:hint="eastAsia"/>
              </w:rPr>
              <w:t>运用上式对</w:t>
            </w:r>
            <w:r>
              <w:rPr>
                <w:rFonts w:hint="eastAsia"/>
                <w:lang w:val="en-US" w:eastAsia="zh-CN"/>
              </w:rPr>
              <w:t>施工过程中</w:t>
            </w:r>
            <w:r>
              <w:rPr>
                <w:rFonts w:hint="eastAsia"/>
              </w:rPr>
              <w:t>施工机械噪声的环境影响进行预测计算，其结果如</w:t>
            </w:r>
            <w:r>
              <w:rPr>
                <w:rFonts w:hint="eastAsia"/>
                <w:lang w:val="en-US" w:eastAsia="zh-CN"/>
              </w:rPr>
              <w:t>下</w:t>
            </w:r>
            <w:r>
              <w:rPr>
                <w:rFonts w:hint="eastAsia"/>
              </w:rPr>
              <w:t>表所示。</w:t>
            </w:r>
          </w:p>
          <w:p>
            <w:pPr>
              <w:pStyle w:val="52"/>
              <w:bidi w:val="0"/>
            </w:pPr>
            <w:r>
              <w:rPr>
                <w:rFonts w:hint="default"/>
              </w:rPr>
              <w:t>表</w:t>
            </w:r>
            <w:r>
              <w:rPr>
                <w:rFonts w:hint="default"/>
                <w:lang w:val="en-US" w:eastAsia="zh-CN"/>
              </w:rPr>
              <w:t>4-</w:t>
            </w:r>
            <w:r>
              <w:rPr>
                <w:rFonts w:hint="eastAsia"/>
                <w:lang w:val="en-US" w:eastAsia="zh-CN"/>
              </w:rPr>
              <w:t>2</w:t>
            </w:r>
            <w:r>
              <w:rPr>
                <w:rFonts w:hint="default"/>
              </w:rPr>
              <w:t xml:space="preserve"> </w:t>
            </w:r>
            <w:r>
              <w:rPr>
                <w:rFonts w:hint="eastAsia"/>
                <w:lang w:val="en-US" w:eastAsia="zh-CN"/>
              </w:rPr>
              <w:t xml:space="preserve"> </w:t>
            </w:r>
            <w:r>
              <w:rPr>
                <w:rFonts w:hint="default"/>
              </w:rPr>
              <w:t xml:space="preserve">  项目主要</w:t>
            </w:r>
            <w:r>
              <w:rPr>
                <w:rFonts w:hint="eastAsia"/>
              </w:rPr>
              <w:t>施工机械在不同距离处的噪声预测值</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485"/>
              <w:gridCol w:w="590"/>
              <w:gridCol w:w="590"/>
              <w:gridCol w:w="590"/>
              <w:gridCol w:w="618"/>
              <w:gridCol w:w="695"/>
              <w:gridCol w:w="695"/>
              <w:gridCol w:w="695"/>
              <w:gridCol w:w="69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57" w:type="pct"/>
                  <w:vMerge w:val="restart"/>
                  <w:noWrap w:val="0"/>
                  <w:vAlign w:val="center"/>
                </w:tcPr>
                <w:p>
                  <w:pPr>
                    <w:pStyle w:val="58"/>
                    <w:bidi w:val="0"/>
                    <w:rPr>
                      <w:rFonts w:hint="default"/>
                    </w:rPr>
                  </w:pPr>
                  <w:r>
                    <w:rPr>
                      <w:rFonts w:hint="default"/>
                    </w:rPr>
                    <w:t>机械类型</w:t>
                  </w:r>
                </w:p>
              </w:tc>
              <w:tc>
                <w:tcPr>
                  <w:tcW w:w="4242" w:type="pct"/>
                  <w:gridSpan w:val="10"/>
                  <w:noWrap w:val="0"/>
                  <w:vAlign w:val="center"/>
                </w:tcPr>
                <w:p>
                  <w:pPr>
                    <w:pStyle w:val="58"/>
                    <w:bidi w:val="0"/>
                    <w:rPr>
                      <w:rFonts w:hint="default"/>
                    </w:rPr>
                  </w:pPr>
                  <w:r>
                    <w:rPr>
                      <w:rFonts w:hint="default"/>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57" w:type="pct"/>
                  <w:vMerge w:val="continue"/>
                  <w:noWrap w:val="0"/>
                  <w:vAlign w:val="center"/>
                </w:tcPr>
                <w:p>
                  <w:pPr>
                    <w:pStyle w:val="58"/>
                    <w:bidi w:val="0"/>
                    <w:rPr>
                      <w:rFonts w:hint="default"/>
                    </w:rPr>
                  </w:pPr>
                </w:p>
              </w:tc>
              <w:tc>
                <w:tcPr>
                  <w:tcW w:w="319" w:type="pct"/>
                  <w:noWrap w:val="0"/>
                  <w:vAlign w:val="center"/>
                </w:tcPr>
                <w:p>
                  <w:pPr>
                    <w:pStyle w:val="58"/>
                    <w:bidi w:val="0"/>
                    <w:rPr>
                      <w:rFonts w:hint="default"/>
                    </w:rPr>
                  </w:pPr>
                  <w:r>
                    <w:rPr>
                      <w:rFonts w:hint="default"/>
                    </w:rPr>
                    <w:t>5m</w:t>
                  </w:r>
                </w:p>
              </w:tc>
              <w:tc>
                <w:tcPr>
                  <w:tcW w:w="391" w:type="pct"/>
                  <w:noWrap w:val="0"/>
                  <w:vAlign w:val="center"/>
                </w:tcPr>
                <w:p>
                  <w:pPr>
                    <w:pStyle w:val="58"/>
                    <w:bidi w:val="0"/>
                    <w:rPr>
                      <w:rFonts w:hint="default"/>
                    </w:rPr>
                  </w:pPr>
                  <w:r>
                    <w:rPr>
                      <w:rFonts w:hint="default"/>
                    </w:rPr>
                    <w:t>10m</w:t>
                  </w:r>
                </w:p>
              </w:tc>
              <w:tc>
                <w:tcPr>
                  <w:tcW w:w="392" w:type="pct"/>
                  <w:noWrap w:val="0"/>
                  <w:vAlign w:val="center"/>
                </w:tcPr>
                <w:p>
                  <w:pPr>
                    <w:pStyle w:val="58"/>
                    <w:bidi w:val="0"/>
                    <w:rPr>
                      <w:rFonts w:hint="default"/>
                    </w:rPr>
                  </w:pPr>
                  <w:r>
                    <w:rPr>
                      <w:rFonts w:hint="default"/>
                    </w:rPr>
                    <w:t>20m</w:t>
                  </w:r>
                </w:p>
              </w:tc>
              <w:tc>
                <w:tcPr>
                  <w:tcW w:w="392" w:type="pct"/>
                  <w:noWrap w:val="0"/>
                  <w:vAlign w:val="center"/>
                </w:tcPr>
                <w:p>
                  <w:pPr>
                    <w:pStyle w:val="58"/>
                    <w:bidi w:val="0"/>
                    <w:rPr>
                      <w:rFonts w:hint="default"/>
                    </w:rPr>
                  </w:pPr>
                  <w:r>
                    <w:rPr>
                      <w:rFonts w:hint="default"/>
                    </w:rPr>
                    <w:t>50m</w:t>
                  </w:r>
                </w:p>
              </w:tc>
              <w:tc>
                <w:tcPr>
                  <w:tcW w:w="418" w:type="pct"/>
                  <w:noWrap w:val="0"/>
                  <w:vAlign w:val="center"/>
                </w:tcPr>
                <w:p>
                  <w:pPr>
                    <w:pStyle w:val="58"/>
                    <w:bidi w:val="0"/>
                    <w:rPr>
                      <w:rFonts w:hint="default"/>
                    </w:rPr>
                  </w:pPr>
                  <w:r>
                    <w:rPr>
                      <w:rFonts w:hint="default"/>
                    </w:rPr>
                    <w:t>60m</w:t>
                  </w:r>
                </w:p>
              </w:tc>
              <w:tc>
                <w:tcPr>
                  <w:tcW w:w="465" w:type="pct"/>
                  <w:noWrap w:val="0"/>
                  <w:vAlign w:val="center"/>
                </w:tcPr>
                <w:p>
                  <w:pPr>
                    <w:pStyle w:val="58"/>
                    <w:bidi w:val="0"/>
                    <w:rPr>
                      <w:rFonts w:hint="default"/>
                    </w:rPr>
                  </w:pPr>
                  <w:r>
                    <w:rPr>
                      <w:rFonts w:hint="default"/>
                    </w:rPr>
                    <w:t>100m</w:t>
                  </w:r>
                </w:p>
              </w:tc>
              <w:tc>
                <w:tcPr>
                  <w:tcW w:w="465" w:type="pct"/>
                  <w:noWrap w:val="0"/>
                  <w:vAlign w:val="center"/>
                </w:tcPr>
                <w:p>
                  <w:pPr>
                    <w:pStyle w:val="58"/>
                    <w:bidi w:val="0"/>
                    <w:rPr>
                      <w:rFonts w:hint="default"/>
                    </w:rPr>
                  </w:pPr>
                  <w:r>
                    <w:rPr>
                      <w:rFonts w:hint="default"/>
                    </w:rPr>
                    <w:t>150m</w:t>
                  </w:r>
                </w:p>
              </w:tc>
              <w:tc>
                <w:tcPr>
                  <w:tcW w:w="465" w:type="pct"/>
                  <w:noWrap w:val="0"/>
                  <w:vAlign w:val="center"/>
                </w:tcPr>
                <w:p>
                  <w:pPr>
                    <w:pStyle w:val="58"/>
                    <w:bidi w:val="0"/>
                    <w:rPr>
                      <w:rFonts w:hint="default"/>
                    </w:rPr>
                  </w:pPr>
                  <w:r>
                    <w:rPr>
                      <w:rFonts w:hint="default"/>
                    </w:rPr>
                    <w:t>200m</w:t>
                  </w:r>
                </w:p>
              </w:tc>
              <w:tc>
                <w:tcPr>
                  <w:tcW w:w="465" w:type="pct"/>
                  <w:noWrap w:val="0"/>
                  <w:vAlign w:val="center"/>
                </w:tcPr>
                <w:p>
                  <w:pPr>
                    <w:pStyle w:val="58"/>
                    <w:bidi w:val="0"/>
                    <w:rPr>
                      <w:rFonts w:hint="default"/>
                    </w:rPr>
                  </w:pPr>
                  <w:r>
                    <w:rPr>
                      <w:rFonts w:hint="default"/>
                    </w:rPr>
                    <w:t>300m</w:t>
                  </w:r>
                </w:p>
              </w:tc>
              <w:tc>
                <w:tcPr>
                  <w:tcW w:w="467" w:type="pct"/>
                  <w:noWrap w:val="0"/>
                  <w:vAlign w:val="center"/>
                </w:tcPr>
                <w:p>
                  <w:pPr>
                    <w:pStyle w:val="58"/>
                    <w:bidi w:val="0"/>
                    <w:rPr>
                      <w:rFonts w:hint="default"/>
                    </w:rPr>
                  </w:pPr>
                  <w:r>
                    <w:rPr>
                      <w:rFonts w:hint="default"/>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pStyle w:val="58"/>
                    <w:bidi w:val="0"/>
                    <w:rPr>
                      <w:rFonts w:hint="default"/>
                      <w:lang w:val="en-US"/>
                    </w:rPr>
                  </w:pPr>
                  <w:r>
                    <w:rPr>
                      <w:rFonts w:hint="eastAsia"/>
                      <w:lang w:val="en-US" w:eastAsia="zh-CN"/>
                    </w:rPr>
                    <w:t>推土机</w:t>
                  </w:r>
                </w:p>
              </w:tc>
              <w:tc>
                <w:tcPr>
                  <w:tcW w:w="319" w:type="pct"/>
                  <w:noWrap w:val="0"/>
                  <w:vAlign w:val="center"/>
                </w:tcPr>
                <w:p>
                  <w:pPr>
                    <w:pStyle w:val="58"/>
                    <w:bidi w:val="0"/>
                    <w:rPr>
                      <w:rFonts w:hint="eastAsia" w:eastAsia="宋体"/>
                      <w:lang w:val="en-US" w:eastAsia="zh-CN"/>
                    </w:rPr>
                  </w:pPr>
                  <w:r>
                    <w:rPr>
                      <w:rFonts w:hint="default"/>
                    </w:rPr>
                    <w:t>8</w:t>
                  </w:r>
                  <w:r>
                    <w:rPr>
                      <w:rFonts w:hint="eastAsia"/>
                      <w:lang w:val="en-US" w:eastAsia="zh-CN"/>
                    </w:rPr>
                    <w:t>3</w:t>
                  </w:r>
                </w:p>
              </w:tc>
              <w:tc>
                <w:tcPr>
                  <w:tcW w:w="391" w:type="pct"/>
                  <w:noWrap w:val="0"/>
                  <w:vAlign w:val="center"/>
                </w:tcPr>
                <w:p>
                  <w:pPr>
                    <w:pStyle w:val="58"/>
                    <w:bidi w:val="0"/>
                    <w:rPr>
                      <w:rFonts w:hint="eastAsia" w:eastAsia="宋体"/>
                      <w:lang w:val="en-US" w:eastAsia="zh-CN"/>
                    </w:rPr>
                  </w:pPr>
                  <w:r>
                    <w:rPr>
                      <w:rFonts w:hint="default"/>
                    </w:rPr>
                    <w:t>7</w:t>
                  </w:r>
                  <w:r>
                    <w:rPr>
                      <w:rFonts w:hint="eastAsia"/>
                      <w:lang w:val="en-US" w:eastAsia="zh-CN"/>
                    </w:rPr>
                    <w:t>7</w:t>
                  </w:r>
                </w:p>
              </w:tc>
              <w:tc>
                <w:tcPr>
                  <w:tcW w:w="392" w:type="pct"/>
                  <w:noWrap w:val="0"/>
                  <w:vAlign w:val="center"/>
                </w:tcPr>
                <w:p>
                  <w:pPr>
                    <w:pStyle w:val="58"/>
                    <w:bidi w:val="0"/>
                    <w:rPr>
                      <w:rFonts w:hint="default" w:eastAsia="宋体"/>
                      <w:lang w:val="en-US" w:eastAsia="zh-CN"/>
                    </w:rPr>
                  </w:pPr>
                  <w:r>
                    <w:rPr>
                      <w:rFonts w:hint="eastAsia"/>
                      <w:lang w:val="en-US" w:eastAsia="zh-CN"/>
                    </w:rPr>
                    <w:t>70</w:t>
                  </w:r>
                </w:p>
              </w:tc>
              <w:tc>
                <w:tcPr>
                  <w:tcW w:w="392" w:type="pct"/>
                  <w:noWrap w:val="0"/>
                  <w:vAlign w:val="center"/>
                </w:tcPr>
                <w:p>
                  <w:pPr>
                    <w:pStyle w:val="58"/>
                    <w:bidi w:val="0"/>
                    <w:rPr>
                      <w:rFonts w:hint="default" w:eastAsia="宋体"/>
                      <w:lang w:val="en-US" w:eastAsia="zh-CN"/>
                    </w:rPr>
                  </w:pPr>
                  <w:r>
                    <w:rPr>
                      <w:rFonts w:hint="eastAsia"/>
                      <w:lang w:val="en-US" w:eastAsia="zh-CN"/>
                    </w:rPr>
                    <w:t>63</w:t>
                  </w:r>
                </w:p>
              </w:tc>
              <w:tc>
                <w:tcPr>
                  <w:tcW w:w="418" w:type="pct"/>
                  <w:noWrap w:val="0"/>
                  <w:vAlign w:val="center"/>
                </w:tcPr>
                <w:p>
                  <w:pPr>
                    <w:pStyle w:val="58"/>
                    <w:bidi w:val="0"/>
                    <w:rPr>
                      <w:rFonts w:hint="default"/>
                    </w:rPr>
                  </w:pPr>
                  <w:r>
                    <w:rPr>
                      <w:rFonts w:hint="eastAsia"/>
                      <w:lang w:val="en-US" w:eastAsia="zh-CN"/>
                    </w:rPr>
                    <w:t>61</w:t>
                  </w:r>
                  <w:r>
                    <w:rPr>
                      <w:rFonts w:hint="default"/>
                    </w:rPr>
                    <w:t>.4</w:t>
                  </w:r>
                </w:p>
              </w:tc>
              <w:tc>
                <w:tcPr>
                  <w:tcW w:w="465" w:type="pct"/>
                  <w:noWrap w:val="0"/>
                  <w:vAlign w:val="center"/>
                </w:tcPr>
                <w:p>
                  <w:pPr>
                    <w:pStyle w:val="58"/>
                    <w:bidi w:val="0"/>
                    <w:rPr>
                      <w:rFonts w:hint="eastAsia" w:eastAsia="宋体"/>
                      <w:lang w:val="en-US" w:eastAsia="zh-CN"/>
                    </w:rPr>
                  </w:pPr>
                  <w:r>
                    <w:rPr>
                      <w:rFonts w:hint="default"/>
                    </w:rPr>
                    <w:t>5</w:t>
                  </w:r>
                  <w:r>
                    <w:rPr>
                      <w:rFonts w:hint="eastAsia"/>
                      <w:lang w:val="en-US" w:eastAsia="zh-CN"/>
                    </w:rPr>
                    <w:t>7</w:t>
                  </w:r>
                </w:p>
              </w:tc>
              <w:tc>
                <w:tcPr>
                  <w:tcW w:w="465" w:type="pct"/>
                  <w:noWrap w:val="0"/>
                  <w:vAlign w:val="center"/>
                </w:tcPr>
                <w:p>
                  <w:pPr>
                    <w:pStyle w:val="58"/>
                    <w:bidi w:val="0"/>
                    <w:rPr>
                      <w:rFonts w:hint="default"/>
                    </w:rPr>
                  </w:pPr>
                  <w:r>
                    <w:rPr>
                      <w:rFonts w:hint="default"/>
                    </w:rPr>
                    <w:t>5</w:t>
                  </w:r>
                  <w:r>
                    <w:rPr>
                      <w:rFonts w:hint="eastAsia"/>
                      <w:lang w:val="en-US" w:eastAsia="zh-CN"/>
                    </w:rPr>
                    <w:t>3</w:t>
                  </w:r>
                  <w:r>
                    <w:rPr>
                      <w:rFonts w:hint="default"/>
                    </w:rPr>
                    <w:t>.5</w:t>
                  </w:r>
                </w:p>
              </w:tc>
              <w:tc>
                <w:tcPr>
                  <w:tcW w:w="465" w:type="pct"/>
                  <w:noWrap w:val="0"/>
                  <w:vAlign w:val="center"/>
                </w:tcPr>
                <w:p>
                  <w:pPr>
                    <w:pStyle w:val="58"/>
                    <w:bidi w:val="0"/>
                    <w:rPr>
                      <w:rFonts w:hint="default" w:eastAsia="宋体"/>
                      <w:lang w:val="en-US" w:eastAsia="zh-CN"/>
                    </w:rPr>
                  </w:pPr>
                  <w:r>
                    <w:rPr>
                      <w:rFonts w:hint="eastAsia"/>
                      <w:lang w:val="en-US" w:eastAsia="zh-CN"/>
                    </w:rPr>
                    <w:t>51</w:t>
                  </w:r>
                </w:p>
              </w:tc>
              <w:tc>
                <w:tcPr>
                  <w:tcW w:w="465" w:type="pct"/>
                  <w:noWrap w:val="0"/>
                  <w:vAlign w:val="center"/>
                </w:tcPr>
                <w:p>
                  <w:pPr>
                    <w:pStyle w:val="58"/>
                    <w:bidi w:val="0"/>
                    <w:rPr>
                      <w:rFonts w:hint="default"/>
                    </w:rPr>
                  </w:pPr>
                  <w:r>
                    <w:rPr>
                      <w:rFonts w:hint="default"/>
                    </w:rPr>
                    <w:t>4</w:t>
                  </w:r>
                  <w:r>
                    <w:rPr>
                      <w:rFonts w:hint="eastAsia"/>
                      <w:lang w:val="en-US" w:eastAsia="zh-CN"/>
                    </w:rPr>
                    <w:t>7</w:t>
                  </w:r>
                  <w:r>
                    <w:rPr>
                      <w:rFonts w:hint="default"/>
                    </w:rPr>
                    <w:t>.4</w:t>
                  </w:r>
                </w:p>
              </w:tc>
              <w:tc>
                <w:tcPr>
                  <w:tcW w:w="467" w:type="pct"/>
                  <w:noWrap w:val="0"/>
                  <w:vAlign w:val="center"/>
                </w:tcPr>
                <w:p>
                  <w:pPr>
                    <w:pStyle w:val="58"/>
                    <w:bidi w:val="0"/>
                    <w:rPr>
                      <w:rFonts w:hint="default"/>
                    </w:rPr>
                  </w:pPr>
                  <w:r>
                    <w:rPr>
                      <w:rFonts w:hint="default"/>
                    </w:rPr>
                    <w:t>4</w:t>
                  </w:r>
                  <w:r>
                    <w:rPr>
                      <w:rFonts w:hint="eastAsia"/>
                      <w:lang w:val="en-US" w:eastAsia="zh-CN"/>
                    </w:rPr>
                    <w:t>4</w:t>
                  </w:r>
                  <w:r>
                    <w:rPr>
                      <w:rFonts w:hint="defaul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pStyle w:val="58"/>
                    <w:bidi w:val="0"/>
                  </w:pPr>
                  <w:r>
                    <w:rPr>
                      <w:rFonts w:hint="default"/>
                    </w:rPr>
                    <w:t>挖掘机</w:t>
                  </w:r>
                </w:p>
              </w:tc>
              <w:tc>
                <w:tcPr>
                  <w:tcW w:w="319" w:type="pct"/>
                  <w:noWrap w:val="0"/>
                  <w:vAlign w:val="center"/>
                </w:tcPr>
                <w:p>
                  <w:pPr>
                    <w:pStyle w:val="58"/>
                    <w:bidi w:val="0"/>
                    <w:rPr>
                      <w:rFonts w:hint="default"/>
                    </w:rPr>
                  </w:pPr>
                  <w:r>
                    <w:rPr>
                      <w:rFonts w:hint="default"/>
                    </w:rPr>
                    <w:t>81</w:t>
                  </w:r>
                </w:p>
              </w:tc>
              <w:tc>
                <w:tcPr>
                  <w:tcW w:w="391" w:type="pct"/>
                  <w:noWrap w:val="0"/>
                  <w:vAlign w:val="center"/>
                </w:tcPr>
                <w:p>
                  <w:pPr>
                    <w:pStyle w:val="58"/>
                    <w:bidi w:val="0"/>
                    <w:rPr>
                      <w:rFonts w:hint="default"/>
                    </w:rPr>
                  </w:pPr>
                  <w:r>
                    <w:rPr>
                      <w:rFonts w:hint="default"/>
                    </w:rPr>
                    <w:t>75</w:t>
                  </w:r>
                </w:p>
              </w:tc>
              <w:tc>
                <w:tcPr>
                  <w:tcW w:w="392" w:type="pct"/>
                  <w:noWrap w:val="0"/>
                  <w:vAlign w:val="center"/>
                </w:tcPr>
                <w:p>
                  <w:pPr>
                    <w:pStyle w:val="58"/>
                    <w:bidi w:val="0"/>
                    <w:rPr>
                      <w:rFonts w:hint="default"/>
                    </w:rPr>
                  </w:pPr>
                  <w:r>
                    <w:rPr>
                      <w:rFonts w:hint="default"/>
                    </w:rPr>
                    <w:t>69</w:t>
                  </w:r>
                </w:p>
              </w:tc>
              <w:tc>
                <w:tcPr>
                  <w:tcW w:w="392" w:type="pct"/>
                  <w:noWrap w:val="0"/>
                  <w:vAlign w:val="center"/>
                </w:tcPr>
                <w:p>
                  <w:pPr>
                    <w:pStyle w:val="58"/>
                    <w:bidi w:val="0"/>
                    <w:rPr>
                      <w:rFonts w:hint="default"/>
                    </w:rPr>
                  </w:pPr>
                  <w:r>
                    <w:rPr>
                      <w:rFonts w:hint="default"/>
                    </w:rPr>
                    <w:t>61</w:t>
                  </w:r>
                </w:p>
              </w:tc>
              <w:tc>
                <w:tcPr>
                  <w:tcW w:w="418" w:type="pct"/>
                  <w:noWrap w:val="0"/>
                  <w:vAlign w:val="center"/>
                </w:tcPr>
                <w:p>
                  <w:pPr>
                    <w:pStyle w:val="58"/>
                    <w:bidi w:val="0"/>
                    <w:rPr>
                      <w:rFonts w:hint="default"/>
                    </w:rPr>
                  </w:pPr>
                  <w:r>
                    <w:rPr>
                      <w:rFonts w:hint="default"/>
                    </w:rPr>
                    <w:t>59.4</w:t>
                  </w:r>
                </w:p>
              </w:tc>
              <w:tc>
                <w:tcPr>
                  <w:tcW w:w="465" w:type="pct"/>
                  <w:noWrap w:val="0"/>
                  <w:vAlign w:val="center"/>
                </w:tcPr>
                <w:p>
                  <w:pPr>
                    <w:pStyle w:val="58"/>
                    <w:bidi w:val="0"/>
                    <w:rPr>
                      <w:rFonts w:hint="default"/>
                    </w:rPr>
                  </w:pPr>
                  <w:r>
                    <w:rPr>
                      <w:rFonts w:hint="default"/>
                    </w:rPr>
                    <w:t>55</w:t>
                  </w:r>
                </w:p>
              </w:tc>
              <w:tc>
                <w:tcPr>
                  <w:tcW w:w="465" w:type="pct"/>
                  <w:noWrap w:val="0"/>
                  <w:vAlign w:val="center"/>
                </w:tcPr>
                <w:p>
                  <w:pPr>
                    <w:pStyle w:val="58"/>
                    <w:bidi w:val="0"/>
                    <w:rPr>
                      <w:rFonts w:hint="default"/>
                    </w:rPr>
                  </w:pPr>
                  <w:r>
                    <w:rPr>
                      <w:rFonts w:hint="default"/>
                    </w:rPr>
                    <w:t>51.5</w:t>
                  </w:r>
                </w:p>
              </w:tc>
              <w:tc>
                <w:tcPr>
                  <w:tcW w:w="465" w:type="pct"/>
                  <w:noWrap w:val="0"/>
                  <w:vAlign w:val="center"/>
                </w:tcPr>
                <w:p>
                  <w:pPr>
                    <w:pStyle w:val="58"/>
                    <w:bidi w:val="0"/>
                    <w:rPr>
                      <w:rFonts w:hint="default"/>
                    </w:rPr>
                  </w:pPr>
                  <w:r>
                    <w:rPr>
                      <w:rFonts w:hint="default"/>
                    </w:rPr>
                    <w:t>49</w:t>
                  </w:r>
                </w:p>
              </w:tc>
              <w:tc>
                <w:tcPr>
                  <w:tcW w:w="465" w:type="pct"/>
                  <w:noWrap w:val="0"/>
                  <w:vAlign w:val="center"/>
                </w:tcPr>
                <w:p>
                  <w:pPr>
                    <w:pStyle w:val="58"/>
                    <w:bidi w:val="0"/>
                    <w:rPr>
                      <w:rFonts w:hint="default"/>
                    </w:rPr>
                  </w:pPr>
                  <w:r>
                    <w:rPr>
                      <w:rFonts w:hint="default"/>
                    </w:rPr>
                    <w:t>45.4</w:t>
                  </w:r>
                </w:p>
              </w:tc>
              <w:tc>
                <w:tcPr>
                  <w:tcW w:w="467" w:type="pct"/>
                  <w:noWrap w:val="0"/>
                  <w:vAlign w:val="center"/>
                </w:tcPr>
                <w:p>
                  <w:pPr>
                    <w:pStyle w:val="58"/>
                    <w:bidi w:val="0"/>
                    <w:rPr>
                      <w:rFonts w:hint="default"/>
                    </w:rPr>
                  </w:pPr>
                  <w:r>
                    <w:rPr>
                      <w:rFonts w:hint="default"/>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pStyle w:val="58"/>
                    <w:bidi w:val="0"/>
                    <w:rPr>
                      <w:rFonts w:hint="default"/>
                    </w:rPr>
                  </w:pPr>
                  <w:r>
                    <w:rPr>
                      <w:rFonts w:hint="default"/>
                    </w:rPr>
                    <w:t>运输车辆</w:t>
                  </w:r>
                </w:p>
              </w:tc>
              <w:tc>
                <w:tcPr>
                  <w:tcW w:w="319" w:type="pct"/>
                  <w:noWrap w:val="0"/>
                  <w:vAlign w:val="center"/>
                </w:tcPr>
                <w:p>
                  <w:pPr>
                    <w:pStyle w:val="58"/>
                    <w:bidi w:val="0"/>
                    <w:rPr>
                      <w:rFonts w:hint="default"/>
                    </w:rPr>
                  </w:pPr>
                  <w:r>
                    <w:rPr>
                      <w:rFonts w:hint="default"/>
                    </w:rPr>
                    <w:t>80</w:t>
                  </w:r>
                </w:p>
              </w:tc>
              <w:tc>
                <w:tcPr>
                  <w:tcW w:w="391" w:type="pct"/>
                  <w:noWrap w:val="0"/>
                  <w:vAlign w:val="center"/>
                </w:tcPr>
                <w:p>
                  <w:pPr>
                    <w:pStyle w:val="58"/>
                    <w:bidi w:val="0"/>
                    <w:rPr>
                      <w:rFonts w:hint="default"/>
                    </w:rPr>
                  </w:pPr>
                  <w:r>
                    <w:rPr>
                      <w:rFonts w:hint="default"/>
                    </w:rPr>
                    <w:t>74</w:t>
                  </w:r>
                </w:p>
              </w:tc>
              <w:tc>
                <w:tcPr>
                  <w:tcW w:w="392" w:type="pct"/>
                  <w:noWrap w:val="0"/>
                  <w:vAlign w:val="center"/>
                </w:tcPr>
                <w:p>
                  <w:pPr>
                    <w:pStyle w:val="58"/>
                    <w:bidi w:val="0"/>
                    <w:rPr>
                      <w:rFonts w:hint="default"/>
                    </w:rPr>
                  </w:pPr>
                  <w:r>
                    <w:rPr>
                      <w:rFonts w:hint="default"/>
                    </w:rPr>
                    <w:t>68</w:t>
                  </w:r>
                </w:p>
              </w:tc>
              <w:tc>
                <w:tcPr>
                  <w:tcW w:w="392" w:type="pct"/>
                  <w:noWrap w:val="0"/>
                  <w:vAlign w:val="center"/>
                </w:tcPr>
                <w:p>
                  <w:pPr>
                    <w:pStyle w:val="58"/>
                    <w:bidi w:val="0"/>
                    <w:rPr>
                      <w:rFonts w:hint="default"/>
                    </w:rPr>
                  </w:pPr>
                  <w:r>
                    <w:rPr>
                      <w:rFonts w:hint="default"/>
                    </w:rPr>
                    <w:t>60</w:t>
                  </w:r>
                </w:p>
              </w:tc>
              <w:tc>
                <w:tcPr>
                  <w:tcW w:w="418" w:type="pct"/>
                  <w:noWrap w:val="0"/>
                  <w:vAlign w:val="center"/>
                </w:tcPr>
                <w:p>
                  <w:pPr>
                    <w:pStyle w:val="58"/>
                    <w:bidi w:val="0"/>
                    <w:rPr>
                      <w:rFonts w:hint="default"/>
                    </w:rPr>
                  </w:pPr>
                  <w:r>
                    <w:rPr>
                      <w:rFonts w:hint="default"/>
                    </w:rPr>
                    <w:t>58.4</w:t>
                  </w:r>
                </w:p>
              </w:tc>
              <w:tc>
                <w:tcPr>
                  <w:tcW w:w="465" w:type="pct"/>
                  <w:noWrap w:val="0"/>
                  <w:vAlign w:val="center"/>
                </w:tcPr>
                <w:p>
                  <w:pPr>
                    <w:pStyle w:val="58"/>
                    <w:bidi w:val="0"/>
                    <w:rPr>
                      <w:rFonts w:hint="default"/>
                    </w:rPr>
                  </w:pPr>
                  <w:r>
                    <w:rPr>
                      <w:rFonts w:hint="default"/>
                    </w:rPr>
                    <w:t>54</w:t>
                  </w:r>
                </w:p>
              </w:tc>
              <w:tc>
                <w:tcPr>
                  <w:tcW w:w="465" w:type="pct"/>
                  <w:noWrap w:val="0"/>
                  <w:vAlign w:val="center"/>
                </w:tcPr>
                <w:p>
                  <w:pPr>
                    <w:pStyle w:val="58"/>
                    <w:bidi w:val="0"/>
                    <w:rPr>
                      <w:rFonts w:hint="default"/>
                    </w:rPr>
                  </w:pPr>
                  <w:r>
                    <w:rPr>
                      <w:rFonts w:hint="default"/>
                    </w:rPr>
                    <w:t>50.5</w:t>
                  </w:r>
                </w:p>
              </w:tc>
              <w:tc>
                <w:tcPr>
                  <w:tcW w:w="465" w:type="pct"/>
                  <w:noWrap w:val="0"/>
                  <w:vAlign w:val="center"/>
                </w:tcPr>
                <w:p>
                  <w:pPr>
                    <w:pStyle w:val="58"/>
                    <w:bidi w:val="0"/>
                    <w:rPr>
                      <w:rFonts w:hint="default"/>
                    </w:rPr>
                  </w:pPr>
                  <w:r>
                    <w:rPr>
                      <w:rFonts w:hint="default"/>
                    </w:rPr>
                    <w:t>48</w:t>
                  </w:r>
                </w:p>
              </w:tc>
              <w:tc>
                <w:tcPr>
                  <w:tcW w:w="465" w:type="pct"/>
                  <w:noWrap w:val="0"/>
                  <w:vAlign w:val="center"/>
                </w:tcPr>
                <w:p>
                  <w:pPr>
                    <w:pStyle w:val="58"/>
                    <w:bidi w:val="0"/>
                    <w:rPr>
                      <w:rFonts w:hint="default"/>
                    </w:rPr>
                  </w:pPr>
                  <w:r>
                    <w:rPr>
                      <w:rFonts w:hint="default"/>
                    </w:rPr>
                    <w:t>43.4</w:t>
                  </w:r>
                </w:p>
              </w:tc>
              <w:tc>
                <w:tcPr>
                  <w:tcW w:w="467" w:type="pct"/>
                  <w:noWrap w:val="0"/>
                  <w:vAlign w:val="center"/>
                </w:tcPr>
                <w:p>
                  <w:pPr>
                    <w:pStyle w:val="58"/>
                    <w:bidi w:val="0"/>
                    <w:rPr>
                      <w:rFonts w:hint="default"/>
                    </w:rPr>
                  </w:pPr>
                  <w:r>
                    <w:rPr>
                      <w:rFonts w:hint="default"/>
                    </w:rPr>
                    <w:t>40.9</w:t>
                  </w:r>
                </w:p>
              </w:tc>
            </w:tr>
          </w:tbl>
          <w:p>
            <w:pPr>
              <w:pStyle w:val="48"/>
              <w:bidi w:val="0"/>
              <w:rPr>
                <w:rFonts w:hint="default"/>
                <w:lang w:val="en-US" w:eastAsia="zh-CN"/>
              </w:rPr>
            </w:pPr>
            <w:r>
              <w:rPr>
                <w:rFonts w:hint="default"/>
              </w:rPr>
              <w:t>本项目夜间不进行</w:t>
            </w:r>
            <w:r>
              <w:rPr>
                <w:rFonts w:hint="eastAsia"/>
                <w:lang w:val="en-US" w:eastAsia="zh-CN"/>
              </w:rPr>
              <w:t>工作</w:t>
            </w:r>
            <w:r>
              <w:rPr>
                <w:rFonts w:hint="default"/>
              </w:rPr>
              <w:t>，因此距场界50m处，昼间噪声均</w:t>
            </w:r>
            <w:r>
              <w:rPr>
                <w:rFonts w:hint="eastAsia"/>
                <w:lang w:val="en-US" w:eastAsia="zh-CN"/>
              </w:rPr>
              <w:t>满足《建筑施工场界环境噪声排放标准》（GB 12523-2025）中施工噪声要求，昼间是70dB(A)</w:t>
            </w:r>
            <w:r>
              <w:rPr>
                <w:rFonts w:hint="default"/>
              </w:rPr>
              <w:t>。</w:t>
            </w:r>
          </w:p>
          <w:p>
            <w:pPr>
              <w:pStyle w:val="50"/>
              <w:bidi w:val="0"/>
              <w:rPr>
                <w:rFonts w:hint="eastAsia"/>
                <w:lang w:val="en-US" w:eastAsia="zh-CN"/>
              </w:rPr>
            </w:pPr>
            <w:r>
              <w:rPr>
                <w:rFonts w:hint="eastAsia"/>
                <w:lang w:val="en-US" w:eastAsia="zh-CN"/>
              </w:rPr>
              <w:t>5.固体废物影响分析</w:t>
            </w:r>
          </w:p>
          <w:p>
            <w:pPr>
              <w:pStyle w:val="48"/>
              <w:bidi w:val="0"/>
              <w:rPr>
                <w:rFonts w:hint="eastAsia" w:eastAsia="宋体"/>
                <w:lang w:eastAsia="zh-CN"/>
              </w:rPr>
            </w:pPr>
            <w:r>
              <w:rPr>
                <w:rFonts w:hint="default"/>
              </w:rPr>
              <w:t>（1）</w:t>
            </w:r>
            <w:r>
              <w:rPr>
                <w:rFonts w:hint="eastAsia"/>
                <w:lang w:val="en-US" w:eastAsia="zh-CN"/>
              </w:rPr>
              <w:t>土石方</w:t>
            </w:r>
          </w:p>
          <w:p>
            <w:pPr>
              <w:pStyle w:val="48"/>
              <w:bidi w:val="0"/>
              <w:rPr>
                <w:rFonts w:hint="default"/>
              </w:rPr>
            </w:pPr>
            <w:r>
              <w:rPr>
                <w:rFonts w:hint="eastAsia"/>
                <w:lang w:val="en-US" w:eastAsia="zh-CN"/>
              </w:rPr>
              <w:t>根据工程分析，项目主要的土石方工程为道路修建和生活营地场地平整，产生的土石方临时堆放，使用彩条布苫盖，待工程结束后土石方全部回填于原位并进行平整，防止水土流失，无弃土产生，对周边环境影响较小</w:t>
            </w:r>
            <w:r>
              <w:rPr>
                <w:rFonts w:hint="default"/>
              </w:rPr>
              <w:t>。</w:t>
            </w:r>
          </w:p>
          <w:p>
            <w:pPr>
              <w:pStyle w:val="48"/>
              <w:bidi w:val="0"/>
              <w:rPr>
                <w:rFonts w:hint="default"/>
              </w:rPr>
            </w:pPr>
            <w:r>
              <w:rPr>
                <w:rFonts w:hint="default"/>
              </w:rPr>
              <w:t>（</w:t>
            </w:r>
            <w:r>
              <w:rPr>
                <w:rFonts w:hint="eastAsia"/>
                <w:lang w:val="en-US" w:eastAsia="zh-CN"/>
              </w:rPr>
              <w:t>2</w:t>
            </w:r>
            <w:r>
              <w:rPr>
                <w:rFonts w:hint="default"/>
              </w:rPr>
              <w:t>）生活垃圾</w:t>
            </w:r>
          </w:p>
          <w:p>
            <w:pPr>
              <w:pStyle w:val="48"/>
              <w:keepNext w:val="0"/>
              <w:keepLines w:val="0"/>
              <w:pageBreakBefore w:val="0"/>
              <w:widowControl w:val="0"/>
              <w:kinsoku/>
              <w:wordWrap/>
              <w:overflowPunct/>
              <w:topLinePunct w:val="0"/>
              <w:autoSpaceDE/>
              <w:autoSpaceDN/>
              <w:bidi w:val="0"/>
              <w:adjustRightInd w:val="0"/>
              <w:snapToGrid w:val="0"/>
              <w:textAlignment w:val="auto"/>
              <w:rPr>
                <w:rFonts w:hint="default"/>
                <w:highlight w:val="none"/>
              </w:rPr>
            </w:pPr>
            <w:r>
              <w:rPr>
                <w:rFonts w:hint="default"/>
              </w:rPr>
              <w:t>施工场地内生活垃圾主要包括废弃的各种生活用品以及饮食垃圾等，施工期间，每人每天产生生活垃圾以0.5kg计算，施工人员按照</w:t>
            </w:r>
            <w:r>
              <w:rPr>
                <w:rFonts w:hint="eastAsia"/>
                <w:lang w:val="en-US" w:eastAsia="zh-CN"/>
              </w:rPr>
              <w:t>14</w:t>
            </w:r>
            <w:r>
              <w:rPr>
                <w:rFonts w:hint="default"/>
              </w:rPr>
              <w:t>人计，</w:t>
            </w:r>
            <w:r>
              <w:rPr>
                <w:rFonts w:hint="eastAsia"/>
                <w:lang w:val="en-US" w:eastAsia="zh-CN"/>
              </w:rPr>
              <w:t>施工期约30</w:t>
            </w:r>
            <w:r>
              <w:rPr>
                <w:rFonts w:hint="eastAsia"/>
                <w:highlight w:val="none"/>
                <w:lang w:val="en-US" w:eastAsia="zh-CN"/>
              </w:rPr>
              <w:t>d，则</w:t>
            </w:r>
            <w:r>
              <w:rPr>
                <w:rFonts w:hint="default"/>
                <w:highlight w:val="none"/>
              </w:rPr>
              <w:t>生活垃圾产生量为</w:t>
            </w:r>
            <w:r>
              <w:rPr>
                <w:rFonts w:hint="eastAsia"/>
                <w:highlight w:val="none"/>
                <w:lang w:val="en-US" w:eastAsia="zh-CN"/>
              </w:rPr>
              <w:t>0.21</w:t>
            </w:r>
            <w:r>
              <w:rPr>
                <w:rFonts w:hint="default"/>
                <w:highlight w:val="none"/>
              </w:rPr>
              <w:t>t。</w:t>
            </w:r>
          </w:p>
          <w:p>
            <w:pPr>
              <w:pStyle w:val="48"/>
              <w:bidi w:val="0"/>
              <w:rPr>
                <w:rFonts w:hint="default"/>
                <w:lang w:val="en-US" w:eastAsia="zh-CN"/>
              </w:rPr>
            </w:pPr>
            <w:r>
              <w:rPr>
                <w:rFonts w:hint="default"/>
              </w:rPr>
              <w:t>这些垃圾若处理不当，随意堆放，其中有机质会腐烂变质，发出恶臭，成为蚊蝇的</w:t>
            </w:r>
            <w:r>
              <w:rPr>
                <w:rFonts w:hint="default"/>
                <w:lang w:eastAsia="zh-CN"/>
              </w:rPr>
              <w:t>滋生地</w:t>
            </w:r>
            <w:r>
              <w:rPr>
                <w:rFonts w:hint="default"/>
              </w:rPr>
              <w:t>，传播疾病，对生活区的卫生状况危害严重。此外垃圾中的有害物质还可能渗入地下，污染环境。</w:t>
            </w:r>
            <w:r>
              <w:rPr>
                <w:rFonts w:hint="default"/>
                <w:lang w:val="en-US" w:eastAsia="zh-CN"/>
              </w:rPr>
              <w:t>施工营地内设置一定数量的垃圾桶，用于临时存放生活垃圾，</w:t>
            </w:r>
            <w:r>
              <w:rPr>
                <w:rFonts w:hint="default"/>
                <w:shd w:val="clear" w:color="auto" w:fill="auto"/>
                <w:lang w:val="en-US" w:eastAsia="zh-CN"/>
              </w:rPr>
              <w:t>最终统一收集后</w:t>
            </w:r>
            <w:r>
              <w:rPr>
                <w:rFonts w:hint="eastAsia"/>
                <w:shd w:val="clear" w:color="auto" w:fill="auto"/>
                <w:lang w:val="en-US" w:eastAsia="zh-CN"/>
              </w:rPr>
              <w:t>送至且末县垃圾填埋场。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7" w:type="dxa"/>
            <w:shd w:val="clear" w:color="auto" w:fill="auto"/>
            <w:noWrap w:val="0"/>
            <w:tcMar>
              <w:left w:w="28" w:type="dxa"/>
              <w:right w:w="28" w:type="dxa"/>
            </w:tcMar>
            <w:vAlign w:val="center"/>
          </w:tcPr>
          <w:p>
            <w:pPr>
              <w:pStyle w:val="20"/>
              <w:adjustRightInd w:val="0"/>
              <w:snapToGrid w:val="0"/>
              <w:spacing w:before="0" w:beforeAutospacing="0" w:after="0" w:afterAutospacing="0"/>
              <w:jc w:val="center"/>
              <w:rPr>
                <w:rFonts w:hint="eastAsia" w:ascii="宋体" w:hAnsi="宋体" w:eastAsia="宋体" w:cs="宋体"/>
                <w:bCs/>
                <w:kern w:val="2"/>
                <w:sz w:val="21"/>
                <w:szCs w:val="21"/>
                <w:lang w:val="en-US" w:eastAsia="zh-CN" w:bidi="ar-SA"/>
              </w:rPr>
            </w:pPr>
            <w:r>
              <w:rPr>
                <w:rFonts w:hint="eastAsia" w:cs="宋体"/>
                <w:bCs/>
                <w:spacing w:val="10"/>
                <w:kern w:val="2"/>
                <w:sz w:val="21"/>
                <w:szCs w:val="21"/>
                <w:lang w:eastAsia="zh-CN"/>
              </w:rPr>
              <w:t>勘探期</w:t>
            </w:r>
            <w:r>
              <w:rPr>
                <w:rFonts w:hint="eastAsia" w:cs="宋体"/>
                <w:bCs/>
                <w:spacing w:val="10"/>
                <w:kern w:val="2"/>
                <w:sz w:val="21"/>
                <w:szCs w:val="21"/>
              </w:rPr>
              <w:t>生态环境影响分析</w:t>
            </w:r>
          </w:p>
        </w:tc>
        <w:tc>
          <w:tcPr>
            <w:tcW w:w="7699" w:type="dxa"/>
            <w:shd w:val="clear" w:color="auto" w:fill="auto"/>
            <w:noWrap w:val="0"/>
            <w:vAlign w:val="top"/>
          </w:tcPr>
          <w:p>
            <w:pPr>
              <w:widowControl w:val="0"/>
              <w:bidi w:val="0"/>
              <w:adjustRightInd w:val="0"/>
              <w:snapToGrid w:val="0"/>
              <w:spacing w:line="520" w:lineRule="exact"/>
              <w:jc w:val="left"/>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1.生态影响分析</w:t>
            </w:r>
          </w:p>
          <w:p>
            <w:pPr>
              <w:widowControl w:val="0"/>
              <w:bidi w:val="0"/>
              <w:adjustRightInd w:val="0"/>
              <w:snapToGrid w:val="0"/>
              <w:spacing w:line="520" w:lineRule="exact"/>
              <w:jc w:val="left"/>
              <w:rPr>
                <w:rFonts w:hint="eastAsia" w:ascii="Times New Roman" w:hAnsi="Times New Roman" w:eastAsia="宋体" w:cs="宋体"/>
                <w:b/>
                <w:kern w:val="0"/>
                <w:sz w:val="24"/>
                <w:szCs w:val="24"/>
                <w:highlight w:val="none"/>
                <w:lang w:val="en-US" w:eastAsia="zh-CN" w:bidi="ar-SA"/>
              </w:rPr>
            </w:pPr>
            <w:r>
              <w:rPr>
                <w:rFonts w:hint="eastAsia" w:ascii="Times New Roman" w:hAnsi="Times New Roman" w:eastAsia="宋体" w:cs="宋体"/>
                <w:b/>
                <w:kern w:val="0"/>
                <w:sz w:val="24"/>
                <w:szCs w:val="24"/>
                <w:highlight w:val="none"/>
                <w:lang w:val="en-US" w:eastAsia="zh-CN" w:bidi="ar-SA"/>
              </w:rPr>
              <w:t>1.1占地影响</w:t>
            </w:r>
          </w:p>
          <w:p>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left"/>
              <w:textAlignment w:val="auto"/>
              <w:rPr>
                <w:rFonts w:hint="default" w:cs="宋体"/>
                <w:kern w:val="0"/>
                <w:sz w:val="24"/>
                <w:szCs w:val="24"/>
                <w:highlight w:val="none"/>
                <w:lang w:val="en-US" w:eastAsia="zh-CN" w:bidi="ar-SA"/>
              </w:rPr>
            </w:pPr>
            <w:r>
              <w:rPr>
                <w:rFonts w:hint="eastAsia" w:ascii="Times New Roman" w:hAnsi="Times New Roman" w:eastAsia="宋体" w:cs="宋体"/>
                <w:kern w:val="0"/>
                <w:sz w:val="24"/>
                <w:szCs w:val="24"/>
                <w:lang w:val="en-US" w:eastAsia="zh-CN" w:bidi="ar-SA"/>
              </w:rPr>
              <w:t>探矿区占地为勘探场地和临时堆渣场，占地共计</w:t>
            </w:r>
            <w:r>
              <w:rPr>
                <w:rFonts w:hint="eastAsia" w:cs="宋体"/>
                <w:kern w:val="0"/>
                <w:sz w:val="24"/>
                <w:szCs w:val="24"/>
                <w:lang w:val="en-US" w:eastAsia="zh-CN" w:bidi="ar-SA"/>
              </w:rPr>
              <w:t>3505m</w:t>
            </w:r>
            <w:r>
              <w:rPr>
                <w:rFonts w:hint="eastAsia" w:cs="宋体"/>
                <w:kern w:val="0"/>
                <w:sz w:val="24"/>
                <w:szCs w:val="24"/>
                <w:vertAlign w:val="superscript"/>
                <w:lang w:val="en-US" w:eastAsia="zh-CN" w:bidi="ar-SA"/>
              </w:rPr>
              <w:t>2</w:t>
            </w:r>
            <w:r>
              <w:rPr>
                <w:rFonts w:hint="eastAsia" w:ascii="Times New Roman" w:hAnsi="Times New Roman" w:eastAsia="宋体" w:cs="宋体"/>
                <w:kern w:val="0"/>
                <w:sz w:val="24"/>
                <w:szCs w:val="24"/>
                <w:lang w:val="en-US" w:eastAsia="zh-CN" w:bidi="ar-SA"/>
              </w:rPr>
              <w:t>，均为临时占地。勘探场地和临时堆渣场会占用一定面积，改变土地原有使用功能，造成资源浪费，勘探机械的压占会造成剥离后的表层土壤过于紧实，降低土壤的通透性和渗水性，对土壤环境、动植物以及区域景观生态产生不利的影响</w:t>
            </w:r>
            <w:r>
              <w:rPr>
                <w:rFonts w:hint="eastAsia" w:cs="宋体"/>
                <w:kern w:val="0"/>
                <w:sz w:val="24"/>
                <w:szCs w:val="24"/>
                <w:lang w:val="en-US" w:eastAsia="zh-CN" w:bidi="ar-SA"/>
              </w:rPr>
              <w:t>。</w:t>
            </w:r>
          </w:p>
          <w:p>
            <w:pPr>
              <w:widowControl w:val="0"/>
              <w:bidi w:val="0"/>
              <w:adjustRightInd w:val="0"/>
              <w:snapToGrid w:val="0"/>
              <w:spacing w:line="520" w:lineRule="exact"/>
              <w:jc w:val="left"/>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1.2土壤环境的影响</w:t>
            </w:r>
          </w:p>
          <w:p>
            <w:pPr>
              <w:pStyle w:val="48"/>
              <w:numPr>
                <w:ilvl w:val="0"/>
                <w:numId w:val="0"/>
              </w:numPr>
              <w:bidi w:val="0"/>
              <w:ind w:left="-60" w:leftChars="0" w:firstLine="480" w:firstLineChars="200"/>
              <w:rPr>
                <w:rFonts w:hint="eastAsia"/>
              </w:rPr>
            </w:pPr>
            <w:r>
              <w:rPr>
                <w:rFonts w:hint="eastAsia" w:ascii="Times New Roman" w:hAnsi="Times New Roman" w:eastAsia="宋体" w:cs="宋体"/>
                <w:kern w:val="0"/>
                <w:sz w:val="24"/>
                <w:szCs w:val="24"/>
                <w:lang w:val="en-US" w:eastAsia="zh-CN" w:bidi="ar-SA"/>
              </w:rPr>
              <w:t>（1）</w:t>
            </w:r>
            <w:r>
              <w:rPr>
                <w:rFonts w:hint="eastAsia"/>
              </w:rPr>
              <w:t>槽探</w:t>
            </w:r>
          </w:p>
          <w:p>
            <w:pPr>
              <w:pStyle w:val="48"/>
              <w:numPr>
                <w:ilvl w:val="0"/>
                <w:numId w:val="0"/>
              </w:numPr>
              <w:bidi w:val="0"/>
              <w:ind w:left="-60" w:leftChars="0" w:firstLine="480" w:firstLineChars="200"/>
              <w:rPr>
                <w:rFonts w:hint="eastAsia"/>
              </w:rPr>
            </w:pPr>
            <w:r>
              <w:rPr>
                <w:rFonts w:hint="eastAsia"/>
                <w:lang w:val="en-US" w:eastAsia="zh-CN"/>
              </w:rPr>
              <w:t>本次勘查槽探工程占地2000m</w:t>
            </w:r>
            <w:r>
              <w:rPr>
                <w:rFonts w:hint="eastAsia"/>
                <w:vertAlign w:val="superscript"/>
                <w:lang w:val="en-US" w:eastAsia="zh-CN"/>
              </w:rPr>
              <w:t>2</w:t>
            </w:r>
            <w:r>
              <w:rPr>
                <w:rFonts w:hint="eastAsia"/>
                <w:lang w:val="en-US" w:eastAsia="zh-CN"/>
              </w:rPr>
              <w:t>。探槽开挖时，必然会对原有土壤结构形成扰动，其结果会使土壤原有的土层发生紊乱，团粒结构破坏，从而导致土壤环境恶化，进而影响地上植被的生长</w:t>
            </w:r>
            <w:r>
              <w:rPr>
                <w:rFonts w:hint="eastAsia"/>
              </w:rPr>
              <w:t>。</w:t>
            </w:r>
          </w:p>
          <w:p>
            <w:pPr>
              <w:pStyle w:val="48"/>
              <w:bidi w:val="0"/>
              <w:rPr>
                <w:rFonts w:hint="default"/>
                <w:highlight w:val="none"/>
                <w:lang w:val="en-US" w:eastAsia="zh-CN"/>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2</w:t>
            </w:r>
            <w:r>
              <w:rPr>
                <w:rFonts w:hint="eastAsia" w:ascii="Times New Roman" w:hAnsi="Times New Roman" w:eastAsia="宋体" w:cs="宋体"/>
                <w:kern w:val="0"/>
                <w:sz w:val="24"/>
                <w:szCs w:val="24"/>
                <w:lang w:val="en-US" w:eastAsia="zh-CN" w:bidi="ar-SA"/>
              </w:rPr>
              <w:t>）</w:t>
            </w:r>
            <w:r>
              <w:rPr>
                <w:rFonts w:hint="default"/>
                <w:highlight w:val="none"/>
                <w:lang w:val="en-US" w:eastAsia="zh-CN"/>
              </w:rPr>
              <w:t>钻探</w:t>
            </w:r>
          </w:p>
          <w:p>
            <w:pPr>
              <w:pStyle w:val="48"/>
              <w:bidi w:val="0"/>
              <w:rPr>
                <w:rFonts w:hint="default"/>
                <w:highlight w:val="none"/>
                <w:lang w:val="en-US" w:eastAsia="zh-CN"/>
              </w:rPr>
            </w:pPr>
            <w:r>
              <w:rPr>
                <w:rFonts w:hint="default"/>
                <w:highlight w:val="none"/>
                <w:lang w:val="en-US" w:eastAsia="zh-CN"/>
              </w:rPr>
              <w:t>本项目钻探</w:t>
            </w:r>
            <w:r>
              <w:rPr>
                <w:rFonts w:hint="eastAsia"/>
                <w:highlight w:val="none"/>
                <w:lang w:val="en-US" w:eastAsia="zh-CN"/>
              </w:rPr>
              <w:t>工程</w:t>
            </w:r>
            <w:r>
              <w:rPr>
                <w:rFonts w:hint="default"/>
                <w:highlight w:val="none"/>
                <w:lang w:val="en-US" w:eastAsia="zh-CN"/>
              </w:rPr>
              <w:t>位于槽探坡面上，不新增占地。但是钻探施工对原有土壤结构形成扰动，导致土壤原有的粘土层、亚粘土层发生紊乱，团粒结构破坏。探坑开挖破坏最大的为砂、砾层，导致原有地质结构层分布紊乱，岩层纵向分布、横向分布纹路被破坏。</w:t>
            </w:r>
            <w:r>
              <w:rPr>
                <w:rFonts w:hint="eastAsia"/>
                <w:highlight w:val="none"/>
                <w:lang w:val="en-US" w:eastAsia="zh-CN"/>
              </w:rPr>
              <w:t>泥浆池占地5m</w:t>
            </w:r>
            <w:r>
              <w:rPr>
                <w:rFonts w:hint="eastAsia"/>
                <w:highlight w:val="none"/>
                <w:vertAlign w:val="superscript"/>
                <w:lang w:val="en-US" w:eastAsia="zh-CN"/>
              </w:rPr>
              <w:t>2</w:t>
            </w:r>
            <w:r>
              <w:rPr>
                <w:rFonts w:hint="eastAsia"/>
                <w:highlight w:val="none"/>
                <w:lang w:val="en-US" w:eastAsia="zh-CN"/>
              </w:rPr>
              <w:t>。</w:t>
            </w:r>
          </w:p>
          <w:p>
            <w:pPr>
              <w:pStyle w:val="48"/>
              <w:numPr>
                <w:ilvl w:val="0"/>
                <w:numId w:val="0"/>
              </w:numPr>
              <w:bidi w:val="0"/>
              <w:ind w:left="-60" w:leftChars="0" w:firstLine="480" w:firstLineChars="200"/>
              <w:rPr>
                <w:rFonts w:hint="eastAsia"/>
              </w:rPr>
            </w:pPr>
            <w:r>
              <w:rPr>
                <w:rFonts w:hint="default"/>
                <w:highlight w:val="none"/>
                <w:lang w:val="en-US" w:eastAsia="zh-CN"/>
              </w:rPr>
              <w:t>（3）</w:t>
            </w:r>
            <w:r>
              <w:rPr>
                <w:rFonts w:hint="eastAsia"/>
                <w:lang w:val="en-US" w:eastAsia="zh-CN"/>
              </w:rPr>
              <w:t>土石方</w:t>
            </w:r>
            <w:r>
              <w:rPr>
                <w:rFonts w:hint="eastAsia"/>
                <w:lang w:eastAsia="zh-CN"/>
              </w:rPr>
              <w:t>临时</w:t>
            </w:r>
            <w:r>
              <w:rPr>
                <w:rFonts w:hint="eastAsia"/>
                <w:lang w:val="en-US" w:eastAsia="zh-CN"/>
              </w:rPr>
              <w:t>堆放区</w:t>
            </w:r>
          </w:p>
          <w:p>
            <w:pPr>
              <w:pStyle w:val="48"/>
              <w:numPr>
                <w:ilvl w:val="0"/>
                <w:numId w:val="0"/>
              </w:numPr>
              <w:bidi w:val="0"/>
              <w:ind w:left="-60" w:leftChars="0" w:firstLine="480" w:firstLineChars="200"/>
              <w:rPr>
                <w:rFonts w:hint="eastAsia"/>
              </w:rPr>
            </w:pPr>
            <w:r>
              <w:rPr>
                <w:rFonts w:hint="eastAsia"/>
              </w:rPr>
              <w:t>本次探矿勘探不设置固定堆渣场</w:t>
            </w:r>
            <w:r>
              <w:t>，</w:t>
            </w:r>
            <w:r>
              <w:rPr>
                <w:rFonts w:hint="eastAsia"/>
              </w:rPr>
              <w:t>堆渣均布置在</w:t>
            </w:r>
            <w:r>
              <w:rPr>
                <w:rFonts w:hint="eastAsia"/>
                <w:lang w:val="en-US" w:eastAsia="zh-CN"/>
              </w:rPr>
              <w:t>探坑区</w:t>
            </w:r>
            <w:r>
              <w:rPr>
                <w:rFonts w:hint="eastAsia"/>
              </w:rPr>
              <w:t>一侧空地上</w:t>
            </w:r>
            <w:r>
              <w:rPr>
                <w:rFonts w:hint="eastAsia"/>
                <w:lang w:eastAsia="zh-CN"/>
              </w:rPr>
              <w:t>，</w:t>
            </w:r>
            <w:r>
              <w:rPr>
                <w:rFonts w:hint="eastAsia"/>
                <w:lang w:val="en-US" w:eastAsia="zh-CN"/>
              </w:rPr>
              <w:t>占地约1500m</w:t>
            </w:r>
            <w:r>
              <w:rPr>
                <w:rFonts w:hint="eastAsia"/>
                <w:vertAlign w:val="superscript"/>
                <w:lang w:val="en-US" w:eastAsia="zh-CN"/>
              </w:rPr>
              <w:t>2</w:t>
            </w:r>
            <w:r>
              <w:rPr>
                <w:rFonts w:hint="eastAsia"/>
              </w:rPr>
              <w:t>。</w:t>
            </w:r>
            <w:r>
              <w:rPr>
                <w:rFonts w:hint="eastAsia"/>
                <w:lang w:val="en-US" w:eastAsia="zh-CN"/>
              </w:rPr>
              <w:t>勘探期</w:t>
            </w:r>
            <w:r>
              <w:rPr>
                <w:rFonts w:hint="eastAsia"/>
              </w:rPr>
              <w:t>内</w:t>
            </w:r>
            <w:r>
              <w:rPr>
                <w:rFonts w:hint="eastAsia"/>
                <w:lang w:val="en-US" w:eastAsia="zh-CN"/>
              </w:rPr>
              <w:t>堆土</w:t>
            </w:r>
            <w:r>
              <w:rPr>
                <w:rFonts w:hint="eastAsia"/>
              </w:rPr>
              <w:t>的压占会造成土壤过于紧实，降低土壤的通透性和渗水性，对后期植物的生长会造成不良影响。</w:t>
            </w:r>
          </w:p>
          <w:p>
            <w:pPr>
              <w:pStyle w:val="50"/>
              <w:bidi w:val="0"/>
              <w:rPr>
                <w:rFonts w:hint="eastAsia"/>
                <w:lang w:val="en-US" w:eastAsia="zh-CN"/>
              </w:rPr>
            </w:pPr>
            <w:r>
              <w:rPr>
                <w:rFonts w:hint="eastAsia"/>
                <w:lang w:val="en-US" w:eastAsia="zh-CN"/>
              </w:rPr>
              <w:t>1.3动植物的影响</w:t>
            </w:r>
          </w:p>
          <w:p>
            <w:pPr>
              <w:pStyle w:val="48"/>
              <w:bidi w:val="0"/>
              <w:rPr>
                <w:rFonts w:hint="eastAsia"/>
                <w:lang w:val="en-US" w:eastAsia="zh-CN"/>
              </w:rPr>
            </w:pPr>
            <w:r>
              <w:rPr>
                <w:rFonts w:hint="default" w:ascii="Times New Roman" w:hAnsi="Times New Roman" w:cs="Times New Roman"/>
                <w:color w:val="auto"/>
                <w:lang w:val="en-US" w:eastAsia="zh-CN"/>
              </w:rPr>
              <w:t>本项目占地性质属于临时占地，探矿区范围内部分区域为草地，主要植物为</w:t>
            </w:r>
            <w:r>
              <w:rPr>
                <w:rFonts w:hint="default" w:ascii="Times New Roman" w:hAnsi="Times New Roman" w:cs="Times New Roman"/>
                <w:color w:val="auto"/>
                <w:highlight w:val="none"/>
                <w:lang w:val="en-US" w:eastAsia="zh-CN"/>
              </w:rPr>
              <w:t>高山绢蒿</w:t>
            </w:r>
            <w:r>
              <w:rPr>
                <w:rFonts w:hint="eastAsia" w:cs="Times New Roman"/>
                <w:color w:val="auto"/>
                <w:highlight w:val="none"/>
                <w:lang w:val="en-US" w:eastAsia="zh-CN"/>
              </w:rPr>
              <w:t>和合头藜</w:t>
            </w:r>
            <w:r>
              <w:rPr>
                <w:rFonts w:hint="default" w:ascii="Times New Roman" w:hAnsi="Times New Roman" w:cs="Times New Roman"/>
                <w:color w:val="auto"/>
                <w:lang w:val="en-US" w:eastAsia="zh-CN"/>
              </w:rPr>
              <w:t>。勘探过程中的车辆行驶、设备安装等活动会</w:t>
            </w:r>
            <w:r>
              <w:rPr>
                <w:rFonts w:hint="default" w:ascii="Times New Roman" w:hAnsi="Times New Roman" w:eastAsia="宋体" w:cs="Times New Roman"/>
                <w:color w:val="auto"/>
                <w:lang w:val="en-US" w:eastAsia="zh-CN"/>
              </w:rPr>
              <w:t>直接碾压、铲除植被，</w:t>
            </w:r>
            <w:r>
              <w:rPr>
                <w:rFonts w:hint="eastAsia" w:ascii="Times New Roman" w:hAnsi="Times New Roman" w:eastAsia="宋体" w:cs="Times New Roman"/>
                <w:color w:val="auto"/>
                <w:lang w:val="en-US" w:eastAsia="zh-CN"/>
              </w:rPr>
              <w:t>槽探作业开展前，均需对表土进行清理，以消除植被、浮土及其他地表障碍物对作业的干扰。表土清理过程不可避免地会对这些植被造成直接损毁，地表植被因机械铲除或表土掩埋而死亡，导致植被群落结构遭受破坏，对地表植被的影响较大。</w:t>
            </w:r>
          </w:p>
          <w:p>
            <w:pPr>
              <w:pStyle w:val="48"/>
              <w:bidi w:val="0"/>
              <w:rPr>
                <w:rFonts w:hint="default" w:ascii="Times New Roman" w:hAnsi="Times New Roman" w:eastAsia="宋体" w:cs="Times New Roman"/>
                <w:color w:val="auto"/>
                <w:lang w:val="en-US" w:eastAsia="zh-CN"/>
              </w:rPr>
            </w:pPr>
            <w:r>
              <w:rPr>
                <w:rFonts w:hint="eastAsia"/>
                <w:highlight w:val="none"/>
                <w:lang w:val="en-US" w:eastAsia="zh-CN"/>
              </w:rPr>
              <w:t>从生物损失量</w:t>
            </w:r>
            <w:r>
              <w:rPr>
                <w:rFonts w:hint="eastAsia"/>
                <w:lang w:val="en-US" w:eastAsia="zh-CN"/>
              </w:rPr>
              <w:t>分析：从区域生态现状来看，勘探工程对当地生态系统中生物物种的丰度不会产生影响，只是由于某一物种的数量减少导致各种间的相对密度变化而轻微地改变群落的异质性。区域生物量损失引用《新疆荒漠草地生物量估算及影响因素研究》按每平方米损失38.92g（项目扰动用地3505m</w:t>
            </w:r>
            <w:r>
              <w:rPr>
                <w:rFonts w:hint="eastAsia"/>
                <w:vertAlign w:val="superscript"/>
                <w:lang w:val="en-US" w:eastAsia="zh-CN"/>
              </w:rPr>
              <w:t>2</w:t>
            </w:r>
            <w:r>
              <w:rPr>
                <w:rFonts w:hint="eastAsia"/>
                <w:lang w:val="en-US" w:eastAsia="zh-CN"/>
              </w:rPr>
              <w:t>）进行计算，本项目勘探过程中，因场地平整、土方开挖及物料堆放等作业，需临时占用部分地表区域，造成生物量损失，生物损失量合计约0.136t。在勘探结束后，利用之前收集的表土对临时占用的土地进行覆土。对勘探场地进行回填、进行迹地清理平整，区域生态将逐步恢复。</w:t>
            </w:r>
          </w:p>
          <w:p>
            <w:pPr>
              <w:pStyle w:val="48"/>
              <w:bidi w:val="0"/>
              <w:rPr>
                <w:rFonts w:hint="default"/>
              </w:rPr>
            </w:pPr>
            <w:r>
              <w:rPr>
                <w:rFonts w:hint="default" w:ascii="Times New Roman" w:hAnsi="Times New Roman" w:eastAsia="宋体" w:cs="Times New Roman"/>
                <w:color w:val="auto"/>
                <w:lang w:val="en-US" w:eastAsia="zh-CN"/>
              </w:rPr>
              <w:t>工程占地和人类的活动将破坏野生动物赖以生存的环境。区域内各种野生动物经过长期的适应已形成较稳定的取食、饮水、栖息活动范围和分布，勘探过程中的槽探和地面建设占地将使原有的野生动物的分布、栖息活动范围受到压缩。槽探</w:t>
            </w:r>
            <w:r>
              <w:rPr>
                <w:rFonts w:hint="eastAsia" w:ascii="Times New Roman" w:hAnsi="Times New Roman" w:eastAsia="宋体" w:cs="Times New Roman"/>
                <w:color w:val="auto"/>
                <w:lang w:val="en-US" w:eastAsia="zh-CN"/>
              </w:rPr>
              <w:t>和钻探</w:t>
            </w:r>
            <w:r>
              <w:rPr>
                <w:rFonts w:hint="default" w:ascii="Times New Roman" w:hAnsi="Times New Roman" w:eastAsia="宋体" w:cs="Times New Roman"/>
                <w:color w:val="auto"/>
                <w:lang w:val="en-US" w:eastAsia="zh-CN"/>
              </w:rPr>
              <w:t>过程中以及机械设备的轰鸣声会极大地改变野生动物的行为模式。许多动物对环境变化极为敏感，施工区域周边原本活动的野生动物，会因</w:t>
            </w:r>
            <w:r>
              <w:rPr>
                <w:rFonts w:hint="eastAsia" w:ascii="Times New Roman" w:hAnsi="Times New Roman" w:eastAsia="宋体" w:cs="Times New Roman"/>
                <w:color w:val="auto"/>
                <w:lang w:val="en-US" w:eastAsia="zh-CN"/>
              </w:rPr>
              <w:t>勘探</w:t>
            </w:r>
            <w:r>
              <w:rPr>
                <w:rFonts w:hint="default" w:ascii="Times New Roman" w:hAnsi="Times New Roman" w:eastAsia="宋体" w:cs="Times New Roman"/>
                <w:color w:val="auto"/>
                <w:lang w:val="en-US" w:eastAsia="zh-CN"/>
              </w:rPr>
              <w:t>作业产生的震动和</w:t>
            </w:r>
            <w:r>
              <w:rPr>
                <w:rFonts w:hint="eastAsia" w:ascii="Times New Roman" w:hAnsi="Times New Roman" w:eastAsia="宋体" w:cs="Times New Roman"/>
                <w:color w:val="auto"/>
                <w:lang w:val="en-US" w:eastAsia="zh-CN"/>
              </w:rPr>
              <w:t>噪声</w:t>
            </w:r>
            <w:r>
              <w:rPr>
                <w:rFonts w:hint="default" w:ascii="Times New Roman" w:hAnsi="Times New Roman" w:eastAsia="宋体" w:cs="Times New Roman"/>
                <w:color w:val="auto"/>
                <w:lang w:val="en-US" w:eastAsia="zh-CN"/>
              </w:rPr>
              <w:t>，而选择主动避开该区域。</w:t>
            </w:r>
          </w:p>
          <w:p>
            <w:pPr>
              <w:pStyle w:val="50"/>
              <w:bidi w:val="0"/>
              <w:rPr>
                <w:rFonts w:hint="default"/>
              </w:rPr>
            </w:pPr>
            <w:r>
              <w:rPr>
                <w:rFonts w:hint="eastAsia"/>
                <w:lang w:val="en-US" w:eastAsia="zh-CN"/>
              </w:rPr>
              <w:t>1.4</w:t>
            </w:r>
            <w:r>
              <w:rPr>
                <w:rFonts w:hint="default"/>
              </w:rPr>
              <w:t>自然景观影响</w:t>
            </w:r>
          </w:p>
          <w:p>
            <w:pPr>
              <w:pStyle w:val="48"/>
              <w:bidi w:val="0"/>
              <w:rPr>
                <w:rFonts w:hint="eastAsia"/>
                <w:lang w:val="en-US" w:eastAsia="zh-CN"/>
              </w:rPr>
            </w:pPr>
            <w:r>
              <w:rPr>
                <w:rFonts w:hint="default"/>
                <w:lang w:val="en-US" w:eastAsia="zh-CN"/>
              </w:rPr>
              <w:t>项目评价区范围内无自然风景区和名胜古迹，矿区范围内无珍稀植物及古树名木，无风景名胜及特殊文物保护单位等视觉景观敏感点。因此对于较大范围的生态景观以及景区风貌来说，影响面很小。由于</w:t>
            </w:r>
            <w:r>
              <w:rPr>
                <w:rFonts w:hint="eastAsia"/>
                <w:lang w:val="en-US" w:eastAsia="zh-CN"/>
              </w:rPr>
              <w:t>勘探期会</w:t>
            </w:r>
            <w:r>
              <w:rPr>
                <w:rFonts w:hint="default"/>
                <w:lang w:val="en-US" w:eastAsia="zh-CN"/>
              </w:rPr>
              <w:t>破坏原有地形地貌，改变原有地表形态，破坏了原有区域自然景观的整体性，与周围自然景观环境的不协调，对区域景观生态产生暂时不利的影响。</w:t>
            </w:r>
          </w:p>
          <w:p>
            <w:pPr>
              <w:pStyle w:val="48"/>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Style w:val="51"/>
                <w:rFonts w:hint="default"/>
                <w:lang w:val="en-US" w:eastAsia="zh-CN"/>
              </w:rPr>
            </w:pPr>
            <w:r>
              <w:rPr>
                <w:rStyle w:val="51"/>
                <w:rFonts w:hint="eastAsia"/>
                <w:lang w:val="en-US" w:eastAsia="zh-CN"/>
              </w:rPr>
              <w:t>1.5土地沙化的影响</w:t>
            </w:r>
          </w:p>
          <w:p>
            <w:pPr>
              <w:pStyle w:val="48"/>
              <w:bidi w:val="0"/>
              <w:rPr>
                <w:rFonts w:hint="default"/>
                <w:lang w:val="en-US" w:eastAsia="zh-CN"/>
              </w:rPr>
            </w:pPr>
            <w:r>
              <w:rPr>
                <w:rFonts w:hint="default"/>
                <w:lang w:val="en-US" w:eastAsia="zh-CN"/>
              </w:rPr>
              <w:t>矿山勘查时，各类机械设备</w:t>
            </w:r>
            <w:r>
              <w:rPr>
                <w:rFonts w:hint="eastAsia"/>
                <w:lang w:val="en-US" w:eastAsia="zh-CN"/>
              </w:rPr>
              <w:t>的活动会</w:t>
            </w:r>
            <w:r>
              <w:rPr>
                <w:rFonts w:hint="default"/>
                <w:lang w:val="en-US" w:eastAsia="zh-CN"/>
              </w:rPr>
              <w:t>直接碾压和铲除地表植被</w:t>
            </w:r>
            <w:r>
              <w:rPr>
                <w:rFonts w:hint="eastAsia"/>
                <w:lang w:val="en-US" w:eastAsia="zh-CN"/>
              </w:rPr>
              <w:t>，</w:t>
            </w:r>
            <w:r>
              <w:rPr>
                <w:rFonts w:hint="default"/>
                <w:lang w:val="en-US" w:eastAsia="zh-CN"/>
              </w:rPr>
              <w:t>在干旱半干旱地区，植被本身就稀疏脆弱，一旦遭到破坏，地表失去植被的固沙作用，松散的土壤直接暴露</w:t>
            </w:r>
            <w:r>
              <w:rPr>
                <w:rFonts w:hint="eastAsia"/>
                <w:lang w:val="en-US" w:eastAsia="zh-CN"/>
              </w:rPr>
              <w:t>，在风力作用下加速土地沙化进程；</w:t>
            </w:r>
            <w:r>
              <w:rPr>
                <w:rFonts w:hint="default"/>
                <w:lang w:val="en-US" w:eastAsia="zh-CN"/>
              </w:rPr>
              <w:t>机械的反复碾压使</w:t>
            </w:r>
            <w:r>
              <w:rPr>
                <w:rFonts w:hint="eastAsia"/>
                <w:lang w:val="en-US" w:eastAsia="zh-CN"/>
              </w:rPr>
              <w:t>得</w:t>
            </w:r>
            <w:r>
              <w:rPr>
                <w:rFonts w:hint="default"/>
                <w:lang w:val="en-US" w:eastAsia="zh-CN"/>
              </w:rPr>
              <w:t>原本相对稳定的土壤结构遭到破坏</w:t>
            </w:r>
            <w:r>
              <w:rPr>
                <w:rFonts w:hint="eastAsia"/>
                <w:lang w:val="en-US" w:eastAsia="zh-CN"/>
              </w:rPr>
              <w:t>，</w:t>
            </w:r>
            <w:r>
              <w:rPr>
                <w:rFonts w:hint="default"/>
                <w:lang w:val="en-US" w:eastAsia="zh-CN"/>
              </w:rPr>
              <w:t>土壤孔隙度减小，通气性和透水性变差，土壤微生物活动受到抑制，进一步削弱了土壤的抗风蚀能力</w:t>
            </w:r>
            <w:r>
              <w:rPr>
                <w:rFonts w:hint="eastAsia"/>
                <w:lang w:val="en-US" w:eastAsia="zh-CN"/>
              </w:rPr>
              <w:t>；槽探等勘查活动产生大量堆土，在风力作用下，细小颗粒被吹扬，增加空气中沙尘含量，同时周边土壤被侵蚀，导致土地沙化范围扩大。</w:t>
            </w:r>
          </w:p>
          <w:p>
            <w:pPr>
              <w:pStyle w:val="50"/>
              <w:bidi w:val="0"/>
              <w:rPr>
                <w:rFonts w:hint="eastAsia"/>
                <w:lang w:val="en-US" w:eastAsia="zh-CN"/>
              </w:rPr>
            </w:pPr>
            <w:r>
              <w:rPr>
                <w:rFonts w:hint="eastAsia"/>
                <w:lang w:val="en-US" w:eastAsia="zh-CN"/>
              </w:rPr>
              <w:t>1.6水土流失的影响</w:t>
            </w:r>
          </w:p>
          <w:p>
            <w:pPr>
              <w:pStyle w:val="48"/>
              <w:bidi w:val="0"/>
              <w:rPr>
                <w:rFonts w:hint="default"/>
                <w:lang w:val="en-US" w:eastAsia="zh-CN"/>
              </w:rPr>
            </w:pPr>
            <w:r>
              <w:rPr>
                <w:rFonts w:hint="eastAsia"/>
                <w:lang w:val="en-US" w:eastAsia="zh-CN"/>
              </w:rPr>
              <w:t>项目勘查</w:t>
            </w:r>
            <w:r>
              <w:rPr>
                <w:rFonts w:hint="eastAsia"/>
              </w:rPr>
              <w:t>过程中，</w:t>
            </w:r>
            <w:r>
              <w:rPr>
                <w:rFonts w:hint="eastAsia"/>
                <w:lang w:eastAsia="zh-CN"/>
              </w:rPr>
              <w:t>勘查作业会产生大量的</w:t>
            </w:r>
            <w:r>
              <w:rPr>
                <w:rFonts w:hint="eastAsia"/>
                <w:lang w:val="en-US" w:eastAsia="zh-CN"/>
              </w:rPr>
              <w:t>堆土</w:t>
            </w:r>
            <w:r>
              <w:rPr>
                <w:rFonts w:hint="eastAsia"/>
                <w:lang w:eastAsia="zh-CN"/>
              </w:rPr>
              <w:t>，如果不妥善处理，随意堆放，不仅占用大量土地，还容易成为水土流失的物质源；临时堆存的弃土弃渣在降雨、风力等作用下极易发生崩塌、滑坡等现象。矿山勘查中的挖填作业改变了原有的地形地貌，使原本相对稳定的地形变得起伏不平，</w:t>
            </w:r>
            <w:r>
              <w:rPr>
                <w:rFonts w:hint="eastAsia"/>
                <w:lang w:val="en-US" w:eastAsia="zh-CN"/>
              </w:rPr>
              <w:t>可能会</w:t>
            </w:r>
            <w:r>
              <w:rPr>
                <w:rFonts w:hint="eastAsia"/>
                <w:lang w:eastAsia="zh-CN"/>
              </w:rPr>
              <w:t>造成局部地形高差增大，坡面变陡，增加了坡面径流的流速和冲刷力，使土壤侵蚀加剧。大量施工人员的活动，会对周边地表植被造成践踏破坏，降低覆盖度，使地表失去植被的有效保护，进而加剧水土流失。</w:t>
            </w:r>
          </w:p>
          <w:p>
            <w:pPr>
              <w:pStyle w:val="50"/>
              <w:bidi w:val="0"/>
              <w:rPr>
                <w:rFonts w:hint="default"/>
                <w:lang w:val="en-US" w:eastAsia="zh-CN"/>
              </w:rPr>
            </w:pPr>
            <w:r>
              <w:rPr>
                <w:rFonts w:hint="eastAsia"/>
                <w:lang w:val="en-US" w:eastAsia="zh-CN"/>
              </w:rPr>
              <w:t>2.</w:t>
            </w:r>
            <w:r>
              <w:rPr>
                <w:rFonts w:hint="eastAsia"/>
              </w:rPr>
              <w:t>大气环境</w:t>
            </w:r>
            <w:r>
              <w:rPr>
                <w:rFonts w:hint="eastAsia"/>
                <w:lang w:val="en-US" w:eastAsia="zh-CN"/>
              </w:rPr>
              <w:t>影响分析</w:t>
            </w:r>
          </w:p>
          <w:p>
            <w:pPr>
              <w:pStyle w:val="50"/>
              <w:bidi w:val="0"/>
              <w:rPr>
                <w:rFonts w:hint="eastAsia"/>
              </w:rPr>
            </w:pPr>
            <w:r>
              <w:rPr>
                <w:rFonts w:hint="eastAsia"/>
                <w:lang w:val="en-US" w:eastAsia="zh-CN"/>
              </w:rPr>
              <w:t>2.1勘探过程中产生的</w:t>
            </w:r>
            <w:r>
              <w:rPr>
                <w:rFonts w:hint="eastAsia"/>
              </w:rPr>
              <w:t>扬尘</w:t>
            </w:r>
          </w:p>
          <w:p>
            <w:pPr>
              <w:pStyle w:val="48"/>
              <w:bidi w:val="0"/>
              <w:rPr>
                <w:rFonts w:hint="default"/>
              </w:rPr>
            </w:pPr>
            <w:r>
              <w:rPr>
                <w:rFonts w:hint="default"/>
              </w:rPr>
              <w:t>大气污染物主要产生在工程</w:t>
            </w:r>
            <w:r>
              <w:rPr>
                <w:rFonts w:hint="eastAsia"/>
                <w:lang w:eastAsia="zh-CN"/>
              </w:rPr>
              <w:t>勘探期</w:t>
            </w:r>
            <w:r>
              <w:rPr>
                <w:rFonts w:hint="default"/>
              </w:rPr>
              <w:t>，对工程沿线及车辆运输道路附近的大气环境都会产生影响。</w:t>
            </w:r>
          </w:p>
          <w:p>
            <w:pPr>
              <w:pStyle w:val="48"/>
              <w:bidi w:val="0"/>
              <w:rPr>
                <w:rFonts w:hint="default"/>
              </w:rPr>
            </w:pPr>
            <w:r>
              <w:rPr>
                <w:rFonts w:hint="eastAsia"/>
                <w:lang w:val="en-US" w:eastAsia="zh-CN"/>
              </w:rPr>
              <w:t>勘探期</w:t>
            </w:r>
            <w:r>
              <w:rPr>
                <w:rFonts w:hint="default"/>
              </w:rPr>
              <w:t>施工及车辆运输扬尘：</w:t>
            </w:r>
            <w:r>
              <w:rPr>
                <w:rFonts w:hint="eastAsia"/>
                <w:lang w:val="en-US" w:eastAsia="zh-CN"/>
              </w:rPr>
              <w:t>勘探期</w:t>
            </w:r>
            <w:r>
              <w:rPr>
                <w:rFonts w:hint="default"/>
              </w:rPr>
              <w:t>施工开挖、勘探材料装卸等会使作业点周围200m范围内产生较大扬尘，易形成扬尘的工区主要是工作道路区等。另外，材料运输过程中公路沿线也易造成扬尘。一般来说，道路局部积尘较多的地方，载重汽车经过时会掀起较多的扬尘，影响范围大约在宽60m、高4</w:t>
            </w:r>
            <w:r>
              <w:rPr>
                <w:rFonts w:hint="eastAsia"/>
                <w:lang w:eastAsia="zh-CN"/>
              </w:rPr>
              <w:t>～</w:t>
            </w:r>
            <w:r>
              <w:rPr>
                <w:rFonts w:hint="default"/>
              </w:rPr>
              <w:t>5m的范围内。从本工程勘探场地和交通沿线的位置看，施工及车辆运输扬尘对周围环境影响较小。</w:t>
            </w:r>
          </w:p>
          <w:p>
            <w:pPr>
              <w:pStyle w:val="50"/>
              <w:bidi w:val="0"/>
              <w:rPr>
                <w:rFonts w:hint="eastAsia"/>
                <w:lang w:val="en-US" w:eastAsia="zh-CN"/>
              </w:rPr>
            </w:pPr>
            <w:r>
              <w:rPr>
                <w:rFonts w:hint="eastAsia"/>
                <w:lang w:val="en-US" w:eastAsia="zh-CN"/>
              </w:rPr>
              <w:t>2.2燃油废气</w:t>
            </w:r>
          </w:p>
          <w:p>
            <w:pPr>
              <w:pStyle w:val="48"/>
              <w:bidi w:val="0"/>
              <w:rPr>
                <w:rFonts w:hint="eastAsia"/>
              </w:rPr>
            </w:pPr>
            <w:r>
              <w:rPr>
                <w:rFonts w:hint="eastAsia"/>
                <w:lang w:val="en-US" w:eastAsia="zh-CN"/>
              </w:rPr>
              <w:t>工作区</w:t>
            </w:r>
            <w:r>
              <w:rPr>
                <w:rFonts w:hint="eastAsia"/>
              </w:rPr>
              <w:t>的燃油设备主要是</w:t>
            </w:r>
            <w:r>
              <w:rPr>
                <w:rFonts w:hint="eastAsia"/>
                <w:lang w:val="en-US" w:eastAsia="zh-CN"/>
              </w:rPr>
              <w:t>勘探</w:t>
            </w:r>
            <w:r>
              <w:rPr>
                <w:rFonts w:hint="eastAsia"/>
              </w:rPr>
              <w:t>机械和运输车辆，其排放的尾气在</w:t>
            </w:r>
            <w:r>
              <w:rPr>
                <w:rFonts w:hint="eastAsia"/>
                <w:lang w:val="en-US" w:eastAsia="zh-CN"/>
              </w:rPr>
              <w:t>勘探</w:t>
            </w:r>
            <w:r>
              <w:rPr>
                <w:rFonts w:hint="eastAsia"/>
              </w:rPr>
              <w:t>期间对</w:t>
            </w:r>
            <w:r>
              <w:rPr>
                <w:rFonts w:hint="eastAsia"/>
                <w:lang w:val="en-US" w:eastAsia="zh-CN"/>
              </w:rPr>
              <w:t>勘探</w:t>
            </w:r>
            <w:r>
              <w:rPr>
                <w:rFonts w:hint="eastAsia"/>
              </w:rPr>
              <w:t>作业点和交通道路附近大气环境造成污染。</w:t>
            </w:r>
          </w:p>
          <w:p>
            <w:pPr>
              <w:pStyle w:val="48"/>
              <w:bidi w:val="0"/>
              <w:rPr>
                <w:rFonts w:hint="eastAsia"/>
              </w:rPr>
            </w:pPr>
            <w:r>
              <w:rPr>
                <w:rFonts w:hint="eastAsia"/>
              </w:rPr>
              <w:t>运输车辆的废气是沿交通路线沿程排放，</w:t>
            </w:r>
            <w:r>
              <w:rPr>
                <w:rFonts w:hint="eastAsia"/>
                <w:lang w:val="en-US" w:eastAsia="zh-CN"/>
              </w:rPr>
              <w:t>勘探</w:t>
            </w:r>
            <w:r>
              <w:rPr>
                <w:rFonts w:hint="eastAsia"/>
              </w:rPr>
              <w:t>机械的废气基本是以点源形成排放，工程</w:t>
            </w:r>
            <w:r>
              <w:rPr>
                <w:rFonts w:hint="eastAsia"/>
                <w:lang w:val="en-US" w:eastAsia="zh-CN"/>
              </w:rPr>
              <w:t>勘探</w:t>
            </w:r>
            <w:r>
              <w:rPr>
                <w:rFonts w:hint="eastAsia"/>
              </w:rPr>
              <w:t>区地形开阔</w:t>
            </w:r>
            <w:r>
              <w:rPr>
                <w:rFonts w:hint="eastAsia"/>
                <w:lang w:eastAsia="zh-CN"/>
              </w:rPr>
              <w:t>，</w:t>
            </w:r>
            <w:r>
              <w:rPr>
                <w:rFonts w:hint="eastAsia"/>
              </w:rPr>
              <w:t>空气流通性好</w:t>
            </w:r>
            <w:r>
              <w:rPr>
                <w:rFonts w:hint="eastAsia"/>
                <w:lang w:eastAsia="zh-CN"/>
              </w:rPr>
              <w:t>，</w:t>
            </w:r>
            <w:r>
              <w:rPr>
                <w:rFonts w:hint="eastAsia"/>
              </w:rPr>
              <w:t>排放废气中的各项污染物能够很快扩散，不会引起局部大气环境质量的恶化。加之废气排放的不连续性和工程施工期有限，排放的废气对区域的环境空气质量影响较小。</w:t>
            </w:r>
          </w:p>
          <w:p>
            <w:pPr>
              <w:pStyle w:val="48"/>
              <w:bidi w:val="0"/>
            </w:pPr>
            <w:r>
              <w:rPr>
                <w:rFonts w:hint="eastAsia"/>
              </w:rPr>
              <w:t>探矿期间将在营地内布置柴油发电机供生活用电，发电机工作期间油料燃烧将排放少量的尾气。</w:t>
            </w:r>
            <w:r>
              <w:rPr>
                <w:rFonts w:hint="eastAsia"/>
                <w:lang w:val="en-US" w:eastAsia="zh-CN"/>
              </w:rPr>
              <w:t>勘探</w:t>
            </w:r>
            <w:r>
              <w:t>机械设备燃烧燃油过程中将产生CO、NOx、SO</w:t>
            </w:r>
            <w:r>
              <w:rPr>
                <w:vertAlign w:val="subscript"/>
              </w:rPr>
              <w:t>2</w:t>
            </w:r>
            <w:r>
              <w:t>、碳氢化合物污染物。</w:t>
            </w:r>
          </w:p>
          <w:p>
            <w:pPr>
              <w:pStyle w:val="48"/>
              <w:bidi w:val="0"/>
              <w:rPr>
                <w:rFonts w:hint="eastAsia"/>
              </w:rPr>
            </w:pPr>
            <w:r>
              <w:rPr>
                <w:rFonts w:hint="eastAsia"/>
              </w:rPr>
              <w:t>探矿期内使用柴油量约</w:t>
            </w:r>
            <w:r>
              <w:rPr>
                <w:rFonts w:hint="eastAsia"/>
                <w:highlight w:val="none"/>
                <w:lang w:val="en-US" w:eastAsia="zh-CN"/>
              </w:rPr>
              <w:t>10</w:t>
            </w:r>
            <w:r>
              <w:rPr>
                <w:rFonts w:hint="eastAsia"/>
                <w:highlight w:val="none"/>
              </w:rPr>
              <w:t>t</w:t>
            </w:r>
            <w:r>
              <w:rPr>
                <w:rFonts w:hint="eastAsia"/>
              </w:rPr>
              <w:t>，</w:t>
            </w:r>
            <w:r>
              <w:rPr>
                <w:rFonts w:hint="eastAsia"/>
                <w:lang w:val="en-US" w:eastAsia="zh-CN"/>
              </w:rPr>
              <w:t>参照同类项目，</w:t>
            </w:r>
            <w:r>
              <w:t>柴油燃烧排放有害气体量详见</w:t>
            </w:r>
            <w:r>
              <w:rPr>
                <w:rFonts w:hint="eastAsia"/>
              </w:rPr>
              <w:t>表</w:t>
            </w:r>
            <w:r>
              <w:rPr>
                <w:rFonts w:hint="eastAsia"/>
                <w:lang w:val="en-US" w:eastAsia="zh-CN"/>
              </w:rPr>
              <w:t>4-3</w:t>
            </w:r>
            <w:r>
              <w:t>。</w:t>
            </w:r>
          </w:p>
          <w:p>
            <w:pPr>
              <w:pStyle w:val="52"/>
              <w:bidi w:val="0"/>
              <w:rPr>
                <w:rFonts w:hint="eastAsia"/>
              </w:rPr>
            </w:pPr>
            <w:r>
              <w:rPr>
                <w:rFonts w:hint="eastAsia"/>
              </w:rPr>
              <w:t>表</w:t>
            </w:r>
            <w:r>
              <w:rPr>
                <w:rFonts w:hint="eastAsia"/>
                <w:lang w:val="en-US" w:eastAsia="zh-CN"/>
              </w:rPr>
              <w:t xml:space="preserve">4-3    </w:t>
            </w:r>
            <w:r>
              <w:rPr>
                <w:rFonts w:hint="eastAsia"/>
              </w:rPr>
              <w:t>柴油排放的有</w:t>
            </w:r>
            <w:r>
              <w:rPr>
                <w:rFonts w:hint="eastAsia"/>
                <w:highlight w:val="none"/>
              </w:rPr>
              <w:t>害物质表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47"/>
              <w:gridCol w:w="1469"/>
              <w:gridCol w:w="121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8" w:type="pct"/>
                  <w:noWrap w:val="0"/>
                  <w:vAlign w:val="center"/>
                </w:tcPr>
                <w:p>
                  <w:pPr>
                    <w:pStyle w:val="58"/>
                    <w:bidi w:val="0"/>
                  </w:pPr>
                  <w:r>
                    <w:t>有害物质</w:t>
                  </w:r>
                </w:p>
              </w:tc>
              <w:tc>
                <w:tcPr>
                  <w:tcW w:w="901" w:type="pct"/>
                  <w:noWrap w:val="0"/>
                  <w:vAlign w:val="center"/>
                </w:tcPr>
                <w:p>
                  <w:pPr>
                    <w:pStyle w:val="58"/>
                    <w:bidi w:val="0"/>
                  </w:pPr>
                  <w:r>
                    <w:t>SO</w:t>
                  </w:r>
                  <w:r>
                    <w:rPr>
                      <w:vertAlign w:val="subscript"/>
                    </w:rPr>
                    <w:t>2</w:t>
                  </w:r>
                </w:p>
              </w:tc>
              <w:tc>
                <w:tcPr>
                  <w:tcW w:w="983" w:type="pct"/>
                  <w:noWrap w:val="0"/>
                  <w:vAlign w:val="center"/>
                </w:tcPr>
                <w:p>
                  <w:pPr>
                    <w:pStyle w:val="58"/>
                    <w:bidi w:val="0"/>
                  </w:pPr>
                  <w:r>
                    <w:t>CO</w:t>
                  </w:r>
                </w:p>
              </w:tc>
              <w:tc>
                <w:tcPr>
                  <w:tcW w:w="810" w:type="pct"/>
                  <w:noWrap w:val="0"/>
                  <w:vAlign w:val="center"/>
                </w:tcPr>
                <w:p>
                  <w:pPr>
                    <w:pStyle w:val="58"/>
                    <w:bidi w:val="0"/>
                    <w:rPr>
                      <w:rFonts w:hint="eastAsia" w:eastAsia="宋体"/>
                      <w:lang w:val="en-US" w:eastAsia="zh-CN"/>
                    </w:rPr>
                  </w:pPr>
                  <w:r>
                    <w:t>NO</w:t>
                  </w:r>
                  <w:r>
                    <w:rPr>
                      <w:rFonts w:hint="eastAsia"/>
                      <w:vertAlign w:val="subscript"/>
                      <w:lang w:val="en-US" w:eastAsia="zh-CN"/>
                    </w:rPr>
                    <w:t>X</w:t>
                  </w:r>
                </w:p>
              </w:tc>
              <w:tc>
                <w:tcPr>
                  <w:tcW w:w="1156" w:type="pct"/>
                  <w:noWrap w:val="0"/>
                  <w:vAlign w:val="center"/>
                </w:tcPr>
                <w:p>
                  <w:pPr>
                    <w:pStyle w:val="58"/>
                    <w:bidi w:val="0"/>
                  </w:pPr>
                  <w:r>
                    <w:t>碳氢化合物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48" w:type="pct"/>
                  <w:noWrap w:val="0"/>
                  <w:vAlign w:val="center"/>
                </w:tcPr>
                <w:p>
                  <w:pPr>
                    <w:pStyle w:val="58"/>
                    <w:bidi w:val="0"/>
                  </w:pPr>
                  <w:r>
                    <w:t>排放量（kg</w:t>
                  </w:r>
                  <w:r>
                    <w:rPr>
                      <w:rFonts w:hint="eastAsia"/>
                    </w:rPr>
                    <w:t>/t</w:t>
                  </w:r>
                  <w:r>
                    <w:t>）</w:t>
                  </w:r>
                </w:p>
              </w:tc>
              <w:tc>
                <w:tcPr>
                  <w:tcW w:w="901" w:type="pct"/>
                  <w:noWrap w:val="0"/>
                  <w:vAlign w:val="center"/>
                </w:tcPr>
                <w:p>
                  <w:pPr>
                    <w:pStyle w:val="58"/>
                    <w:bidi w:val="0"/>
                  </w:pPr>
                  <w:r>
                    <w:t>3.522</w:t>
                  </w:r>
                </w:p>
              </w:tc>
              <w:tc>
                <w:tcPr>
                  <w:tcW w:w="983" w:type="pct"/>
                  <w:noWrap w:val="0"/>
                  <w:vAlign w:val="center"/>
                </w:tcPr>
                <w:p>
                  <w:pPr>
                    <w:pStyle w:val="58"/>
                    <w:bidi w:val="0"/>
                  </w:pPr>
                  <w:r>
                    <w:t>29.349</w:t>
                  </w:r>
                </w:p>
              </w:tc>
              <w:tc>
                <w:tcPr>
                  <w:tcW w:w="810" w:type="pct"/>
                  <w:noWrap w:val="0"/>
                  <w:vAlign w:val="center"/>
                </w:tcPr>
                <w:p>
                  <w:pPr>
                    <w:pStyle w:val="58"/>
                    <w:bidi w:val="0"/>
                  </w:pPr>
                  <w:r>
                    <w:t>48.263</w:t>
                  </w:r>
                </w:p>
              </w:tc>
              <w:tc>
                <w:tcPr>
                  <w:tcW w:w="1156" w:type="pct"/>
                  <w:noWrap w:val="0"/>
                  <w:vAlign w:val="center"/>
                </w:tcPr>
                <w:p>
                  <w:pPr>
                    <w:pStyle w:val="58"/>
                    <w:bidi w:val="0"/>
                  </w:pPr>
                  <w:r>
                    <w:t>4.826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48" w:type="pct"/>
                  <w:noWrap w:val="0"/>
                  <w:vAlign w:val="center"/>
                </w:tcPr>
                <w:p>
                  <w:pPr>
                    <w:pStyle w:val="58"/>
                    <w:bidi w:val="0"/>
                    <w:rPr>
                      <w:rFonts w:hint="eastAsia"/>
                    </w:rPr>
                  </w:pPr>
                  <w:r>
                    <w:rPr>
                      <w:rFonts w:hint="eastAsia"/>
                    </w:rPr>
                    <w:t>探矿期内</w:t>
                  </w:r>
                  <w:r>
                    <w:t>（kg）</w:t>
                  </w:r>
                </w:p>
              </w:tc>
              <w:tc>
                <w:tcPr>
                  <w:tcW w:w="901" w:type="pct"/>
                  <w:noWrap w:val="0"/>
                  <w:vAlign w:val="center"/>
                </w:tcPr>
                <w:p>
                  <w:pPr>
                    <w:pStyle w:val="58"/>
                    <w:bidi w:val="0"/>
                    <w:rPr>
                      <w:rFonts w:hint="default"/>
                      <w:lang w:val="en-US" w:eastAsia="zh-CN"/>
                    </w:rPr>
                  </w:pPr>
                  <w:r>
                    <w:rPr>
                      <w:rFonts w:hint="eastAsia"/>
                      <w:lang w:val="en-US" w:eastAsia="zh-CN"/>
                    </w:rPr>
                    <w:t>35.22</w:t>
                  </w:r>
                </w:p>
              </w:tc>
              <w:tc>
                <w:tcPr>
                  <w:tcW w:w="983" w:type="pct"/>
                  <w:noWrap w:val="0"/>
                  <w:vAlign w:val="center"/>
                </w:tcPr>
                <w:p>
                  <w:pPr>
                    <w:pStyle w:val="58"/>
                    <w:bidi w:val="0"/>
                    <w:jc w:val="center"/>
                    <w:rPr>
                      <w:rFonts w:hint="default"/>
                      <w:lang w:val="en-US" w:eastAsia="zh-CN"/>
                    </w:rPr>
                  </w:pPr>
                  <w:r>
                    <w:rPr>
                      <w:rFonts w:hint="eastAsia"/>
                      <w:lang w:val="en-US" w:eastAsia="zh-CN"/>
                    </w:rPr>
                    <w:t>293.49</w:t>
                  </w:r>
                </w:p>
              </w:tc>
              <w:tc>
                <w:tcPr>
                  <w:tcW w:w="810" w:type="pct"/>
                  <w:noWrap w:val="0"/>
                  <w:vAlign w:val="center"/>
                </w:tcPr>
                <w:p>
                  <w:pPr>
                    <w:jc w:val="center"/>
                    <w:rPr>
                      <w:rFonts w:hint="default" w:eastAsia="宋体"/>
                      <w:lang w:val="en-US" w:eastAsia="zh-CN"/>
                    </w:rPr>
                  </w:pPr>
                  <w:r>
                    <w:rPr>
                      <w:rFonts w:hint="eastAsia"/>
                      <w:lang w:val="en-US" w:eastAsia="zh-CN"/>
                    </w:rPr>
                    <w:t>482.63</w:t>
                  </w:r>
                </w:p>
              </w:tc>
              <w:tc>
                <w:tcPr>
                  <w:tcW w:w="1156" w:type="pct"/>
                  <w:noWrap w:val="0"/>
                  <w:vAlign w:val="center"/>
                </w:tcPr>
                <w:p>
                  <w:pPr>
                    <w:pStyle w:val="58"/>
                    <w:bidi w:val="0"/>
                    <w:rPr>
                      <w:rFonts w:hint="default" w:eastAsia="宋体"/>
                      <w:lang w:val="en-US" w:eastAsia="zh-CN"/>
                    </w:rPr>
                  </w:pPr>
                  <w:r>
                    <w:rPr>
                      <w:rFonts w:hint="eastAsia"/>
                      <w:lang w:val="en-US" w:eastAsia="zh-CN"/>
                    </w:rPr>
                    <w:t>48.26</w:t>
                  </w:r>
                </w:p>
              </w:tc>
            </w:tr>
          </w:tbl>
          <w:p>
            <w:pPr>
              <w:pStyle w:val="50"/>
              <w:bidi w:val="0"/>
              <w:rPr>
                <w:rFonts w:hint="default"/>
                <w:lang w:val="en-US" w:eastAsia="zh-CN"/>
              </w:rPr>
            </w:pPr>
            <w:r>
              <w:rPr>
                <w:rFonts w:hint="eastAsia"/>
                <w:lang w:val="en-US" w:eastAsia="zh-CN"/>
              </w:rPr>
              <w:t>3.废水环境影响分析</w:t>
            </w:r>
          </w:p>
          <w:p>
            <w:pPr>
              <w:pStyle w:val="48"/>
              <w:bidi w:val="0"/>
              <w:rPr>
                <w:rFonts w:hint="eastAsia"/>
              </w:rPr>
            </w:pPr>
            <w:r>
              <w:rPr>
                <w:rFonts w:hint="eastAsia"/>
              </w:rPr>
              <w:t>（1）生活污水</w:t>
            </w:r>
          </w:p>
          <w:p>
            <w:pPr>
              <w:pStyle w:val="48"/>
              <w:bidi w:val="0"/>
              <w:rPr>
                <w:rFonts w:hint="default" w:ascii="Times New Roman" w:hAnsi="Times New Roman" w:eastAsia="宋体" w:cs="宋体"/>
                <w:shd w:val="clear" w:color="auto" w:fill="auto"/>
                <w:lang w:val="en-US" w:eastAsia="zh-CN"/>
              </w:rPr>
            </w:pPr>
            <w:r>
              <w:rPr>
                <w:rFonts w:hint="eastAsia"/>
              </w:rPr>
              <w:t>本次探矿野外作业人员约</w:t>
            </w:r>
            <w:r>
              <w:rPr>
                <w:rFonts w:hint="eastAsia"/>
                <w:lang w:val="en-US" w:eastAsia="zh-CN"/>
              </w:rPr>
              <w:t>14</w:t>
            </w:r>
            <w:r>
              <w:rPr>
                <w:rFonts w:hint="eastAsia"/>
              </w:rPr>
              <w:t>人。勘探人员日常洗漱</w:t>
            </w:r>
            <w:r>
              <w:rPr>
                <w:rFonts w:hint="eastAsia"/>
                <w:lang w:val="en-US" w:eastAsia="zh-CN"/>
              </w:rPr>
              <w:t>和</w:t>
            </w:r>
            <w:r>
              <w:rPr>
                <w:rFonts w:hint="eastAsia"/>
              </w:rPr>
              <w:t>生活所产生的污水间断排放，主要含COD、BOD</w:t>
            </w:r>
            <w:r>
              <w:rPr>
                <w:rFonts w:hint="eastAsia"/>
                <w:vertAlign w:val="subscript"/>
              </w:rPr>
              <w:t>5</w:t>
            </w:r>
            <w:r>
              <w:rPr>
                <w:rFonts w:hint="eastAsia"/>
              </w:rPr>
              <w:t>、SS等污染物</w:t>
            </w:r>
            <w:r>
              <w:rPr>
                <w:rFonts w:hint="eastAsia"/>
                <w:lang w:eastAsia="zh-CN"/>
              </w:rPr>
              <w:t>，</w:t>
            </w:r>
            <w:r>
              <w:rPr>
                <w:rFonts w:hint="eastAsia"/>
                <w:lang w:val="en-US" w:eastAsia="zh-CN"/>
              </w:rPr>
              <w:t>勘探</w:t>
            </w:r>
            <w:r>
              <w:rPr>
                <w:rFonts w:hint="eastAsia"/>
              </w:rPr>
              <w:t>期内共产生生活污水</w:t>
            </w:r>
            <w:r>
              <w:rPr>
                <w:rFonts w:hint="eastAsia"/>
                <w:lang w:val="en-US" w:eastAsia="zh-CN"/>
              </w:rPr>
              <w:t>252</w:t>
            </w:r>
            <w:r>
              <w:rPr>
                <w:rFonts w:hint="eastAsia"/>
              </w:rPr>
              <w:t>m</w:t>
            </w:r>
            <w:r>
              <w:rPr>
                <w:rFonts w:hint="eastAsia"/>
                <w:vertAlign w:val="superscript"/>
              </w:rPr>
              <w:t>3</w:t>
            </w:r>
            <w:r>
              <w:rPr>
                <w:rFonts w:hint="eastAsia"/>
              </w:rPr>
              <w:t>。生活污水包括粪便污水</w:t>
            </w:r>
            <w:r>
              <w:rPr>
                <w:rFonts w:hint="eastAsia"/>
                <w:lang w:val="en-US" w:eastAsia="zh-CN"/>
              </w:rPr>
              <w:t>和洗漱用水</w:t>
            </w:r>
            <w:r>
              <w:rPr>
                <w:rFonts w:hint="eastAsia"/>
              </w:rPr>
              <w:t>等，类比一般生活污水污染物产生浓度，主要污染物中COD、BOD</w:t>
            </w:r>
            <w:r>
              <w:rPr>
                <w:rFonts w:hint="eastAsia"/>
                <w:vertAlign w:val="subscript"/>
                <w:lang w:val="en-US" w:eastAsia="zh-CN"/>
              </w:rPr>
              <w:t>5</w:t>
            </w:r>
            <w:r>
              <w:rPr>
                <w:rFonts w:hint="eastAsia"/>
              </w:rPr>
              <w:t>、SS、NH</w:t>
            </w:r>
            <w:r>
              <w:rPr>
                <w:rFonts w:hint="eastAsia"/>
                <w:vertAlign w:val="subscript"/>
                <w:lang w:val="en-US" w:eastAsia="zh-CN"/>
              </w:rPr>
              <w:t>4</w:t>
            </w:r>
            <w:r>
              <w:rPr>
                <w:rFonts w:hint="eastAsia"/>
              </w:rPr>
              <w:t>-N、动植物油的排放浓度分别为</w:t>
            </w:r>
            <w:r>
              <w:rPr>
                <w:rFonts w:hint="eastAsia"/>
                <w:lang w:eastAsia="zh-CN"/>
              </w:rPr>
              <w:t>：</w:t>
            </w:r>
            <w:r>
              <w:rPr>
                <w:rFonts w:hint="eastAsia"/>
              </w:rPr>
              <w:t>320mg/m</w:t>
            </w:r>
            <w:r>
              <w:rPr>
                <w:rFonts w:hint="eastAsia"/>
                <w:vertAlign w:val="superscript"/>
              </w:rPr>
              <w:t>3</w:t>
            </w:r>
            <w:r>
              <w:rPr>
                <w:rFonts w:hint="eastAsia"/>
                <w:lang w:eastAsia="zh-CN"/>
              </w:rPr>
              <w:t>、</w:t>
            </w:r>
            <w:r>
              <w:rPr>
                <w:rFonts w:hint="eastAsia"/>
              </w:rPr>
              <w:t>200mg/m</w:t>
            </w:r>
            <w:r>
              <w:rPr>
                <w:rFonts w:hint="eastAsia"/>
                <w:vertAlign w:val="superscript"/>
              </w:rPr>
              <w:t>3</w:t>
            </w:r>
            <w:r>
              <w:rPr>
                <w:rFonts w:hint="eastAsia"/>
              </w:rPr>
              <w:t>、360mg/m</w:t>
            </w:r>
            <w:r>
              <w:rPr>
                <w:rFonts w:hint="eastAsia"/>
                <w:vertAlign w:val="superscript"/>
              </w:rPr>
              <w:t>3</w:t>
            </w:r>
            <w:r>
              <w:rPr>
                <w:rFonts w:hint="eastAsia"/>
              </w:rPr>
              <w:t>、25mg/m</w:t>
            </w:r>
            <w:r>
              <w:rPr>
                <w:rFonts w:hint="eastAsia"/>
                <w:vertAlign w:val="superscript"/>
              </w:rPr>
              <w:t>3</w:t>
            </w:r>
            <w:r>
              <w:rPr>
                <w:rFonts w:hint="eastAsia"/>
              </w:rPr>
              <w:t>、30mg/m</w:t>
            </w:r>
            <w:r>
              <w:rPr>
                <w:rFonts w:hint="eastAsia"/>
                <w:vertAlign w:val="superscript"/>
              </w:rPr>
              <w:t>3</w:t>
            </w:r>
            <w:r>
              <w:rPr>
                <w:rFonts w:hint="eastAsia"/>
              </w:rPr>
              <w:t>。</w:t>
            </w:r>
            <w:r>
              <w:rPr>
                <w:rFonts w:hint="eastAsia"/>
                <w:shd w:val="clear" w:color="auto" w:fill="auto"/>
                <w:lang w:val="en-US" w:eastAsia="zh-CN"/>
              </w:rPr>
              <w:t>生活污水排入一体化污水处理设施处理达标后，其出水标准可达到《农村生活污水处理排放标准》（DB654275-2019）表2中C级标准，用于洒水绿化，不外排，不与地表水体发生水力联系，对周围环境影</w:t>
            </w:r>
            <w:r>
              <w:rPr>
                <w:rFonts w:hint="eastAsia" w:ascii="Times New Roman" w:hAnsi="Times New Roman" w:eastAsia="宋体" w:cs="宋体"/>
                <w:shd w:val="clear" w:color="auto" w:fill="auto"/>
                <w:lang w:val="en-US" w:eastAsia="zh-CN"/>
              </w:rPr>
              <w:t>响较小。</w:t>
            </w:r>
          </w:p>
          <w:p>
            <w:pPr>
              <w:pStyle w:val="48"/>
              <w:bidi w:val="0"/>
              <w:rPr>
                <w:rFonts w:hint="eastAsia"/>
                <w:lang w:val="en-US" w:eastAsia="zh-CN"/>
              </w:rPr>
            </w:pPr>
            <w:r>
              <w:rPr>
                <w:rFonts w:hint="eastAsia"/>
                <w:lang w:eastAsia="zh-CN"/>
              </w:rPr>
              <w:t>（</w:t>
            </w:r>
            <w:r>
              <w:rPr>
                <w:rFonts w:hint="eastAsia"/>
                <w:lang w:val="en-US" w:eastAsia="zh-CN"/>
              </w:rPr>
              <w:t>2）钻井设备冲洗水</w:t>
            </w:r>
          </w:p>
          <w:p>
            <w:pPr>
              <w:pStyle w:val="48"/>
              <w:bidi w:val="0"/>
              <w:rPr>
                <w:rFonts w:hint="eastAsia"/>
                <w:lang w:val="en-US" w:eastAsia="zh-CN"/>
              </w:rPr>
            </w:pPr>
            <w:r>
              <w:rPr>
                <w:rFonts w:hint="eastAsia"/>
                <w:lang w:val="en-US" w:eastAsia="zh-CN"/>
              </w:rPr>
              <w:t>项目钻探过程中使用的钻井设备需清洗，设备冲洗水经沉淀池处理后蒸发逸散、不外排。</w:t>
            </w:r>
          </w:p>
          <w:p>
            <w:pPr>
              <w:pStyle w:val="48"/>
              <w:numPr>
                <w:ilvl w:val="0"/>
                <w:numId w:val="0"/>
              </w:numPr>
              <w:bidi w:val="0"/>
              <w:ind w:left="0" w:leftChars="0" w:firstLine="480" w:firstLineChars="200"/>
              <w:rPr>
                <w:rFonts w:hint="eastAsia"/>
                <w:highlight w:val="none"/>
                <w:lang w:val="en-US" w:eastAsia="zh-CN"/>
              </w:rPr>
            </w:pPr>
            <w:r>
              <w:rPr>
                <w:rFonts w:hint="eastAsia" w:ascii="Times New Roman" w:hAnsi="Times New Roman" w:eastAsia="宋体" w:cs="宋体"/>
                <w:kern w:val="0"/>
                <w:sz w:val="24"/>
                <w:szCs w:val="24"/>
                <w:highlight w:val="none"/>
                <w:lang w:val="en-US" w:eastAsia="zh-CN" w:bidi="ar-SA"/>
              </w:rPr>
              <w:t>（3）</w:t>
            </w:r>
            <w:r>
              <w:rPr>
                <w:rFonts w:hint="eastAsia"/>
                <w:highlight w:val="none"/>
                <w:lang w:val="en-US" w:eastAsia="zh-CN"/>
              </w:rPr>
              <w:t>泥浆废水</w:t>
            </w:r>
          </w:p>
          <w:p>
            <w:pPr>
              <w:pStyle w:val="48"/>
              <w:bidi w:val="0"/>
              <w:rPr>
                <w:rFonts w:hint="default"/>
                <w:lang w:val="en-US" w:eastAsia="zh-CN"/>
              </w:rPr>
            </w:pPr>
            <w:r>
              <w:rPr>
                <w:rFonts w:hint="eastAsia"/>
                <w:lang w:val="en-US" w:eastAsia="zh-CN"/>
              </w:rPr>
              <w:t>泥浆废水经防渗沉淀池处理后回用于钻孔泥浆配制，循环使用，不外排。</w:t>
            </w:r>
          </w:p>
          <w:p>
            <w:pPr>
              <w:pStyle w:val="50"/>
              <w:bidi w:val="0"/>
              <w:rPr>
                <w:rFonts w:hint="default"/>
                <w:lang w:val="en-US" w:eastAsia="zh-CN"/>
              </w:rPr>
            </w:pPr>
            <w:r>
              <w:rPr>
                <w:rFonts w:hint="eastAsia"/>
                <w:lang w:val="en-US" w:eastAsia="zh-CN"/>
              </w:rPr>
              <w:t>4.</w:t>
            </w:r>
            <w:r>
              <w:rPr>
                <w:rFonts w:hint="default"/>
                <w:lang w:val="en-US" w:eastAsia="zh-CN"/>
              </w:rPr>
              <w:t>噪声</w:t>
            </w:r>
            <w:r>
              <w:rPr>
                <w:rFonts w:hint="eastAsia"/>
                <w:lang w:val="en-US" w:eastAsia="zh-CN"/>
              </w:rPr>
              <w:t>环境影响分析</w:t>
            </w:r>
          </w:p>
          <w:p>
            <w:pPr>
              <w:pStyle w:val="48"/>
              <w:bidi w:val="0"/>
            </w:pPr>
            <w:r>
              <w:rPr>
                <w:rFonts w:hint="eastAsia"/>
              </w:rPr>
              <w:t>根据工程分析可知，</w:t>
            </w:r>
            <w:r>
              <w:rPr>
                <w:rFonts w:hint="eastAsia"/>
                <w:lang w:val="en-US" w:eastAsia="zh-CN"/>
              </w:rPr>
              <w:t>勘探</w:t>
            </w:r>
            <w:r>
              <w:rPr>
                <w:rFonts w:hint="eastAsia"/>
              </w:rPr>
              <w:t>期的噪声来自施工作业噪声、机械噪声和施工车辆噪声，噪声源强一般为</w:t>
            </w:r>
            <w:r>
              <w:rPr>
                <w:rFonts w:hint="eastAsia"/>
                <w:lang w:val="en-US" w:eastAsia="zh-CN"/>
              </w:rPr>
              <w:t>68</w:t>
            </w:r>
            <w:r>
              <w:rPr>
                <w:rFonts w:hint="eastAsia"/>
              </w:rPr>
              <w:t>~</w:t>
            </w:r>
            <w:r>
              <w:rPr>
                <w:rFonts w:hint="eastAsia"/>
                <w:lang w:val="en-US" w:eastAsia="zh-CN"/>
              </w:rPr>
              <w:t>80</w:t>
            </w:r>
            <w:r>
              <w:t>dB</w:t>
            </w:r>
            <w:r>
              <w:rPr>
                <w:rFonts w:hint="eastAsia"/>
                <w:lang w:eastAsia="zh-CN"/>
              </w:rPr>
              <w:t>（</w:t>
            </w:r>
            <w:r>
              <w:t>A</w:t>
            </w:r>
            <w:r>
              <w:rPr>
                <w:rFonts w:hint="eastAsia"/>
                <w:lang w:eastAsia="zh-CN"/>
              </w:rPr>
              <w:t>）</w:t>
            </w:r>
            <w:r>
              <w:rPr>
                <w:rFonts w:hint="eastAsia"/>
              </w:rPr>
              <w:t>，特点为暂时的短期间歇性行为，无规律性。</w:t>
            </w:r>
          </w:p>
          <w:p>
            <w:pPr>
              <w:pStyle w:val="48"/>
              <w:bidi w:val="0"/>
            </w:pPr>
            <w:r>
              <w:rPr>
                <w:rFonts w:hint="eastAsia"/>
                <w:lang w:eastAsia="zh-CN"/>
              </w:rPr>
              <w:t>（</w:t>
            </w:r>
            <w:r>
              <w:rPr>
                <w:rFonts w:hint="eastAsia"/>
                <w:lang w:val="en-US" w:eastAsia="zh-CN"/>
              </w:rPr>
              <w:t>1</w:t>
            </w:r>
            <w:r>
              <w:rPr>
                <w:rFonts w:hint="eastAsia"/>
                <w:lang w:eastAsia="zh-CN"/>
              </w:rPr>
              <w:t>）</w:t>
            </w:r>
            <w:r>
              <w:rPr>
                <w:rFonts w:hint="eastAsia"/>
                <w:lang w:val="en-US" w:eastAsia="zh-CN"/>
              </w:rPr>
              <w:t>勘探</w:t>
            </w:r>
            <w:r>
              <w:rPr>
                <w:rFonts w:hint="eastAsia"/>
              </w:rPr>
              <w:t>期施工噪声预测</w:t>
            </w:r>
          </w:p>
          <w:p>
            <w:pPr>
              <w:pStyle w:val="48"/>
              <w:bidi w:val="0"/>
            </w:pPr>
            <w:r>
              <w:rPr>
                <w:rFonts w:hint="eastAsia"/>
                <w:lang w:val="en-US" w:eastAsia="zh-CN"/>
              </w:rPr>
              <w:t>勘探</w:t>
            </w:r>
            <w:r>
              <w:rPr>
                <w:rFonts w:hint="eastAsia"/>
              </w:rPr>
              <w:t>期施工噪声可近似视为点声源处理，其衰减模式如下：</w:t>
            </w:r>
          </w:p>
          <w:p>
            <w:pPr>
              <w:pStyle w:val="48"/>
              <w:bidi w:val="0"/>
            </w:pPr>
            <w:r>
              <w:rPr>
                <w:rFonts w:hint="eastAsia"/>
              </w:rPr>
              <w:t>Lp=Lpo-20Lg</w:t>
            </w:r>
            <w:r>
              <w:rPr>
                <w:rFonts w:hint="eastAsia"/>
                <w:lang w:eastAsia="zh-CN"/>
              </w:rPr>
              <w:t>（</w:t>
            </w:r>
            <w:r>
              <w:rPr>
                <w:rFonts w:hint="eastAsia"/>
              </w:rPr>
              <w:t>r/ro</w:t>
            </w:r>
            <w:r>
              <w:rPr>
                <w:rFonts w:hint="eastAsia"/>
                <w:lang w:eastAsia="zh-CN"/>
              </w:rPr>
              <w:t>）</w:t>
            </w:r>
            <w:r>
              <w:rPr>
                <w:rFonts w:hint="eastAsia"/>
              </w:rPr>
              <w:t>－△L</w:t>
            </w:r>
          </w:p>
          <w:p>
            <w:pPr>
              <w:pStyle w:val="48"/>
              <w:bidi w:val="0"/>
            </w:pPr>
            <w:r>
              <w:rPr>
                <w:rFonts w:hint="eastAsia"/>
              </w:rPr>
              <w:t>式中：Lp——距声源rm处的施工噪声预测值，dB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rPr>
              <w:t xml:space="preserve">      Lpo——距声源rom处的参考声级，dB</w:t>
            </w:r>
            <w:r>
              <w:rPr>
                <w:rFonts w:hint="eastAsia"/>
                <w:lang w:eastAsia="zh-CN"/>
              </w:rPr>
              <w:t>（</w:t>
            </w:r>
            <w:r>
              <w:rPr>
                <w:rFonts w:hint="eastAsia"/>
              </w:rPr>
              <w:t>A</w:t>
            </w:r>
            <w:r>
              <w:rPr>
                <w:rFonts w:hint="eastAsia"/>
                <w:lang w:eastAsia="zh-CN"/>
              </w:rPr>
              <w:t>）</w:t>
            </w:r>
            <w:r>
              <w:rPr>
                <w:rFonts w:hint="eastAsia"/>
              </w:rPr>
              <w:t>；</w:t>
            </w:r>
          </w:p>
          <w:p>
            <w:pPr>
              <w:pStyle w:val="48"/>
              <w:bidi w:val="0"/>
              <w:ind w:firstLine="1200" w:firstLineChars="500"/>
            </w:pPr>
            <w:r>
              <w:rPr>
                <w:rFonts w:hint="eastAsia"/>
              </w:rPr>
              <w:t>ro——Lpo噪声的测点距离（1m），m；</w:t>
            </w:r>
          </w:p>
          <w:p>
            <w:pPr>
              <w:pStyle w:val="48"/>
              <w:bidi w:val="0"/>
              <w:ind w:firstLine="1200" w:firstLineChars="500"/>
            </w:pPr>
            <w:r>
              <w:rPr>
                <w:rFonts w:hint="eastAsia"/>
              </w:rPr>
              <w:t>△L——采取各种措施后的噪声衰减量，dB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lang w:val="en-US" w:eastAsia="zh-CN"/>
              </w:rPr>
              <w:t>勘探</w:t>
            </w:r>
            <w:r>
              <w:rPr>
                <w:rFonts w:hint="eastAsia"/>
              </w:rPr>
              <w:t>期主要噪声源主要为施工机械产生的噪声。</w:t>
            </w:r>
          </w:p>
          <w:p>
            <w:pPr>
              <w:pStyle w:val="48"/>
              <w:bidi w:val="0"/>
            </w:pPr>
            <w:r>
              <w:rPr>
                <w:rFonts w:hint="eastAsia"/>
                <w:lang w:eastAsia="zh-CN"/>
              </w:rPr>
              <w:t>（</w:t>
            </w:r>
            <w:r>
              <w:rPr>
                <w:rFonts w:hint="eastAsia"/>
                <w:lang w:val="en-US" w:eastAsia="zh-CN"/>
              </w:rPr>
              <w:t>2</w:t>
            </w:r>
            <w:r>
              <w:rPr>
                <w:rFonts w:hint="eastAsia"/>
                <w:lang w:eastAsia="zh-CN"/>
              </w:rPr>
              <w:t>）</w:t>
            </w:r>
            <w:r>
              <w:rPr>
                <w:rFonts w:hint="eastAsia"/>
                <w:lang w:val="en-US" w:eastAsia="zh-CN"/>
              </w:rPr>
              <w:t>勘探</w:t>
            </w:r>
            <w:r>
              <w:rPr>
                <w:rFonts w:hint="eastAsia"/>
              </w:rPr>
              <w:t>期噪声预测结果及分析</w:t>
            </w:r>
          </w:p>
          <w:p>
            <w:pPr>
              <w:pStyle w:val="48"/>
              <w:bidi w:val="0"/>
            </w:pPr>
            <w:r>
              <w:rPr>
                <w:rFonts w:hint="eastAsia"/>
              </w:rPr>
              <w:t>①预测结果</w:t>
            </w:r>
          </w:p>
          <w:p>
            <w:pPr>
              <w:pStyle w:val="48"/>
              <w:bidi w:val="0"/>
            </w:pPr>
            <w:r>
              <w:rPr>
                <w:rFonts w:hint="eastAsia"/>
              </w:rPr>
              <w:t>运用上式对</w:t>
            </w:r>
            <w:r>
              <w:rPr>
                <w:rFonts w:hint="eastAsia"/>
                <w:lang w:val="en-US" w:eastAsia="zh-CN"/>
              </w:rPr>
              <w:t>勘探过程中</w:t>
            </w:r>
            <w:r>
              <w:rPr>
                <w:rFonts w:hint="eastAsia"/>
              </w:rPr>
              <w:t>机械噪声的环境影响进行预测计算，其结果如表</w:t>
            </w:r>
            <w:r>
              <w:rPr>
                <w:rFonts w:hint="eastAsia"/>
                <w:lang w:val="en-US" w:eastAsia="zh-CN"/>
              </w:rPr>
              <w:t>4-4</w:t>
            </w:r>
            <w:r>
              <w:rPr>
                <w:rFonts w:hint="eastAsia"/>
              </w:rPr>
              <w:t>所示。</w:t>
            </w:r>
          </w:p>
          <w:p>
            <w:pPr>
              <w:pStyle w:val="52"/>
              <w:bidi w:val="0"/>
              <w:rPr>
                <w:highlight w:val="none"/>
              </w:rPr>
            </w:pPr>
            <w:r>
              <w:rPr>
                <w:rFonts w:hint="default"/>
                <w:highlight w:val="none"/>
              </w:rPr>
              <w:t>表</w:t>
            </w:r>
            <w:r>
              <w:rPr>
                <w:rFonts w:hint="default"/>
                <w:highlight w:val="none"/>
                <w:lang w:val="en-US" w:eastAsia="zh-CN"/>
              </w:rPr>
              <w:t>4-</w:t>
            </w:r>
            <w:r>
              <w:rPr>
                <w:rFonts w:hint="eastAsia"/>
                <w:highlight w:val="none"/>
                <w:lang w:val="en-US" w:eastAsia="zh-CN"/>
              </w:rPr>
              <w:t>4</w:t>
            </w:r>
            <w:r>
              <w:rPr>
                <w:rFonts w:hint="default"/>
                <w:highlight w:val="none"/>
              </w:rPr>
              <w:t xml:space="preserve">  </w:t>
            </w:r>
            <w:r>
              <w:rPr>
                <w:rFonts w:hint="eastAsia"/>
                <w:highlight w:val="none"/>
                <w:lang w:val="en-US" w:eastAsia="zh-CN"/>
              </w:rPr>
              <w:t xml:space="preserve"> </w:t>
            </w:r>
            <w:r>
              <w:rPr>
                <w:rFonts w:hint="default"/>
                <w:highlight w:val="none"/>
              </w:rPr>
              <w:t xml:space="preserve"> 项目主要</w:t>
            </w:r>
            <w:r>
              <w:rPr>
                <w:rFonts w:hint="eastAsia"/>
                <w:highlight w:val="none"/>
              </w:rPr>
              <w:t>机械在不同距离处的噪声预测值</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485"/>
              <w:gridCol w:w="590"/>
              <w:gridCol w:w="590"/>
              <w:gridCol w:w="590"/>
              <w:gridCol w:w="590"/>
              <w:gridCol w:w="695"/>
              <w:gridCol w:w="695"/>
              <w:gridCol w:w="695"/>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50" w:type="pct"/>
                  <w:vMerge w:val="restart"/>
                  <w:noWrap w:val="0"/>
                  <w:vAlign w:val="center"/>
                </w:tcPr>
                <w:p>
                  <w:pPr>
                    <w:pStyle w:val="58"/>
                    <w:bidi w:val="0"/>
                    <w:rPr>
                      <w:rFonts w:hint="default"/>
                    </w:rPr>
                  </w:pPr>
                  <w:r>
                    <w:rPr>
                      <w:rFonts w:hint="default"/>
                    </w:rPr>
                    <w:t>机械类型</w:t>
                  </w:r>
                </w:p>
              </w:tc>
              <w:tc>
                <w:tcPr>
                  <w:tcW w:w="3949" w:type="pct"/>
                  <w:gridSpan w:val="10"/>
                  <w:noWrap w:val="0"/>
                  <w:vAlign w:val="center"/>
                </w:tcPr>
                <w:p>
                  <w:pPr>
                    <w:pStyle w:val="58"/>
                    <w:bidi w:val="0"/>
                    <w:rPr>
                      <w:rFonts w:hint="default"/>
                    </w:rPr>
                  </w:pPr>
                  <w:r>
                    <w:rPr>
                      <w:rFonts w:hint="default"/>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50" w:type="pct"/>
                  <w:vMerge w:val="continue"/>
                  <w:noWrap w:val="0"/>
                  <w:vAlign w:val="center"/>
                </w:tcPr>
                <w:p>
                  <w:pPr>
                    <w:pStyle w:val="58"/>
                    <w:bidi w:val="0"/>
                    <w:rPr>
                      <w:rFonts w:hint="default"/>
                    </w:rPr>
                  </w:pPr>
                </w:p>
              </w:tc>
              <w:tc>
                <w:tcPr>
                  <w:tcW w:w="299" w:type="pct"/>
                  <w:noWrap w:val="0"/>
                  <w:vAlign w:val="center"/>
                </w:tcPr>
                <w:p>
                  <w:pPr>
                    <w:pStyle w:val="58"/>
                    <w:bidi w:val="0"/>
                    <w:rPr>
                      <w:rFonts w:hint="default"/>
                    </w:rPr>
                  </w:pPr>
                  <w:r>
                    <w:rPr>
                      <w:rFonts w:hint="default"/>
                    </w:rPr>
                    <w:t>5m</w:t>
                  </w:r>
                </w:p>
              </w:tc>
              <w:tc>
                <w:tcPr>
                  <w:tcW w:w="366" w:type="pct"/>
                  <w:noWrap w:val="0"/>
                  <w:vAlign w:val="center"/>
                </w:tcPr>
                <w:p>
                  <w:pPr>
                    <w:pStyle w:val="58"/>
                    <w:bidi w:val="0"/>
                    <w:rPr>
                      <w:rFonts w:hint="default"/>
                    </w:rPr>
                  </w:pPr>
                  <w:r>
                    <w:rPr>
                      <w:rFonts w:hint="default"/>
                    </w:rPr>
                    <w:t>10m</w:t>
                  </w:r>
                </w:p>
              </w:tc>
              <w:tc>
                <w:tcPr>
                  <w:tcW w:w="366" w:type="pct"/>
                  <w:noWrap w:val="0"/>
                  <w:vAlign w:val="center"/>
                </w:tcPr>
                <w:p>
                  <w:pPr>
                    <w:pStyle w:val="58"/>
                    <w:bidi w:val="0"/>
                    <w:rPr>
                      <w:rFonts w:hint="default"/>
                    </w:rPr>
                  </w:pPr>
                  <w:r>
                    <w:rPr>
                      <w:rFonts w:hint="default"/>
                    </w:rPr>
                    <w:t>20m</w:t>
                  </w:r>
                </w:p>
              </w:tc>
              <w:tc>
                <w:tcPr>
                  <w:tcW w:w="368" w:type="pct"/>
                  <w:noWrap w:val="0"/>
                  <w:vAlign w:val="center"/>
                </w:tcPr>
                <w:p>
                  <w:pPr>
                    <w:pStyle w:val="58"/>
                    <w:bidi w:val="0"/>
                    <w:rPr>
                      <w:rFonts w:hint="default"/>
                    </w:rPr>
                  </w:pPr>
                  <w:r>
                    <w:rPr>
                      <w:rFonts w:hint="default"/>
                    </w:rPr>
                    <w:t>50m</w:t>
                  </w:r>
                </w:p>
              </w:tc>
              <w:tc>
                <w:tcPr>
                  <w:tcW w:w="368" w:type="pct"/>
                  <w:noWrap w:val="0"/>
                  <w:vAlign w:val="center"/>
                </w:tcPr>
                <w:p>
                  <w:pPr>
                    <w:pStyle w:val="58"/>
                    <w:bidi w:val="0"/>
                    <w:rPr>
                      <w:rFonts w:hint="default"/>
                    </w:rPr>
                  </w:pPr>
                  <w:r>
                    <w:rPr>
                      <w:rFonts w:hint="default"/>
                    </w:rPr>
                    <w:t>60m</w:t>
                  </w:r>
                </w:p>
              </w:tc>
              <w:tc>
                <w:tcPr>
                  <w:tcW w:w="432" w:type="pct"/>
                  <w:noWrap w:val="0"/>
                  <w:vAlign w:val="center"/>
                </w:tcPr>
                <w:p>
                  <w:pPr>
                    <w:pStyle w:val="58"/>
                    <w:bidi w:val="0"/>
                    <w:rPr>
                      <w:rFonts w:hint="default"/>
                    </w:rPr>
                  </w:pPr>
                  <w:r>
                    <w:rPr>
                      <w:rFonts w:hint="default"/>
                    </w:rPr>
                    <w:t>100m</w:t>
                  </w:r>
                </w:p>
              </w:tc>
              <w:tc>
                <w:tcPr>
                  <w:tcW w:w="432" w:type="pct"/>
                  <w:noWrap w:val="0"/>
                  <w:vAlign w:val="center"/>
                </w:tcPr>
                <w:p>
                  <w:pPr>
                    <w:pStyle w:val="58"/>
                    <w:bidi w:val="0"/>
                    <w:rPr>
                      <w:rFonts w:hint="default"/>
                    </w:rPr>
                  </w:pPr>
                  <w:r>
                    <w:rPr>
                      <w:rFonts w:hint="default"/>
                    </w:rPr>
                    <w:t>150m</w:t>
                  </w:r>
                </w:p>
              </w:tc>
              <w:tc>
                <w:tcPr>
                  <w:tcW w:w="432" w:type="pct"/>
                  <w:noWrap w:val="0"/>
                  <w:vAlign w:val="center"/>
                </w:tcPr>
                <w:p>
                  <w:pPr>
                    <w:pStyle w:val="58"/>
                    <w:bidi w:val="0"/>
                    <w:rPr>
                      <w:rFonts w:hint="default"/>
                    </w:rPr>
                  </w:pPr>
                  <w:r>
                    <w:rPr>
                      <w:rFonts w:hint="default"/>
                    </w:rPr>
                    <w:t>200m</w:t>
                  </w:r>
                </w:p>
              </w:tc>
              <w:tc>
                <w:tcPr>
                  <w:tcW w:w="432" w:type="pct"/>
                  <w:noWrap w:val="0"/>
                  <w:vAlign w:val="center"/>
                </w:tcPr>
                <w:p>
                  <w:pPr>
                    <w:pStyle w:val="58"/>
                    <w:bidi w:val="0"/>
                    <w:rPr>
                      <w:rFonts w:hint="default"/>
                    </w:rPr>
                  </w:pPr>
                  <w:r>
                    <w:rPr>
                      <w:rFonts w:hint="default"/>
                    </w:rPr>
                    <w:t>300m</w:t>
                  </w:r>
                </w:p>
              </w:tc>
              <w:tc>
                <w:tcPr>
                  <w:tcW w:w="450" w:type="pct"/>
                  <w:noWrap w:val="0"/>
                  <w:vAlign w:val="center"/>
                </w:tcPr>
                <w:p>
                  <w:pPr>
                    <w:pStyle w:val="58"/>
                    <w:bidi w:val="0"/>
                    <w:rPr>
                      <w:rFonts w:hint="default"/>
                    </w:rPr>
                  </w:pPr>
                  <w:r>
                    <w:rPr>
                      <w:rFonts w:hint="default"/>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050" w:type="pct"/>
                  <w:noWrap w:val="0"/>
                  <w:vAlign w:val="center"/>
                </w:tcPr>
                <w:p>
                  <w:pPr>
                    <w:pStyle w:val="58"/>
                    <w:bidi w:val="0"/>
                    <w:rPr>
                      <w:rFonts w:hint="eastAsia"/>
                      <w:lang w:eastAsia="zh-CN"/>
                    </w:rPr>
                  </w:pPr>
                  <w:r>
                    <w:rPr>
                      <w:rFonts w:hint="default"/>
                    </w:rPr>
                    <w:t>运输车辆</w:t>
                  </w:r>
                </w:p>
              </w:tc>
              <w:tc>
                <w:tcPr>
                  <w:tcW w:w="299" w:type="pct"/>
                  <w:noWrap w:val="0"/>
                  <w:vAlign w:val="center"/>
                </w:tcPr>
                <w:p>
                  <w:pPr>
                    <w:pStyle w:val="58"/>
                    <w:bidi w:val="0"/>
                    <w:rPr>
                      <w:rFonts w:hint="default"/>
                    </w:rPr>
                  </w:pPr>
                  <w:r>
                    <w:rPr>
                      <w:rFonts w:hint="default"/>
                    </w:rPr>
                    <w:t>80</w:t>
                  </w:r>
                </w:p>
              </w:tc>
              <w:tc>
                <w:tcPr>
                  <w:tcW w:w="366" w:type="pct"/>
                  <w:noWrap w:val="0"/>
                  <w:vAlign w:val="center"/>
                </w:tcPr>
                <w:p>
                  <w:pPr>
                    <w:pStyle w:val="58"/>
                    <w:bidi w:val="0"/>
                    <w:rPr>
                      <w:rFonts w:hint="default"/>
                    </w:rPr>
                  </w:pPr>
                  <w:r>
                    <w:rPr>
                      <w:rFonts w:hint="default"/>
                    </w:rPr>
                    <w:t>74</w:t>
                  </w:r>
                </w:p>
              </w:tc>
              <w:tc>
                <w:tcPr>
                  <w:tcW w:w="366" w:type="pct"/>
                  <w:noWrap w:val="0"/>
                  <w:vAlign w:val="center"/>
                </w:tcPr>
                <w:p>
                  <w:pPr>
                    <w:pStyle w:val="58"/>
                    <w:bidi w:val="0"/>
                    <w:rPr>
                      <w:rFonts w:hint="default"/>
                    </w:rPr>
                  </w:pPr>
                  <w:r>
                    <w:rPr>
                      <w:rFonts w:hint="default"/>
                    </w:rPr>
                    <w:t>68</w:t>
                  </w:r>
                </w:p>
              </w:tc>
              <w:tc>
                <w:tcPr>
                  <w:tcW w:w="368" w:type="pct"/>
                  <w:noWrap w:val="0"/>
                  <w:vAlign w:val="center"/>
                </w:tcPr>
                <w:p>
                  <w:pPr>
                    <w:pStyle w:val="58"/>
                    <w:bidi w:val="0"/>
                    <w:rPr>
                      <w:rFonts w:hint="default"/>
                    </w:rPr>
                  </w:pPr>
                  <w:r>
                    <w:rPr>
                      <w:rFonts w:hint="default"/>
                    </w:rPr>
                    <w:t>60</w:t>
                  </w:r>
                </w:p>
              </w:tc>
              <w:tc>
                <w:tcPr>
                  <w:tcW w:w="368" w:type="pct"/>
                  <w:noWrap w:val="0"/>
                  <w:vAlign w:val="center"/>
                </w:tcPr>
                <w:p>
                  <w:pPr>
                    <w:pStyle w:val="58"/>
                    <w:bidi w:val="0"/>
                    <w:rPr>
                      <w:rFonts w:hint="default"/>
                    </w:rPr>
                  </w:pPr>
                  <w:r>
                    <w:rPr>
                      <w:rFonts w:hint="default"/>
                    </w:rPr>
                    <w:t>58.4</w:t>
                  </w:r>
                </w:p>
              </w:tc>
              <w:tc>
                <w:tcPr>
                  <w:tcW w:w="432" w:type="pct"/>
                  <w:noWrap w:val="0"/>
                  <w:vAlign w:val="center"/>
                </w:tcPr>
                <w:p>
                  <w:pPr>
                    <w:pStyle w:val="58"/>
                    <w:bidi w:val="0"/>
                    <w:rPr>
                      <w:rFonts w:hint="default"/>
                    </w:rPr>
                  </w:pPr>
                  <w:r>
                    <w:rPr>
                      <w:rFonts w:hint="default"/>
                    </w:rPr>
                    <w:t>54</w:t>
                  </w:r>
                </w:p>
              </w:tc>
              <w:tc>
                <w:tcPr>
                  <w:tcW w:w="432" w:type="pct"/>
                  <w:noWrap w:val="0"/>
                  <w:vAlign w:val="center"/>
                </w:tcPr>
                <w:p>
                  <w:pPr>
                    <w:pStyle w:val="58"/>
                    <w:bidi w:val="0"/>
                    <w:rPr>
                      <w:rFonts w:hint="default"/>
                    </w:rPr>
                  </w:pPr>
                  <w:r>
                    <w:rPr>
                      <w:rFonts w:hint="default"/>
                    </w:rPr>
                    <w:t>50.5</w:t>
                  </w:r>
                </w:p>
              </w:tc>
              <w:tc>
                <w:tcPr>
                  <w:tcW w:w="432" w:type="pct"/>
                  <w:noWrap w:val="0"/>
                  <w:vAlign w:val="center"/>
                </w:tcPr>
                <w:p>
                  <w:pPr>
                    <w:pStyle w:val="58"/>
                    <w:bidi w:val="0"/>
                    <w:rPr>
                      <w:rFonts w:hint="default"/>
                    </w:rPr>
                  </w:pPr>
                  <w:r>
                    <w:rPr>
                      <w:rFonts w:hint="default"/>
                    </w:rPr>
                    <w:t>48</w:t>
                  </w:r>
                </w:p>
              </w:tc>
              <w:tc>
                <w:tcPr>
                  <w:tcW w:w="432" w:type="pct"/>
                  <w:noWrap w:val="0"/>
                  <w:vAlign w:val="center"/>
                </w:tcPr>
                <w:p>
                  <w:pPr>
                    <w:pStyle w:val="58"/>
                    <w:bidi w:val="0"/>
                    <w:rPr>
                      <w:rFonts w:hint="default"/>
                    </w:rPr>
                  </w:pPr>
                  <w:r>
                    <w:rPr>
                      <w:rFonts w:hint="default"/>
                    </w:rPr>
                    <w:t>43.4</w:t>
                  </w:r>
                </w:p>
              </w:tc>
              <w:tc>
                <w:tcPr>
                  <w:tcW w:w="450" w:type="pct"/>
                  <w:noWrap w:val="0"/>
                  <w:vAlign w:val="center"/>
                </w:tcPr>
                <w:p>
                  <w:pPr>
                    <w:pStyle w:val="58"/>
                    <w:bidi w:val="0"/>
                    <w:rPr>
                      <w:rFonts w:hint="default"/>
                    </w:rPr>
                  </w:pPr>
                  <w:r>
                    <w:rPr>
                      <w:rFonts w:hint="default"/>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50" w:type="pct"/>
                  <w:noWrap w:val="0"/>
                  <w:vAlign w:val="center"/>
                </w:tcPr>
                <w:p>
                  <w:pPr>
                    <w:pStyle w:val="58"/>
                    <w:bidi w:val="0"/>
                    <w:rPr>
                      <w:rFonts w:hint="eastAsia" w:eastAsia="宋体"/>
                      <w:lang w:val="en-US" w:eastAsia="zh-CN"/>
                    </w:rPr>
                  </w:pPr>
                  <w:r>
                    <w:rPr>
                      <w:rFonts w:hint="eastAsia"/>
                      <w:lang w:val="en-US" w:eastAsia="zh-CN"/>
                    </w:rPr>
                    <w:t>发电机</w:t>
                  </w:r>
                </w:p>
              </w:tc>
              <w:tc>
                <w:tcPr>
                  <w:tcW w:w="299" w:type="pct"/>
                  <w:noWrap w:val="0"/>
                  <w:vAlign w:val="center"/>
                </w:tcPr>
                <w:p>
                  <w:pPr>
                    <w:pStyle w:val="58"/>
                    <w:bidi w:val="0"/>
                    <w:rPr>
                      <w:rFonts w:hint="default"/>
                    </w:rPr>
                  </w:pPr>
                  <w:r>
                    <w:rPr>
                      <w:rFonts w:hint="default"/>
                    </w:rPr>
                    <w:t>72</w:t>
                  </w:r>
                </w:p>
              </w:tc>
              <w:tc>
                <w:tcPr>
                  <w:tcW w:w="366" w:type="pct"/>
                  <w:noWrap w:val="0"/>
                  <w:vAlign w:val="center"/>
                </w:tcPr>
                <w:p>
                  <w:pPr>
                    <w:pStyle w:val="58"/>
                    <w:bidi w:val="0"/>
                    <w:rPr>
                      <w:rFonts w:hint="default"/>
                    </w:rPr>
                  </w:pPr>
                  <w:r>
                    <w:rPr>
                      <w:rFonts w:hint="default"/>
                    </w:rPr>
                    <w:t>66</w:t>
                  </w:r>
                </w:p>
              </w:tc>
              <w:tc>
                <w:tcPr>
                  <w:tcW w:w="366" w:type="pct"/>
                  <w:noWrap w:val="0"/>
                  <w:vAlign w:val="center"/>
                </w:tcPr>
                <w:p>
                  <w:pPr>
                    <w:pStyle w:val="58"/>
                    <w:bidi w:val="0"/>
                    <w:rPr>
                      <w:rFonts w:hint="default"/>
                    </w:rPr>
                  </w:pPr>
                  <w:r>
                    <w:rPr>
                      <w:rFonts w:hint="default"/>
                    </w:rPr>
                    <w:t>60</w:t>
                  </w:r>
                </w:p>
              </w:tc>
              <w:tc>
                <w:tcPr>
                  <w:tcW w:w="368" w:type="pct"/>
                  <w:noWrap w:val="0"/>
                  <w:vAlign w:val="center"/>
                </w:tcPr>
                <w:p>
                  <w:pPr>
                    <w:pStyle w:val="58"/>
                    <w:bidi w:val="0"/>
                    <w:rPr>
                      <w:rFonts w:hint="default"/>
                    </w:rPr>
                  </w:pPr>
                  <w:r>
                    <w:rPr>
                      <w:rFonts w:hint="default"/>
                    </w:rPr>
                    <w:t>52</w:t>
                  </w:r>
                </w:p>
              </w:tc>
              <w:tc>
                <w:tcPr>
                  <w:tcW w:w="368" w:type="pct"/>
                  <w:noWrap w:val="0"/>
                  <w:vAlign w:val="center"/>
                </w:tcPr>
                <w:p>
                  <w:pPr>
                    <w:pStyle w:val="58"/>
                    <w:bidi w:val="0"/>
                    <w:rPr>
                      <w:rFonts w:hint="default"/>
                    </w:rPr>
                  </w:pPr>
                  <w:r>
                    <w:rPr>
                      <w:rFonts w:hint="default"/>
                    </w:rPr>
                    <w:t>50.4</w:t>
                  </w:r>
                </w:p>
              </w:tc>
              <w:tc>
                <w:tcPr>
                  <w:tcW w:w="432" w:type="pct"/>
                  <w:noWrap w:val="0"/>
                  <w:vAlign w:val="center"/>
                </w:tcPr>
                <w:p>
                  <w:pPr>
                    <w:pStyle w:val="58"/>
                    <w:bidi w:val="0"/>
                    <w:rPr>
                      <w:rFonts w:hint="default"/>
                    </w:rPr>
                  </w:pPr>
                  <w:r>
                    <w:rPr>
                      <w:rFonts w:hint="default"/>
                    </w:rPr>
                    <w:t>46</w:t>
                  </w:r>
                </w:p>
              </w:tc>
              <w:tc>
                <w:tcPr>
                  <w:tcW w:w="432" w:type="pct"/>
                  <w:noWrap w:val="0"/>
                  <w:vAlign w:val="center"/>
                </w:tcPr>
                <w:p>
                  <w:pPr>
                    <w:pStyle w:val="58"/>
                    <w:bidi w:val="0"/>
                    <w:rPr>
                      <w:rFonts w:hint="default"/>
                    </w:rPr>
                  </w:pPr>
                  <w:r>
                    <w:rPr>
                      <w:rFonts w:hint="default"/>
                    </w:rPr>
                    <w:t>42.5</w:t>
                  </w:r>
                </w:p>
              </w:tc>
              <w:tc>
                <w:tcPr>
                  <w:tcW w:w="432" w:type="pct"/>
                  <w:noWrap w:val="0"/>
                  <w:vAlign w:val="center"/>
                </w:tcPr>
                <w:p>
                  <w:pPr>
                    <w:pStyle w:val="58"/>
                    <w:bidi w:val="0"/>
                    <w:rPr>
                      <w:rFonts w:hint="default"/>
                    </w:rPr>
                  </w:pPr>
                  <w:r>
                    <w:rPr>
                      <w:rFonts w:hint="default"/>
                    </w:rPr>
                    <w:t>40</w:t>
                  </w:r>
                </w:p>
              </w:tc>
              <w:tc>
                <w:tcPr>
                  <w:tcW w:w="432" w:type="pct"/>
                  <w:noWrap w:val="0"/>
                  <w:vAlign w:val="center"/>
                </w:tcPr>
                <w:p>
                  <w:pPr>
                    <w:pStyle w:val="58"/>
                    <w:bidi w:val="0"/>
                    <w:rPr>
                      <w:rFonts w:hint="default"/>
                    </w:rPr>
                  </w:pPr>
                  <w:r>
                    <w:rPr>
                      <w:rFonts w:hint="default"/>
                    </w:rPr>
                    <w:t>35.4</w:t>
                  </w:r>
                </w:p>
              </w:tc>
              <w:tc>
                <w:tcPr>
                  <w:tcW w:w="450" w:type="pct"/>
                  <w:noWrap w:val="0"/>
                  <w:vAlign w:val="center"/>
                </w:tcPr>
                <w:p>
                  <w:pPr>
                    <w:pStyle w:val="58"/>
                    <w:bidi w:val="0"/>
                    <w:rPr>
                      <w:rFonts w:hint="default"/>
                    </w:rPr>
                  </w:pPr>
                  <w:r>
                    <w:rPr>
                      <w:rFonts w:hint="default"/>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50" w:type="pct"/>
                  <w:noWrap w:val="0"/>
                  <w:vAlign w:val="center"/>
                </w:tcPr>
                <w:p>
                  <w:pPr>
                    <w:pStyle w:val="58"/>
                    <w:bidi w:val="0"/>
                    <w:rPr>
                      <w:rFonts w:hint="eastAsia"/>
                      <w:lang w:val="en-US" w:eastAsia="zh-CN"/>
                    </w:rPr>
                  </w:pPr>
                  <w:r>
                    <w:rPr>
                      <w:rFonts w:hint="eastAsia"/>
                      <w:lang w:val="en-US" w:eastAsia="zh-CN"/>
                    </w:rPr>
                    <w:t>钻机</w:t>
                  </w:r>
                </w:p>
              </w:tc>
              <w:tc>
                <w:tcPr>
                  <w:tcW w:w="299" w:type="pct"/>
                  <w:noWrap w:val="0"/>
                  <w:vAlign w:val="center"/>
                </w:tcPr>
                <w:p>
                  <w:pPr>
                    <w:adjustRightInd w:val="0"/>
                    <w:snapToGrid w:val="0"/>
                    <w:jc w:val="center"/>
                    <w:rPr>
                      <w:rFonts w:hint="default"/>
                    </w:rPr>
                  </w:pPr>
                  <w:r>
                    <w:rPr>
                      <w:rFonts w:ascii="Times New Roman" w:hAnsi="Times New Roman" w:eastAsia="宋体" w:cs="Times New Roman"/>
                      <w:sz w:val="21"/>
                      <w:szCs w:val="21"/>
                    </w:rPr>
                    <w:t>68</w:t>
                  </w:r>
                </w:p>
              </w:tc>
              <w:tc>
                <w:tcPr>
                  <w:tcW w:w="366" w:type="pct"/>
                  <w:noWrap w:val="0"/>
                  <w:vAlign w:val="center"/>
                </w:tcPr>
                <w:p>
                  <w:pPr>
                    <w:adjustRightInd w:val="0"/>
                    <w:snapToGrid w:val="0"/>
                    <w:jc w:val="center"/>
                    <w:rPr>
                      <w:rFonts w:hint="default"/>
                    </w:rPr>
                  </w:pPr>
                  <w:r>
                    <w:rPr>
                      <w:rFonts w:ascii="Times New Roman" w:hAnsi="Times New Roman" w:eastAsia="宋体" w:cs="Times New Roman"/>
                      <w:sz w:val="21"/>
                      <w:szCs w:val="21"/>
                    </w:rPr>
                    <w:t>62</w:t>
                  </w:r>
                </w:p>
              </w:tc>
              <w:tc>
                <w:tcPr>
                  <w:tcW w:w="366" w:type="pct"/>
                  <w:noWrap w:val="0"/>
                  <w:vAlign w:val="center"/>
                </w:tcPr>
                <w:p>
                  <w:pPr>
                    <w:adjustRightInd w:val="0"/>
                    <w:snapToGrid w:val="0"/>
                    <w:jc w:val="center"/>
                    <w:rPr>
                      <w:rFonts w:hint="default"/>
                    </w:rPr>
                  </w:pPr>
                  <w:r>
                    <w:rPr>
                      <w:rFonts w:ascii="Times New Roman" w:hAnsi="Times New Roman" w:eastAsia="宋体" w:cs="Times New Roman"/>
                      <w:sz w:val="21"/>
                      <w:szCs w:val="21"/>
                    </w:rPr>
                    <w:t>58</w:t>
                  </w:r>
                </w:p>
              </w:tc>
              <w:tc>
                <w:tcPr>
                  <w:tcW w:w="368" w:type="pct"/>
                  <w:noWrap w:val="0"/>
                  <w:vAlign w:val="center"/>
                </w:tcPr>
                <w:p>
                  <w:pPr>
                    <w:adjustRightInd w:val="0"/>
                    <w:snapToGrid w:val="0"/>
                    <w:jc w:val="center"/>
                    <w:rPr>
                      <w:rFonts w:hint="default"/>
                    </w:rPr>
                  </w:pPr>
                  <w:r>
                    <w:rPr>
                      <w:rFonts w:ascii="Times New Roman" w:hAnsi="Times New Roman" w:eastAsia="宋体" w:cs="Times New Roman"/>
                      <w:sz w:val="21"/>
                      <w:szCs w:val="21"/>
                    </w:rPr>
                    <w:t>56</w:t>
                  </w:r>
                </w:p>
              </w:tc>
              <w:tc>
                <w:tcPr>
                  <w:tcW w:w="368" w:type="pct"/>
                  <w:noWrap w:val="0"/>
                  <w:vAlign w:val="center"/>
                </w:tcPr>
                <w:p>
                  <w:pPr>
                    <w:adjustRightInd w:val="0"/>
                    <w:snapToGrid w:val="0"/>
                    <w:jc w:val="center"/>
                    <w:rPr>
                      <w:rFonts w:hint="default"/>
                    </w:rPr>
                  </w:pPr>
                  <w:r>
                    <w:rPr>
                      <w:rFonts w:ascii="Times New Roman" w:hAnsi="Times New Roman" w:eastAsia="宋体" w:cs="Times New Roman"/>
                      <w:sz w:val="21"/>
                      <w:szCs w:val="21"/>
                    </w:rPr>
                    <w:t>54</w:t>
                  </w:r>
                </w:p>
              </w:tc>
              <w:tc>
                <w:tcPr>
                  <w:tcW w:w="432" w:type="pct"/>
                  <w:noWrap w:val="0"/>
                  <w:vAlign w:val="center"/>
                </w:tcPr>
                <w:p>
                  <w:pPr>
                    <w:adjustRightInd w:val="0"/>
                    <w:snapToGrid w:val="0"/>
                    <w:jc w:val="center"/>
                    <w:rPr>
                      <w:rFonts w:hint="default"/>
                    </w:rPr>
                  </w:pPr>
                  <w:r>
                    <w:rPr>
                      <w:rFonts w:ascii="Times New Roman" w:hAnsi="Times New Roman" w:eastAsia="宋体" w:cs="Times New Roman"/>
                      <w:sz w:val="21"/>
                      <w:szCs w:val="21"/>
                    </w:rPr>
                    <w:t>52</w:t>
                  </w:r>
                </w:p>
              </w:tc>
              <w:tc>
                <w:tcPr>
                  <w:tcW w:w="432" w:type="pct"/>
                  <w:noWrap w:val="0"/>
                  <w:vAlign w:val="center"/>
                </w:tcPr>
                <w:p>
                  <w:pPr>
                    <w:adjustRightInd w:val="0"/>
                    <w:snapToGrid w:val="0"/>
                    <w:jc w:val="center"/>
                    <w:rPr>
                      <w:rFonts w:hint="default"/>
                    </w:rPr>
                  </w:pPr>
                  <w:r>
                    <w:rPr>
                      <w:rFonts w:ascii="Times New Roman" w:hAnsi="Times New Roman" w:eastAsia="宋体" w:cs="Times New Roman"/>
                      <w:sz w:val="21"/>
                      <w:szCs w:val="21"/>
                    </w:rPr>
                    <w:t>50</w:t>
                  </w:r>
                </w:p>
              </w:tc>
              <w:tc>
                <w:tcPr>
                  <w:tcW w:w="432" w:type="pct"/>
                  <w:noWrap w:val="0"/>
                  <w:vAlign w:val="center"/>
                </w:tcPr>
                <w:p>
                  <w:pPr>
                    <w:adjustRightInd w:val="0"/>
                    <w:snapToGrid w:val="0"/>
                    <w:jc w:val="center"/>
                    <w:rPr>
                      <w:rFonts w:hint="default"/>
                    </w:rPr>
                  </w:pPr>
                  <w:r>
                    <w:rPr>
                      <w:rFonts w:ascii="Times New Roman" w:hAnsi="Times New Roman" w:eastAsia="宋体" w:cs="Times New Roman"/>
                      <w:sz w:val="21"/>
                      <w:szCs w:val="21"/>
                    </w:rPr>
                    <w:t>68</w:t>
                  </w:r>
                </w:p>
              </w:tc>
              <w:tc>
                <w:tcPr>
                  <w:tcW w:w="432" w:type="pct"/>
                  <w:noWrap w:val="0"/>
                  <w:vAlign w:val="center"/>
                </w:tcPr>
                <w:p>
                  <w:pPr>
                    <w:adjustRightInd w:val="0"/>
                    <w:snapToGrid w:val="0"/>
                    <w:jc w:val="center"/>
                    <w:rPr>
                      <w:rFonts w:hint="default"/>
                    </w:rPr>
                  </w:pPr>
                  <w:r>
                    <w:rPr>
                      <w:rFonts w:ascii="Times New Roman" w:hAnsi="Times New Roman" w:eastAsia="宋体" w:cs="Times New Roman"/>
                      <w:sz w:val="21"/>
                      <w:szCs w:val="21"/>
                    </w:rPr>
                    <w:t>62</w:t>
                  </w:r>
                </w:p>
              </w:tc>
              <w:tc>
                <w:tcPr>
                  <w:tcW w:w="450" w:type="pct"/>
                  <w:noWrap w:val="0"/>
                  <w:vAlign w:val="center"/>
                </w:tcPr>
                <w:p>
                  <w:pPr>
                    <w:adjustRightInd w:val="0"/>
                    <w:snapToGrid w:val="0"/>
                    <w:jc w:val="center"/>
                    <w:rPr>
                      <w:rFonts w:hint="default"/>
                    </w:rPr>
                  </w:pPr>
                  <w:r>
                    <w:rPr>
                      <w:rFonts w:ascii="Times New Roman" w:hAnsi="Times New Roman" w:eastAsia="宋体" w:cs="Times New Roman"/>
                      <w:sz w:val="21"/>
                      <w:szCs w:val="21"/>
                    </w:rPr>
                    <w:t>58</w:t>
                  </w:r>
                </w:p>
              </w:tc>
            </w:tr>
          </w:tbl>
          <w:p>
            <w:pPr>
              <w:pStyle w:val="48"/>
              <w:bidi w:val="0"/>
              <w:rPr>
                <w:rFonts w:hint="default"/>
              </w:rPr>
            </w:pPr>
            <w:r>
              <w:rPr>
                <w:rFonts w:hint="default"/>
              </w:rPr>
              <w:t>本项目夜间不进行</w:t>
            </w:r>
            <w:r>
              <w:rPr>
                <w:rFonts w:hint="eastAsia"/>
                <w:lang w:val="en-US" w:eastAsia="zh-CN"/>
              </w:rPr>
              <w:t>工作</w:t>
            </w:r>
            <w:r>
              <w:rPr>
                <w:rFonts w:hint="default"/>
              </w:rPr>
              <w:t>，因此距场界50m处，</w:t>
            </w:r>
            <w:r>
              <w:rPr>
                <w:rFonts w:hint="eastAsia"/>
                <w:lang w:val="en-US" w:eastAsia="zh-CN"/>
              </w:rPr>
              <w:t>施工噪声满足</w:t>
            </w:r>
            <w:r>
              <w:rPr>
                <w:rFonts w:hint="default"/>
              </w:rPr>
              <w:t>《建筑施工场界环境噪声排放标准》（GB 12523</w:t>
            </w:r>
            <w:r>
              <w:rPr>
                <w:rFonts w:hint="eastAsia"/>
                <w:lang w:val="en-US" w:eastAsia="zh-CN"/>
              </w:rPr>
              <w:t>-2025</w:t>
            </w:r>
            <w:r>
              <w:rPr>
                <w:rFonts w:hint="default"/>
              </w:rPr>
              <w:t>）</w:t>
            </w:r>
            <w:r>
              <w:rPr>
                <w:rFonts w:hint="eastAsia"/>
                <w:lang w:val="en-US" w:eastAsia="zh-CN"/>
              </w:rPr>
              <w:t>昼间70dB(A)的要求</w:t>
            </w:r>
            <w:r>
              <w:rPr>
                <w:rFonts w:hint="default"/>
              </w:rPr>
              <w:t>。</w:t>
            </w:r>
          </w:p>
          <w:p>
            <w:pPr>
              <w:pStyle w:val="50"/>
              <w:bidi w:val="0"/>
              <w:rPr>
                <w:rFonts w:hint="default"/>
                <w:lang w:val="en-US" w:eastAsia="zh-CN"/>
              </w:rPr>
            </w:pPr>
            <w:r>
              <w:rPr>
                <w:rFonts w:hint="eastAsia"/>
                <w:lang w:val="en-US" w:eastAsia="zh-CN"/>
              </w:rPr>
              <w:t>5.</w:t>
            </w:r>
            <w:r>
              <w:t>固体废物</w:t>
            </w:r>
            <w:r>
              <w:rPr>
                <w:rFonts w:hint="eastAsia"/>
                <w:lang w:val="en-US" w:eastAsia="zh-CN"/>
              </w:rPr>
              <w:t>环境影响分析</w:t>
            </w:r>
          </w:p>
          <w:p>
            <w:pPr>
              <w:pStyle w:val="48"/>
              <w:bidi w:val="0"/>
              <w:rPr>
                <w:rFonts w:hint="eastAsia"/>
              </w:rPr>
            </w:pPr>
            <w:r>
              <w:rPr>
                <w:rFonts w:hint="eastAsia"/>
              </w:rPr>
              <w:t>本项目固体废物主要为</w:t>
            </w:r>
            <w:r>
              <w:rPr>
                <w:rFonts w:hint="eastAsia"/>
                <w:lang w:eastAsia="zh-CN"/>
              </w:rPr>
              <w:t>槽探开挖</w:t>
            </w:r>
            <w:r>
              <w:rPr>
                <w:rFonts w:hint="eastAsia"/>
              </w:rPr>
              <w:t>产生的临时土石方、员工的生活垃圾等。</w:t>
            </w:r>
          </w:p>
          <w:p>
            <w:pPr>
              <w:pStyle w:val="48"/>
              <w:bidi w:val="0"/>
              <w:rPr>
                <w:rFonts w:hint="eastAsia" w:eastAsia="宋体"/>
                <w:lang w:val="en-US" w:eastAsia="zh-CN"/>
              </w:rPr>
            </w:pPr>
            <w:r>
              <w:rPr>
                <w:rFonts w:hint="eastAsia"/>
              </w:rPr>
              <w:t>（1）</w:t>
            </w:r>
            <w:r>
              <w:rPr>
                <w:rFonts w:hint="eastAsia"/>
                <w:lang w:val="en-US" w:eastAsia="zh-CN"/>
              </w:rPr>
              <w:t>土石方</w:t>
            </w:r>
          </w:p>
          <w:p>
            <w:pPr>
              <w:pStyle w:val="48"/>
              <w:bidi w:val="0"/>
              <w:rPr>
                <w:rFonts w:hint="eastAsia"/>
              </w:rPr>
            </w:pPr>
            <w:r>
              <w:rPr>
                <w:rFonts w:hint="eastAsia"/>
              </w:rPr>
              <w:t>根据工程分析，</w:t>
            </w:r>
            <w:r>
              <w:rPr>
                <w:rFonts w:hint="eastAsia"/>
                <w:lang w:val="en-US" w:eastAsia="zh-CN"/>
              </w:rPr>
              <w:t>本项目</w:t>
            </w:r>
            <w:r>
              <w:rPr>
                <w:rFonts w:hint="eastAsia"/>
              </w:rPr>
              <w:t>勘探期</w:t>
            </w:r>
            <w:r>
              <w:rPr>
                <w:rFonts w:hint="eastAsia"/>
                <w:lang w:val="en-US" w:eastAsia="zh-CN"/>
              </w:rPr>
              <w:t>的</w:t>
            </w:r>
            <w:r>
              <w:rPr>
                <w:rFonts w:hint="eastAsia"/>
              </w:rPr>
              <w:t>土石方主要</w:t>
            </w:r>
            <w:r>
              <w:rPr>
                <w:rFonts w:hint="eastAsia"/>
                <w:lang w:val="en-US" w:eastAsia="zh-CN"/>
              </w:rPr>
              <w:t>是槽探</w:t>
            </w:r>
            <w:r>
              <w:rPr>
                <w:rFonts w:hint="eastAsia"/>
              </w:rPr>
              <w:t>产生的，勘探期开挖土石方临时堆放至</w:t>
            </w:r>
            <w:r>
              <w:rPr>
                <w:rFonts w:hint="eastAsia"/>
                <w:lang w:val="en-US" w:eastAsia="zh-CN"/>
              </w:rPr>
              <w:t>探坑</w:t>
            </w:r>
            <w:r>
              <w:rPr>
                <w:rFonts w:hint="eastAsia"/>
                <w:highlight w:val="none"/>
                <w:lang w:val="en-US" w:eastAsia="zh-CN"/>
              </w:rPr>
              <w:t>一侧</w:t>
            </w:r>
            <w:r>
              <w:rPr>
                <w:rFonts w:hint="eastAsia"/>
              </w:rPr>
              <w:t>，并用</w:t>
            </w:r>
            <w:r>
              <w:rPr>
                <w:rFonts w:hint="eastAsia"/>
                <w:lang w:val="en-US" w:eastAsia="zh-CN"/>
              </w:rPr>
              <w:t>彩条布苫盖</w:t>
            </w:r>
            <w:r>
              <w:rPr>
                <w:rFonts w:hint="eastAsia"/>
              </w:rPr>
              <w:t>，待工程结束后土石方全部回填于原位并进行平整，防止水土流失，无弃土产生，对周边环境影响较小。</w:t>
            </w:r>
          </w:p>
          <w:p>
            <w:pPr>
              <w:pStyle w:val="48"/>
              <w:bidi w:val="0"/>
              <w:rPr>
                <w:rFonts w:hint="eastAsia"/>
              </w:rPr>
            </w:pPr>
            <w:r>
              <w:rPr>
                <w:rFonts w:hint="eastAsia"/>
              </w:rPr>
              <w:t>（2）生活垃圾</w:t>
            </w:r>
          </w:p>
          <w:p>
            <w:pPr>
              <w:pStyle w:val="48"/>
              <w:bidi w:val="0"/>
              <w:rPr>
                <w:rFonts w:hint="eastAsia"/>
                <w:shd w:val="clear" w:color="auto" w:fill="auto"/>
                <w:lang w:eastAsia="zh-CN"/>
              </w:rPr>
            </w:pPr>
            <w:r>
              <w:rPr>
                <w:rFonts w:hint="eastAsia"/>
              </w:rPr>
              <w:t>来自勘探人员日常生活，以纸张、塑料瓶为主，属一般固废。本项目野外探矿作业人员约</w:t>
            </w:r>
            <w:r>
              <w:rPr>
                <w:rFonts w:hint="eastAsia"/>
                <w:lang w:val="en-US" w:eastAsia="zh-CN"/>
              </w:rPr>
              <w:t>14</w:t>
            </w:r>
            <w:r>
              <w:rPr>
                <w:rFonts w:hint="eastAsia"/>
              </w:rPr>
              <w:t>人，</w:t>
            </w:r>
            <w:r>
              <w:rPr>
                <w:rFonts w:hint="eastAsia"/>
                <w:lang w:val="en-US" w:eastAsia="zh-CN"/>
              </w:rPr>
              <w:t>勘探期共工作</w:t>
            </w:r>
            <w:r>
              <w:rPr>
                <w:rFonts w:hint="eastAsia"/>
                <w:highlight w:val="none"/>
                <w:lang w:val="en-US" w:eastAsia="zh-CN"/>
              </w:rPr>
              <w:t>720d</w:t>
            </w:r>
            <w:r>
              <w:rPr>
                <w:rFonts w:hint="eastAsia"/>
                <w:highlight w:val="none"/>
              </w:rPr>
              <w:t>。</w:t>
            </w:r>
            <w:r>
              <w:rPr>
                <w:rFonts w:hint="eastAsia"/>
              </w:rPr>
              <w:t>按每人每天产生0.5kg生活垃圾计算，则生活垃圾产生量为</w:t>
            </w:r>
            <w:r>
              <w:rPr>
                <w:rFonts w:hint="eastAsia"/>
                <w:lang w:val="en-US" w:eastAsia="zh-CN"/>
              </w:rPr>
              <w:t>5.4</w:t>
            </w:r>
            <w:r>
              <w:rPr>
                <w:rFonts w:hint="eastAsia"/>
              </w:rPr>
              <w:t>t</w:t>
            </w:r>
            <w:r>
              <w:rPr>
                <w:rFonts w:hint="eastAsia"/>
                <w:lang w:eastAsia="zh-CN"/>
              </w:rPr>
              <w:t>，施工营地内设置一定数量的垃圾桶，用于临时存放生活垃圾，</w:t>
            </w:r>
            <w:r>
              <w:rPr>
                <w:rFonts w:hint="eastAsia"/>
                <w:shd w:val="clear" w:color="auto" w:fill="auto"/>
                <w:lang w:eastAsia="zh-CN"/>
              </w:rPr>
              <w:t>最终统一收集后</w:t>
            </w:r>
            <w:r>
              <w:rPr>
                <w:rFonts w:hint="eastAsia"/>
                <w:shd w:val="clear" w:color="auto" w:fill="auto"/>
                <w:lang w:val="en-US" w:eastAsia="zh-CN"/>
              </w:rPr>
              <w:t>送至且末县垃圾填埋场</w:t>
            </w:r>
            <w:r>
              <w:rPr>
                <w:rFonts w:hint="eastAsia"/>
                <w:shd w:val="clear" w:color="auto" w:fill="auto"/>
                <w:lang w:eastAsia="zh-CN"/>
              </w:rPr>
              <w:t>。</w:t>
            </w:r>
          </w:p>
          <w:p>
            <w:pPr>
              <w:pStyle w:val="48"/>
              <w:bidi w:val="0"/>
              <w:rPr>
                <w:rFonts w:hint="eastAsia"/>
                <w:lang w:val="en-US" w:eastAsia="zh-CN"/>
              </w:rPr>
            </w:pPr>
            <w:r>
              <w:rPr>
                <w:rFonts w:hint="eastAsia"/>
                <w:lang w:val="en-US" w:eastAsia="zh-CN"/>
              </w:rPr>
              <w:t>（3）钻井岩心、泥浆、岩屑及沉淀池沉渣</w:t>
            </w:r>
          </w:p>
          <w:p>
            <w:pPr>
              <w:pStyle w:val="48"/>
              <w:bidi w:val="0"/>
              <w:rPr>
                <w:rFonts w:hint="eastAsia"/>
                <w:lang w:val="en-US" w:eastAsia="zh-CN"/>
              </w:rPr>
            </w:pPr>
            <w:r>
              <w:rPr>
                <w:rFonts w:hint="eastAsia"/>
                <w:lang w:val="en-US" w:eastAsia="zh-CN"/>
              </w:rPr>
              <w:t>①钻井岩心</w:t>
            </w:r>
          </w:p>
          <w:p>
            <w:pPr>
              <w:pStyle w:val="48"/>
              <w:bidi w:val="0"/>
              <w:rPr>
                <w:rFonts w:hint="eastAsia"/>
              </w:rPr>
            </w:pPr>
            <w:r>
              <w:rPr>
                <w:rFonts w:hint="eastAsia"/>
                <w:lang w:val="en-US" w:eastAsia="zh-CN"/>
              </w:rPr>
              <w:t>钻探总工作量为7300m，钻探开孔直径为60mm，岩心产生的土方量为20.63m³（V=πr</w:t>
            </w:r>
            <w:r>
              <w:rPr>
                <w:rFonts w:hint="eastAsia"/>
                <w:vertAlign w:val="superscript"/>
                <w:lang w:val="en-US" w:eastAsia="zh-CN"/>
              </w:rPr>
              <w:t>2</w:t>
            </w:r>
            <w:r>
              <w:rPr>
                <w:rFonts w:hint="eastAsia"/>
                <w:lang w:val="en-US" w:eastAsia="zh-CN"/>
              </w:rPr>
              <w:t>*h）</w:t>
            </w:r>
            <w:r>
              <w:rPr>
                <w:rFonts w:hint="eastAsia"/>
              </w:rPr>
              <w:t>。更换的钻井岩心由地质勘探队统一收集，最终交至单位岩心库统一保管，不能随意丢弃。</w:t>
            </w:r>
          </w:p>
          <w:p>
            <w:pPr>
              <w:pStyle w:val="48"/>
              <w:numPr>
                <w:ilvl w:val="0"/>
                <w:numId w:val="0"/>
              </w:numPr>
              <w:bidi w:val="0"/>
              <w:ind w:left="-60" w:leftChars="0" w:firstLine="480" w:firstLineChars="200"/>
              <w:rPr>
                <w:rFonts w:hint="default"/>
                <w:lang w:val="en-US" w:eastAsia="zh-CN"/>
              </w:rPr>
            </w:pPr>
            <w:r>
              <w:rPr>
                <w:rFonts w:hint="eastAsia"/>
                <w:lang w:val="en-US" w:eastAsia="zh-CN"/>
              </w:rPr>
              <w:t>②泥浆</w:t>
            </w:r>
          </w:p>
          <w:p>
            <w:pPr>
              <w:pStyle w:val="48"/>
              <w:numPr>
                <w:ilvl w:val="0"/>
                <w:numId w:val="0"/>
              </w:numPr>
              <w:bidi w:val="0"/>
              <w:ind w:left="-60" w:leftChars="0" w:firstLine="480" w:firstLineChars="200"/>
              <w:rPr>
                <w:rFonts w:hint="eastAsia"/>
                <w:lang w:val="en-US" w:eastAsia="zh-CN"/>
              </w:rPr>
            </w:pPr>
            <w:r>
              <w:rPr>
                <w:rFonts w:hint="eastAsia"/>
                <w:lang w:val="en-US" w:eastAsia="zh-CN"/>
              </w:rPr>
              <w:t>本项目勘探期产生固体泥浆废物约为20t，使用的钻井泥浆为水基泥浆，以膨润土、辅料粘土作为基础配浆材料，加入各种有机和无机材料形成的多种成分和相态共存的悬浮液，主要添加成分有聚合物、氯化钠等。膨润土的主要成分是蒙脱石。钻井泥浆中影响环境的主要成分是有机物类、无机盐类、烧碱等配浆和加重材料中的杂质。本项目采用的泥浆材料及处理剂具备无毒无害、可自然降解性能，不含易燃、易爆、有毒物质，循环使用，固化后就地填埋。</w:t>
            </w:r>
          </w:p>
          <w:p>
            <w:pPr>
              <w:pStyle w:val="48"/>
              <w:numPr>
                <w:ilvl w:val="0"/>
                <w:numId w:val="0"/>
              </w:numPr>
              <w:bidi w:val="0"/>
              <w:ind w:left="-60" w:leftChars="0" w:firstLine="480" w:firstLineChars="200"/>
              <w:rPr>
                <w:rFonts w:hint="default"/>
                <w:lang w:val="en-US" w:eastAsia="zh-CN"/>
              </w:rPr>
            </w:pPr>
            <w:r>
              <w:rPr>
                <w:rFonts w:hint="eastAsia"/>
                <w:lang w:val="en-US" w:eastAsia="zh-CN"/>
              </w:rPr>
              <w:t>③岩屑</w:t>
            </w:r>
          </w:p>
          <w:p>
            <w:pPr>
              <w:pStyle w:val="48"/>
              <w:bidi w:val="0"/>
              <w:rPr>
                <w:rFonts w:hint="eastAsia"/>
                <w:lang w:val="en-US" w:eastAsia="zh-CN"/>
              </w:rPr>
            </w:pPr>
            <w:r>
              <w:rPr>
                <w:rFonts w:hint="eastAsia"/>
                <w:lang w:val="en-US" w:eastAsia="zh-CN"/>
              </w:rPr>
              <w:t>本次工作共设计钻探工作量7300米（49孔），钻屑产生量参考同类型项目经验公式进行计算：</w:t>
            </w:r>
          </w:p>
          <w:p>
            <w:pPr>
              <w:pStyle w:val="48"/>
              <w:bidi w:val="0"/>
              <w:rPr>
                <w:rFonts w:hint="eastAsia"/>
                <w:lang w:val="en-US" w:eastAsia="zh-CN"/>
              </w:rPr>
            </w:pPr>
            <w:r>
              <w:rPr>
                <w:rFonts w:hint="eastAsia"/>
                <w:lang w:val="en-US" w:eastAsia="zh-CN"/>
              </w:rPr>
              <w:t>V=πr</w:t>
            </w:r>
            <w:r>
              <w:rPr>
                <w:rFonts w:hint="eastAsia"/>
                <w:vertAlign w:val="superscript"/>
                <w:lang w:val="en-US" w:eastAsia="zh-CN"/>
              </w:rPr>
              <w:t>2</w:t>
            </w:r>
            <w:r>
              <w:rPr>
                <w:rFonts w:hint="eastAsia"/>
                <w:lang w:val="en-US" w:eastAsia="zh-CN"/>
              </w:rPr>
              <w:t>×h×k</w:t>
            </w:r>
          </w:p>
          <w:p>
            <w:pPr>
              <w:pStyle w:val="48"/>
              <w:bidi w:val="0"/>
              <w:rPr>
                <w:rFonts w:hint="eastAsia"/>
                <w:lang w:val="en-US" w:eastAsia="zh-CN"/>
              </w:rPr>
            </w:pPr>
            <w:r>
              <w:rPr>
                <w:rFonts w:hint="eastAsia"/>
                <w:lang w:val="en-US" w:eastAsia="zh-CN"/>
              </w:rPr>
              <w:t>其中：V——钻屑体积，m</w:t>
            </w:r>
            <w:r>
              <w:rPr>
                <w:rFonts w:hint="eastAsia"/>
                <w:vertAlign w:val="superscript"/>
                <w:lang w:val="en-US" w:eastAsia="zh-CN"/>
              </w:rPr>
              <w:t>3</w:t>
            </w:r>
            <w:r>
              <w:rPr>
                <w:rFonts w:hint="eastAsia"/>
                <w:lang w:val="en-US" w:eastAsia="zh-CN"/>
              </w:rPr>
              <w:t>；</w:t>
            </w:r>
          </w:p>
          <w:p>
            <w:pPr>
              <w:pStyle w:val="48"/>
              <w:bidi w:val="0"/>
              <w:rPr>
                <w:rFonts w:hint="eastAsia"/>
                <w:lang w:val="en-US" w:eastAsia="zh-CN"/>
              </w:rPr>
            </w:pPr>
            <w:r>
              <w:rPr>
                <w:rFonts w:hint="eastAsia"/>
                <w:lang w:val="en-US" w:eastAsia="zh-CN"/>
              </w:rPr>
              <w:t>π——圆周率，圆的周长与直径的比值，本次取3.14；</w:t>
            </w:r>
          </w:p>
          <w:p>
            <w:pPr>
              <w:pStyle w:val="48"/>
              <w:bidi w:val="0"/>
              <w:rPr>
                <w:rFonts w:hint="eastAsia"/>
                <w:lang w:val="en-US" w:eastAsia="zh-CN"/>
              </w:rPr>
            </w:pPr>
            <w:r>
              <w:rPr>
                <w:rFonts w:hint="eastAsia"/>
                <w:lang w:val="en-US" w:eastAsia="zh-CN"/>
              </w:rPr>
              <w:t>r——钻井半径，m，0.03m；</w:t>
            </w:r>
          </w:p>
          <w:p>
            <w:pPr>
              <w:pStyle w:val="48"/>
              <w:bidi w:val="0"/>
              <w:rPr>
                <w:rFonts w:hint="eastAsia"/>
                <w:lang w:val="en-US" w:eastAsia="zh-CN"/>
              </w:rPr>
            </w:pPr>
            <w:r>
              <w:rPr>
                <w:rFonts w:hint="eastAsia"/>
                <w:lang w:val="en-US" w:eastAsia="zh-CN"/>
              </w:rPr>
              <w:t>h——钻孔深度，7300m；</w:t>
            </w:r>
          </w:p>
          <w:p>
            <w:pPr>
              <w:pStyle w:val="48"/>
              <w:bidi w:val="0"/>
              <w:rPr>
                <w:rFonts w:hint="eastAsia"/>
                <w:lang w:val="en-US" w:eastAsia="zh-CN"/>
              </w:rPr>
            </w:pPr>
            <w:r>
              <w:rPr>
                <w:rFonts w:hint="eastAsia"/>
                <w:lang w:val="en-US" w:eastAsia="zh-CN"/>
              </w:rPr>
              <w:t>k——井眼扩大率，本次取，10%。</w:t>
            </w:r>
          </w:p>
          <w:p>
            <w:pPr>
              <w:pStyle w:val="48"/>
              <w:bidi w:val="0"/>
              <w:jc w:val="both"/>
              <w:rPr>
                <w:rFonts w:hint="eastAsia"/>
                <w:lang w:val="en-US" w:eastAsia="zh-CN"/>
              </w:rPr>
            </w:pPr>
            <w:r>
              <w:rPr>
                <w:rFonts w:hint="eastAsia"/>
                <w:lang w:val="en-US" w:eastAsia="zh-CN"/>
              </w:rPr>
              <w:t>经计算，整个钻孔期钻屑V产生量为2.06m³，每个钻孔完毕后，岩屑用于回填封孔。</w:t>
            </w:r>
          </w:p>
          <w:p>
            <w:pPr>
              <w:pStyle w:val="48"/>
              <w:bidi w:val="0"/>
              <w:jc w:val="both"/>
              <w:rPr>
                <w:rFonts w:hint="eastAsia"/>
                <w:lang w:val="en-US" w:eastAsia="zh-CN"/>
              </w:rPr>
            </w:pPr>
            <w:r>
              <w:rPr>
                <w:rFonts w:hint="eastAsia"/>
                <w:lang w:val="en-US" w:eastAsia="zh-CN"/>
              </w:rPr>
              <w:t>④沉淀池沉渣</w:t>
            </w:r>
          </w:p>
          <w:p>
            <w:pPr>
              <w:pStyle w:val="48"/>
              <w:bidi w:val="0"/>
              <w:jc w:val="both"/>
              <w:rPr>
                <w:rFonts w:hint="eastAsia"/>
                <w:lang w:val="en-US" w:eastAsia="zh-CN"/>
              </w:rPr>
            </w:pPr>
            <w:r>
              <w:rPr>
                <w:rFonts w:hint="eastAsia"/>
                <w:lang w:val="en-US" w:eastAsia="zh-CN"/>
              </w:rPr>
              <w:t>本项目设备冲洗水经沉淀池沉淀后蒸发逸散，沉淀池沉渣主要为泥土，泥土本身不含毒性物质，故本项目沉淀池沉渣采取就地掩埋的方式进行处理，对周围环境的影响相对较小。</w:t>
            </w:r>
          </w:p>
          <w:p>
            <w:pPr>
              <w:pStyle w:val="48"/>
              <w:bidi w:val="0"/>
              <w:jc w:val="both"/>
              <w:rPr>
                <w:rFonts w:hint="eastAsia"/>
                <w:lang w:val="en-US" w:eastAsia="zh-CN"/>
              </w:rPr>
            </w:pPr>
            <w:r>
              <w:rPr>
                <w:rFonts w:hint="eastAsia"/>
                <w:lang w:val="en-US" w:eastAsia="zh-CN"/>
              </w:rPr>
              <w:t>（4）废润滑油及油桶</w:t>
            </w:r>
          </w:p>
          <w:p>
            <w:pPr>
              <w:pStyle w:val="48"/>
              <w:bidi w:val="0"/>
              <w:ind w:firstLine="480" w:firstLineChars="200"/>
              <w:rPr>
                <w:rFonts w:hint="default" w:ascii="Times New Roman" w:hAnsi="Times New Roman" w:eastAsia="宋体" w:cs="宋体"/>
                <w:kern w:val="0"/>
                <w:sz w:val="24"/>
                <w:szCs w:val="24"/>
                <w:shd w:val="clear" w:color="auto" w:fill="auto"/>
                <w:lang w:val="en-US" w:eastAsia="zh-CN" w:bidi="ar-SA"/>
              </w:rPr>
            </w:pPr>
            <w:r>
              <w:rPr>
                <w:rFonts w:hint="eastAsia"/>
                <w:lang w:val="en-US" w:eastAsia="zh-CN"/>
              </w:rPr>
              <w:t>本项目勘探过程中使用勘探设备定期维护会产生废润滑油及油桶约0.1t，产生后集中收集交由有资质单位处理。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7" w:type="dxa"/>
            <w:shd w:val="clear" w:color="auto" w:fill="auto"/>
            <w:noWrap w:val="0"/>
            <w:tcMar>
              <w:left w:w="28" w:type="dxa"/>
              <w:right w:w="28" w:type="dxa"/>
            </w:tcMar>
            <w:vAlign w:val="center"/>
          </w:tcPr>
          <w:p>
            <w:pPr>
              <w:pStyle w:val="20"/>
              <w:adjustRightInd w:val="0"/>
              <w:snapToGrid w:val="0"/>
              <w:spacing w:before="0" w:beforeAutospacing="0" w:after="0" w:afterAutospacing="0"/>
              <w:jc w:val="center"/>
              <w:rPr>
                <w:rFonts w:hint="eastAsia" w:ascii="宋体" w:hAnsi="宋体" w:eastAsia="宋体" w:cs="宋体"/>
                <w:bCs/>
                <w:kern w:val="2"/>
                <w:sz w:val="21"/>
                <w:szCs w:val="21"/>
                <w:lang w:val="en-US" w:eastAsia="zh-CN" w:bidi="ar-SA"/>
              </w:rPr>
            </w:pPr>
            <w:r>
              <w:rPr>
                <w:rFonts w:hint="eastAsia" w:cs="宋体"/>
                <w:bCs/>
                <w:kern w:val="2"/>
                <w:sz w:val="21"/>
                <w:szCs w:val="21"/>
              </w:rPr>
              <w:t>选址选线环境合理性分析</w:t>
            </w:r>
          </w:p>
        </w:tc>
        <w:tc>
          <w:tcPr>
            <w:tcW w:w="7699" w:type="dxa"/>
            <w:shd w:val="clear" w:color="auto" w:fill="auto"/>
            <w:noWrap w:val="0"/>
            <w:vAlign w:val="top"/>
          </w:tcPr>
          <w:p>
            <w:pPr>
              <w:pStyle w:val="48"/>
              <w:bidi w:val="0"/>
            </w:pPr>
            <w:r>
              <w:rPr>
                <w:rFonts w:hint="eastAsia"/>
                <w:highlight w:val="none"/>
                <w:lang w:val="en-US" w:eastAsia="zh-CN"/>
              </w:rPr>
              <w:t>勘探</w:t>
            </w:r>
            <w:r>
              <w:rPr>
                <w:rFonts w:hint="eastAsia"/>
                <w:highlight w:val="none"/>
              </w:rPr>
              <w:t>区位于</w:t>
            </w:r>
            <w:r>
              <w:rPr>
                <w:rFonts w:hint="eastAsia"/>
                <w:highlight w:val="none"/>
                <w:lang w:val="en-US" w:eastAsia="zh-CN"/>
              </w:rPr>
              <w:t>且末县城西南209°方向，直线距离150千米，</w:t>
            </w:r>
            <w:r>
              <w:rPr>
                <w:rFonts w:hint="eastAsia"/>
                <w:lang w:val="en-US" w:eastAsia="zh-CN"/>
              </w:rPr>
              <w:t>勘探</w:t>
            </w:r>
            <w:r>
              <w:rPr>
                <w:rFonts w:hint="eastAsia"/>
              </w:rPr>
              <w:t>区中心点坐标（CGCS2000坐标系）：</w:t>
            </w:r>
            <w:r>
              <w:rPr>
                <w:rFonts w:hint="default" w:ascii="Times New Roman" w:hAnsi="Times New Roman" w:cs="Times New Roman"/>
                <w:lang w:val="en-US" w:eastAsia="zh-CN"/>
              </w:rPr>
              <w:t>东经84°40′24.109″，北纬36°57′19.227″。工作区面积7.8476平方千米，行政区划隶属于且末县管辖</w:t>
            </w:r>
            <w:r>
              <w:rPr>
                <w:rFonts w:hint="eastAsia"/>
              </w:rPr>
              <w:t>。项目区及周围区域环境关系较单纯，无重要保护文物、风景名胜区、水源保护地、生态敏感点等明显的环境制约因子</w:t>
            </w:r>
            <w:r>
              <w:rPr>
                <w:rFonts w:hint="eastAsia"/>
                <w:lang w:eastAsia="zh-CN"/>
              </w:rPr>
              <w:t>。</w:t>
            </w:r>
          </w:p>
          <w:p>
            <w:pPr>
              <w:pStyle w:val="48"/>
              <w:bidi w:val="0"/>
              <w:rPr>
                <w:rFonts w:hint="eastAsia"/>
                <w:lang w:val="en-US" w:eastAsia="zh-CN"/>
              </w:rPr>
            </w:pPr>
            <w:r>
              <w:rPr>
                <w:rFonts w:hint="default"/>
              </w:rPr>
              <w:t>根据《产业结构调整指导目录》（20</w:t>
            </w:r>
            <w:r>
              <w:rPr>
                <w:rFonts w:hint="eastAsia"/>
                <w:lang w:val="en-US" w:eastAsia="zh-CN"/>
              </w:rPr>
              <w:t>24</w:t>
            </w:r>
            <w:r>
              <w:rPr>
                <w:rFonts w:hint="default"/>
              </w:rPr>
              <w:t>年本），</w:t>
            </w:r>
            <w:r>
              <w:rPr>
                <w:rFonts w:hint="default"/>
                <w:lang w:val="en-US" w:eastAsia="zh-CN"/>
              </w:rPr>
              <w:t>本项目属于</w:t>
            </w:r>
            <w:r>
              <w:rPr>
                <w:rFonts w:hint="eastAsia"/>
                <w:lang w:val="en-US" w:eastAsia="zh-CN"/>
              </w:rPr>
              <w:t>矿产资源开发项目，</w:t>
            </w:r>
            <w:r>
              <w:rPr>
                <w:rFonts w:hint="default"/>
              </w:rPr>
              <w:t>属于</w:t>
            </w:r>
            <w:r>
              <w:rPr>
                <w:rFonts w:hint="eastAsia"/>
                <w:lang w:val="en-US" w:eastAsia="zh-CN"/>
              </w:rPr>
              <w:t>允许</w:t>
            </w:r>
            <w:r>
              <w:rPr>
                <w:rFonts w:hint="default"/>
              </w:rPr>
              <w:t>类项目</w:t>
            </w:r>
            <w:r>
              <w:rPr>
                <w:rFonts w:hint="eastAsia"/>
                <w:lang w:eastAsia="zh-CN"/>
              </w:rPr>
              <w:t>，</w:t>
            </w:r>
            <w:r>
              <w:rPr>
                <w:rFonts w:hint="default"/>
                <w:lang w:val="en-US" w:eastAsia="zh-CN"/>
              </w:rPr>
              <w:t>项目不属于高污染、高能耗行业；项目已取得该区域的探矿权，证号</w:t>
            </w:r>
            <w:r>
              <w:rPr>
                <w:rFonts w:hint="default"/>
                <w:highlight w:val="none"/>
                <w:lang w:val="en-US" w:eastAsia="zh-CN"/>
              </w:rPr>
              <w:t>：</w:t>
            </w:r>
            <w:r>
              <w:rPr>
                <w:rFonts w:hint="eastAsia"/>
                <w:highlight w:val="none"/>
                <w:lang w:val="en-US" w:eastAsia="zh-CN"/>
              </w:rPr>
              <w:t>DT6500002008063010009491。</w:t>
            </w:r>
            <w:r>
              <w:rPr>
                <w:rFonts w:hint="eastAsia"/>
                <w:lang w:val="en-US" w:eastAsia="zh-CN"/>
              </w:rPr>
              <w:t>所以本项目</w:t>
            </w:r>
            <w:r>
              <w:rPr>
                <w:rFonts w:hint="default"/>
                <w:lang w:val="en-US" w:eastAsia="zh-CN"/>
              </w:rPr>
              <w:t>符合产业政策和环境准入要求。</w:t>
            </w:r>
          </w:p>
          <w:p>
            <w:pPr>
              <w:pStyle w:val="48"/>
              <w:bidi w:val="0"/>
              <w:rPr>
                <w:rFonts w:hint="default"/>
              </w:rPr>
            </w:pPr>
            <w:r>
              <w:rPr>
                <w:rFonts w:hint="default"/>
              </w:rPr>
              <w:t>根据《新疆维吾尔自治区重点行业生态环境准入条件（2024年）》</w:t>
            </w:r>
            <w:r>
              <w:rPr>
                <w:rFonts w:hint="default"/>
                <w:lang w:eastAsia="zh-CN"/>
              </w:rPr>
              <w:t>：禁止在自然保护区、世界自然遗产地、风景名胜区、森林公园、地质公园、重要湿地、饮用水水源保护区等重点保护区域内及其它法律法规禁止的区域进行污染环境的任何开发活动。</w:t>
            </w:r>
            <w:r>
              <w:rPr>
                <w:rFonts w:hint="default"/>
              </w:rPr>
              <w:t>根据现场勘查，</w:t>
            </w:r>
            <w:r>
              <w:rPr>
                <w:rFonts w:hint="default"/>
                <w:lang w:eastAsia="zh-CN"/>
              </w:rPr>
              <w:t>勘探</w:t>
            </w:r>
            <w:r>
              <w:rPr>
                <w:rFonts w:hint="default"/>
              </w:rPr>
              <w:t>区</w:t>
            </w:r>
            <w:r>
              <w:rPr>
                <w:rFonts w:hint="default"/>
                <w:lang w:eastAsia="zh-CN"/>
              </w:rPr>
              <w:t>不涉及自然保护区、世界自然遗产地、风景名胜区、森林公园、地质公园、重要湿地、饮用水水源保护区等重点保护区域，</w:t>
            </w:r>
            <w:r>
              <w:rPr>
                <w:rFonts w:hint="default"/>
              </w:rPr>
              <w:t>因此本项目选址符合《新疆维吾尔自治区重点行业生态环境准入条件（2024年）》的相关要求。</w:t>
            </w:r>
          </w:p>
          <w:p>
            <w:pPr>
              <w:pStyle w:val="48"/>
              <w:bidi w:val="0"/>
              <w:rPr>
                <w:rFonts w:hint="eastAsia"/>
                <w:lang w:val="en-US" w:eastAsia="zh-CN"/>
              </w:rPr>
            </w:pPr>
            <w:r>
              <w:rPr>
                <w:rFonts w:hint="eastAsia"/>
                <w:lang w:val="en-US" w:eastAsia="zh-CN"/>
              </w:rPr>
              <w:t>本项目符合《</w:t>
            </w:r>
            <w:r>
              <w:rPr>
                <w:rFonts w:hint="default"/>
                <w:lang w:val="en-US" w:eastAsia="zh-CN"/>
              </w:rPr>
              <w:t>新疆维吾尔自治区矿产资源总体规划（2021</w:t>
            </w:r>
            <w:r>
              <w:rPr>
                <w:rFonts w:hint="eastAsia"/>
                <w:lang w:val="en-US" w:eastAsia="zh-CN"/>
              </w:rPr>
              <w:t>—</w:t>
            </w:r>
            <w:r>
              <w:rPr>
                <w:rFonts w:hint="default"/>
                <w:lang w:val="en-US" w:eastAsia="zh-CN"/>
              </w:rPr>
              <w:t>2025年）</w:t>
            </w:r>
            <w:r>
              <w:rPr>
                <w:rFonts w:hint="eastAsia"/>
                <w:lang w:val="en-US" w:eastAsia="zh-CN"/>
              </w:rPr>
              <w:t>》基本原则（即为聚焦国家、新疆紧缺矿产，以找大矿富矿为目标，加大勘查力度，突出南疆，持续推进找矿突破，助力乡村振兴，巩固脱贫攻坚成果。强化矿产资源合理开发利用与保护，不断提高资源利用水平，延伸下游产业链，为国家、自治区经济社会发展提供可靠的资源保障），且本</w:t>
            </w:r>
            <w:r>
              <w:rPr>
                <w:rFonts w:hint="eastAsia"/>
                <w:highlight w:val="none"/>
                <w:lang w:val="en-US" w:eastAsia="zh-CN"/>
              </w:rPr>
              <w:t>项目</w:t>
            </w:r>
            <w:r>
              <w:rPr>
                <w:rFonts w:hint="default"/>
                <w:highlight w:val="none"/>
              </w:rPr>
              <w:t>主要针对</w:t>
            </w:r>
            <w:r>
              <w:rPr>
                <w:rFonts w:hint="eastAsia"/>
                <w:highlight w:val="none"/>
                <w:lang w:val="en-US" w:eastAsia="zh-CN"/>
              </w:rPr>
              <w:t>铜金矿</w:t>
            </w:r>
            <w:r>
              <w:rPr>
                <w:rFonts w:hint="default"/>
                <w:highlight w:val="none"/>
              </w:rPr>
              <w:t>进行勘查，</w:t>
            </w:r>
            <w:r>
              <w:rPr>
                <w:rFonts w:hint="eastAsia"/>
                <w:lang w:val="en-US" w:eastAsia="zh-CN"/>
              </w:rPr>
              <w:t>属于重点勘查开采矿种，符合《</w:t>
            </w:r>
            <w:r>
              <w:rPr>
                <w:rFonts w:hint="default"/>
                <w:lang w:val="en-US" w:eastAsia="zh-CN"/>
              </w:rPr>
              <w:t>新疆维吾尔自治区矿产资源总体规划（2021</w:t>
            </w:r>
            <w:r>
              <w:rPr>
                <w:rFonts w:hint="eastAsia"/>
                <w:lang w:val="en-US" w:eastAsia="zh-CN"/>
              </w:rPr>
              <w:t>—</w:t>
            </w:r>
            <w:r>
              <w:rPr>
                <w:rFonts w:hint="default"/>
                <w:lang w:val="en-US" w:eastAsia="zh-CN"/>
              </w:rPr>
              <w:t>2025年）</w:t>
            </w:r>
            <w:r>
              <w:rPr>
                <w:rFonts w:hint="eastAsia"/>
                <w:lang w:val="en-US" w:eastAsia="zh-CN"/>
              </w:rPr>
              <w:t>》相关要求。</w:t>
            </w:r>
          </w:p>
          <w:p>
            <w:pPr>
              <w:pStyle w:val="48"/>
              <w:bidi w:val="0"/>
              <w:rPr>
                <w:rFonts w:hint="default"/>
                <w:lang w:val="en-US" w:eastAsia="zh-CN"/>
              </w:rPr>
            </w:pPr>
            <w:r>
              <w:rPr>
                <w:rFonts w:hint="default"/>
                <w:highlight w:val="none"/>
                <w:lang w:val="en-US" w:eastAsia="zh-CN"/>
              </w:rPr>
              <w:t>项目开发过程中须加强水土保持工作，控制人为活动造成新的水土流失。勘探区降雨量较低，基本无法形成无组织的径流</w:t>
            </w:r>
            <w:r>
              <w:rPr>
                <w:rFonts w:hint="eastAsia"/>
                <w:highlight w:val="none"/>
                <w:lang w:val="en-US" w:eastAsia="zh-CN"/>
              </w:rPr>
              <w:t>，</w:t>
            </w:r>
            <w:r>
              <w:rPr>
                <w:rFonts w:hint="default"/>
                <w:highlight w:val="none"/>
                <w:lang w:val="en-US" w:eastAsia="zh-CN"/>
              </w:rPr>
              <w:t>勘探区采用了边开挖、边回填、边复垦的勘探方式，</w:t>
            </w:r>
            <w:r>
              <w:rPr>
                <w:rFonts w:hint="default"/>
                <w:lang w:val="en-US" w:eastAsia="zh-CN"/>
              </w:rPr>
              <w:t>符合《新疆维吾尔自治区水土保持规划（2018</w:t>
            </w:r>
            <w:r>
              <w:rPr>
                <w:rFonts w:hint="eastAsia"/>
                <w:lang w:val="en-US" w:eastAsia="zh-CN"/>
              </w:rPr>
              <w:t>—</w:t>
            </w:r>
            <w:r>
              <w:rPr>
                <w:rFonts w:hint="default"/>
                <w:lang w:val="en-US" w:eastAsia="zh-CN"/>
              </w:rPr>
              <w:t>2030年）》的相关要求。</w:t>
            </w:r>
          </w:p>
          <w:p>
            <w:pPr>
              <w:pStyle w:val="48"/>
              <w:bidi w:val="0"/>
              <w:rPr>
                <w:rFonts w:hint="eastAsia" w:ascii="Times New Roman" w:hAnsi="Times New Roman" w:eastAsia="宋体" w:cs="宋体"/>
                <w:kern w:val="0"/>
                <w:sz w:val="24"/>
                <w:szCs w:val="24"/>
                <w:lang w:val="en-US" w:eastAsia="zh-CN" w:bidi="ar-SA"/>
              </w:rPr>
            </w:pPr>
            <w:r>
              <w:rPr>
                <w:rFonts w:hint="default"/>
                <w:lang w:eastAsia="zh-CN"/>
              </w:rPr>
              <w:t>因此，本项目选址合理。</w:t>
            </w:r>
          </w:p>
        </w:tc>
      </w:tr>
    </w:tbl>
    <w:p>
      <w:pPr>
        <w:pStyle w:val="20"/>
        <w:jc w:val="center"/>
        <w:rPr>
          <w:rFonts w:ascii="黑体" w:hAnsi="黑体" w:eastAsia="黑体"/>
          <w:snapToGrid w:val="0"/>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pPr>
        <w:pStyle w:val="20"/>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23"/>
        <w:tblW w:w="83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7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9" w:hRule="atLeast"/>
          <w:jc w:val="center"/>
        </w:trPr>
        <w:tc>
          <w:tcPr>
            <w:tcW w:w="567" w:type="dxa"/>
            <w:noWrap w:val="0"/>
            <w:tcMar>
              <w:left w:w="28" w:type="dxa"/>
              <w:right w:w="28" w:type="dxa"/>
            </w:tcMar>
            <w:vAlign w:val="center"/>
          </w:tcPr>
          <w:p>
            <w:pPr>
              <w:adjustRightInd w:val="0"/>
              <w:snapToGrid w:val="0"/>
              <w:jc w:val="center"/>
              <w:rPr>
                <w:rFonts w:ascii="宋体" w:hAnsi="宋体"/>
                <w:bCs/>
                <w:szCs w:val="21"/>
              </w:rPr>
            </w:pPr>
            <w:r>
              <w:rPr>
                <w:rFonts w:hint="eastAsia" w:ascii="宋体" w:hAnsi="宋体" w:cs="宋体"/>
                <w:bCs/>
                <w:spacing w:val="10"/>
                <w:szCs w:val="21"/>
              </w:rPr>
              <w:t>施工期生态环境保护措施</w:t>
            </w:r>
          </w:p>
        </w:tc>
        <w:tc>
          <w:tcPr>
            <w:tcW w:w="7746" w:type="dxa"/>
            <w:noWrap w:val="0"/>
            <w:vAlign w:val="center"/>
          </w:tcPr>
          <w:p>
            <w:pPr>
              <w:pStyle w:val="50"/>
              <w:bidi w:val="0"/>
              <w:rPr>
                <w:rFonts w:hint="eastAsia"/>
                <w:lang w:val="en-US" w:eastAsia="zh-CN"/>
              </w:rPr>
            </w:pPr>
            <w:r>
              <w:rPr>
                <w:rFonts w:hint="eastAsia"/>
                <w:lang w:val="en-US" w:eastAsia="zh-CN"/>
              </w:rPr>
              <w:t>1.</w:t>
            </w:r>
            <w:r>
              <w:rPr>
                <w:rFonts w:hint="eastAsia"/>
              </w:rPr>
              <w:t>施工期</w:t>
            </w:r>
            <w:r>
              <w:rPr>
                <w:rFonts w:hint="eastAsia"/>
                <w:lang w:val="en-US" w:eastAsia="zh-CN"/>
              </w:rPr>
              <w:t>生态</w:t>
            </w:r>
            <w:r>
              <w:rPr>
                <w:rFonts w:hint="eastAsia"/>
              </w:rPr>
              <w:t>环境</w:t>
            </w:r>
            <w:r>
              <w:rPr>
                <w:rFonts w:hint="eastAsia"/>
                <w:lang w:val="en-US" w:eastAsia="zh-CN"/>
              </w:rPr>
              <w:t>保护措施</w:t>
            </w:r>
          </w:p>
          <w:p>
            <w:pPr>
              <w:pStyle w:val="50"/>
              <w:bidi w:val="0"/>
              <w:rPr>
                <w:rFonts w:hint="eastAsia"/>
                <w:lang w:val="en-US" w:eastAsia="zh-CN"/>
              </w:rPr>
            </w:pPr>
            <w:r>
              <w:rPr>
                <w:rFonts w:hint="eastAsia"/>
                <w:lang w:val="en-US" w:eastAsia="zh-CN"/>
              </w:rPr>
              <w:t>1.1对地表扰动的生态保护措施</w:t>
            </w:r>
          </w:p>
          <w:p>
            <w:pPr>
              <w:pStyle w:val="48"/>
              <w:rPr>
                <w:rFonts w:hint="eastAsia"/>
              </w:rPr>
            </w:pPr>
            <w:r>
              <w:rPr>
                <w:rFonts w:hint="default"/>
                <w:lang w:eastAsia="zh-CN"/>
              </w:rPr>
              <w:t>（</w:t>
            </w:r>
            <w:r>
              <w:rPr>
                <w:rFonts w:hint="default"/>
                <w:lang w:val="en-US" w:eastAsia="zh-CN"/>
              </w:rPr>
              <w:t>1</w:t>
            </w:r>
            <w:r>
              <w:rPr>
                <w:rFonts w:hint="default"/>
                <w:b w:val="0"/>
                <w:bCs w:val="0"/>
                <w:color w:val="auto"/>
                <w:lang w:eastAsia="zh-CN"/>
              </w:rPr>
              <w:t>）</w:t>
            </w:r>
            <w:r>
              <w:rPr>
                <w:rFonts w:hint="default"/>
                <w:b w:val="0"/>
                <w:bCs w:val="0"/>
                <w:color w:val="auto"/>
                <w:lang w:val="en-US" w:eastAsia="zh-CN"/>
              </w:rPr>
              <w:t>选择植被覆盖度较低、地势平坦的区域作为临时生活营地</w:t>
            </w:r>
            <w:r>
              <w:rPr>
                <w:rFonts w:hint="eastAsia"/>
                <w:b w:val="0"/>
                <w:bCs w:val="0"/>
                <w:color w:val="auto"/>
                <w:lang w:val="en-US" w:eastAsia="zh-CN"/>
              </w:rPr>
              <w:t>。</w:t>
            </w:r>
          </w:p>
          <w:p>
            <w:pPr>
              <w:pStyle w:val="48"/>
              <w:bidi w:val="0"/>
              <w:rPr>
                <w:rFonts w:hint="eastAsia"/>
                <w:lang w:val="en-US" w:eastAsia="zh-CN"/>
              </w:rPr>
            </w:pPr>
            <w:r>
              <w:rPr>
                <w:rFonts w:hint="default"/>
              </w:rPr>
              <w:t>（2）</w:t>
            </w:r>
            <w:r>
              <w:rPr>
                <w:rFonts w:hint="eastAsia"/>
                <w:lang w:val="en-US" w:eastAsia="zh-CN"/>
              </w:rPr>
              <w:t>在施工前应预先剥离表土，单独堆放并使用彩条布苫盖。表土剥离厚度约0.3m，尽量使用小型挖掘机械或人工作业，减少对周围环境的扰动。</w:t>
            </w:r>
          </w:p>
          <w:p>
            <w:pPr>
              <w:pStyle w:val="48"/>
              <w:bidi w:val="0"/>
              <w:rPr>
                <w:rFonts w:hint="eastAsia"/>
                <w:lang w:val="en-US" w:eastAsia="zh-CN"/>
              </w:rPr>
            </w:pPr>
            <w:r>
              <w:rPr>
                <w:rFonts w:hint="eastAsia"/>
                <w:lang w:val="en-US" w:eastAsia="zh-CN"/>
              </w:rPr>
              <w:t>（3）</w:t>
            </w:r>
            <w:r>
              <w:rPr>
                <w:rFonts w:hint="default"/>
              </w:rPr>
              <w:t>施工结束后，及时拆除、清理临时生产设施，各类施工迹地、料场应进行清理，平整场地，使扰动过的地表与周围的景观相协调。</w:t>
            </w:r>
            <w:r>
              <w:rPr>
                <w:rFonts w:hint="eastAsia"/>
                <w:lang w:val="en-US" w:eastAsia="zh-CN"/>
              </w:rPr>
              <w:t>在土方回填施工过程中，应采取以下环境保护措施。</w:t>
            </w:r>
          </w:p>
          <w:p>
            <w:pPr>
              <w:pStyle w:val="48"/>
              <w:bidi w:val="0"/>
              <w:rPr>
                <w:rFonts w:hint="eastAsia"/>
                <w:lang w:val="en-US" w:eastAsia="zh-CN"/>
              </w:rPr>
            </w:pPr>
            <w:r>
              <w:rPr>
                <w:rFonts w:hint="default"/>
                <w:lang w:val="en-US" w:eastAsia="zh-CN"/>
              </w:rPr>
              <w:t>①</w:t>
            </w:r>
            <w:r>
              <w:rPr>
                <w:rFonts w:hint="eastAsia"/>
                <w:lang w:val="en-US" w:eastAsia="zh-CN"/>
              </w:rPr>
              <w:t>合理划定回填区域范围，确保不超过规定范围。</w:t>
            </w:r>
          </w:p>
          <w:p>
            <w:pPr>
              <w:pStyle w:val="48"/>
              <w:bidi w:val="0"/>
              <w:rPr>
                <w:rFonts w:hint="eastAsia"/>
                <w:lang w:val="en-US" w:eastAsia="zh-CN"/>
              </w:rPr>
            </w:pPr>
            <w:r>
              <w:rPr>
                <w:rFonts w:hint="default"/>
                <w:lang w:val="en-US" w:eastAsia="zh-CN"/>
              </w:rPr>
              <w:t>②</w:t>
            </w:r>
            <w:r>
              <w:rPr>
                <w:rFonts w:hint="eastAsia"/>
                <w:lang w:val="en-US" w:eastAsia="zh-CN"/>
              </w:rPr>
              <w:t>制定详细表土回用计划，明确回用时间、地点、方式及用量，确保在探矿结束后及时开展。</w:t>
            </w:r>
          </w:p>
          <w:p>
            <w:pPr>
              <w:pStyle w:val="48"/>
              <w:bidi w:val="0"/>
              <w:rPr>
                <w:rFonts w:hint="default" w:ascii="Times New Roman" w:hAnsi="Times New Roman" w:eastAsia="宋体" w:cs="宋体"/>
                <w:b w:val="0"/>
                <w:kern w:val="0"/>
                <w:sz w:val="24"/>
                <w:szCs w:val="24"/>
                <w:lang w:val="en-US" w:eastAsia="zh-CN" w:bidi="ar-SA"/>
              </w:rPr>
            </w:pPr>
            <w:r>
              <w:rPr>
                <w:rFonts w:hint="default" w:ascii="Times New Roman" w:hAnsi="Times New Roman" w:eastAsia="宋体" w:cs="宋体"/>
                <w:b w:val="0"/>
                <w:kern w:val="0"/>
                <w:sz w:val="24"/>
                <w:szCs w:val="24"/>
                <w:lang w:val="en-US" w:eastAsia="zh-CN" w:bidi="ar-SA"/>
              </w:rPr>
              <w:t>③</w:t>
            </w:r>
            <w:r>
              <w:rPr>
                <w:rFonts w:hint="eastAsia" w:ascii="Times New Roman" w:hAnsi="Times New Roman" w:eastAsia="宋体" w:cs="宋体"/>
                <w:b w:val="0"/>
                <w:kern w:val="0"/>
                <w:sz w:val="24"/>
                <w:szCs w:val="24"/>
                <w:lang w:val="en-US" w:eastAsia="zh-CN" w:bidi="ar-SA"/>
              </w:rPr>
              <w:t>回用过程中，遵循“先剥离、后回用”原则，按照原土壤层次顺序回填。采用机械与人工相结合的方式，确保回填均匀，平整周边地形，使其与周边地形地貌相协调，最终使其自然恢复。</w:t>
            </w:r>
          </w:p>
          <w:p>
            <w:pPr>
              <w:pStyle w:val="50"/>
              <w:bidi w:val="0"/>
              <w:rPr>
                <w:rFonts w:hint="default"/>
                <w:lang w:val="en-US" w:eastAsia="zh-CN"/>
              </w:rPr>
            </w:pPr>
            <w:r>
              <w:rPr>
                <w:rFonts w:hint="eastAsia"/>
                <w:lang w:val="en-US" w:eastAsia="zh-CN"/>
              </w:rPr>
              <w:t>1.2对野生动植物的保护措施</w:t>
            </w:r>
          </w:p>
          <w:p>
            <w:pPr>
              <w:pStyle w:val="48"/>
              <w:bidi w:val="0"/>
              <w:rPr>
                <w:rFonts w:hint="default"/>
              </w:rPr>
            </w:pPr>
            <w:r>
              <w:rPr>
                <w:rFonts w:hint="eastAsia"/>
                <w:lang w:val="en-US" w:eastAsia="zh-CN"/>
              </w:rPr>
              <w:t>（1）</w:t>
            </w:r>
            <w:r>
              <w:rPr>
                <w:rFonts w:hint="default"/>
              </w:rPr>
              <w:t>严格限定施工作业带范围，严格行车路线，运输车辆不得随意驶离道路或施工便道。优化施工组织，尽量减少施工过程中动用的土石方数量，减少植被破坏量。</w:t>
            </w:r>
          </w:p>
          <w:p>
            <w:pPr>
              <w:pStyle w:val="48"/>
              <w:bidi w:val="0"/>
              <w:rPr>
                <w:rFonts w:hint="eastAsia"/>
                <w:lang w:val="en-US" w:eastAsia="zh-CN"/>
              </w:rPr>
            </w:pPr>
            <w:r>
              <w:rPr>
                <w:rFonts w:hint="default"/>
              </w:rPr>
              <w:t>（</w:t>
            </w:r>
            <w:r>
              <w:rPr>
                <w:rFonts w:hint="eastAsia"/>
                <w:lang w:val="en-US" w:eastAsia="zh-CN"/>
              </w:rPr>
              <w:t>2</w:t>
            </w:r>
            <w:r>
              <w:rPr>
                <w:rFonts w:hint="default"/>
              </w:rPr>
              <w:t>）</w:t>
            </w:r>
            <w:r>
              <w:rPr>
                <w:rFonts w:hint="default"/>
                <w:lang w:val="en-US" w:eastAsia="zh-CN"/>
              </w:rPr>
              <w:t>在施工道路设置</w:t>
            </w:r>
            <w:r>
              <w:rPr>
                <w:rFonts w:hint="eastAsia"/>
                <w:lang w:val="en-US" w:eastAsia="zh-CN"/>
              </w:rPr>
              <w:t>“</w:t>
            </w:r>
            <w:r>
              <w:rPr>
                <w:rFonts w:hint="default"/>
                <w:lang w:val="en-US" w:eastAsia="zh-CN"/>
              </w:rPr>
              <w:t>保护生态环境、保护野生动物</w:t>
            </w:r>
            <w:r>
              <w:rPr>
                <w:rFonts w:hint="eastAsia"/>
                <w:lang w:val="en-US" w:eastAsia="zh-CN"/>
              </w:rPr>
              <w:t>”</w:t>
            </w:r>
            <w:r>
              <w:rPr>
                <w:rFonts w:hint="default"/>
                <w:lang w:val="en-US" w:eastAsia="zh-CN"/>
              </w:rPr>
              <w:t>等警示牌，加强对施工人员进行宣传教育，强化保护野生动物的观念，不得捕猎。车辆行驶过程中不得鸣笛惊吓野生动物。</w:t>
            </w:r>
          </w:p>
          <w:p>
            <w:pPr>
              <w:pStyle w:val="48"/>
              <w:bidi w:val="0"/>
              <w:rPr>
                <w:rFonts w:hint="default"/>
              </w:rPr>
            </w:pPr>
            <w:r>
              <w:rPr>
                <w:rFonts w:hint="eastAsia"/>
                <w:lang w:val="en-US" w:eastAsia="zh-CN"/>
              </w:rPr>
              <w:t>（3）</w:t>
            </w:r>
            <w:r>
              <w:rPr>
                <w:rFonts w:hint="default"/>
              </w:rPr>
              <w:t>施工时，避免大型挖掘设备，尽量使用小型挖掘机械或人工作业，尽量缩短工期，减少因施工造成对</w:t>
            </w:r>
            <w:r>
              <w:rPr>
                <w:rFonts w:hint="eastAsia"/>
                <w:lang w:val="en-US" w:eastAsia="zh-CN"/>
              </w:rPr>
              <w:t>动植物</w:t>
            </w:r>
            <w:r>
              <w:rPr>
                <w:rFonts w:hint="default"/>
              </w:rPr>
              <w:t>的影响。</w:t>
            </w:r>
          </w:p>
          <w:p>
            <w:pPr>
              <w:pStyle w:val="50"/>
              <w:bidi w:val="0"/>
              <w:rPr>
                <w:rFonts w:hint="default"/>
                <w:lang w:val="en-US" w:eastAsia="zh-CN"/>
              </w:rPr>
            </w:pPr>
            <w:r>
              <w:rPr>
                <w:rFonts w:hint="eastAsia"/>
                <w:lang w:val="en-US" w:eastAsia="zh-CN"/>
              </w:rPr>
              <w:t>1.3</w:t>
            </w:r>
            <w:r>
              <w:rPr>
                <w:rFonts w:hint="default"/>
              </w:rPr>
              <w:t>施工期</w:t>
            </w:r>
            <w:r>
              <w:rPr>
                <w:rFonts w:hint="eastAsia"/>
                <w:lang w:val="en-US" w:eastAsia="zh-CN"/>
              </w:rPr>
              <w:t>防沙治沙</w:t>
            </w:r>
            <w:r>
              <w:rPr>
                <w:rFonts w:hint="default"/>
                <w:lang w:val="en-US" w:eastAsia="zh-CN"/>
              </w:rPr>
              <w:t>措施</w:t>
            </w:r>
          </w:p>
          <w:p>
            <w:pPr>
              <w:pStyle w:val="48"/>
              <w:bidi w:val="0"/>
              <w:rPr>
                <w:rFonts w:hint="eastAsia"/>
                <w:lang w:val="en-US" w:eastAsia="zh-CN"/>
              </w:rPr>
            </w:pPr>
            <w:r>
              <w:rPr>
                <w:rFonts w:hint="default"/>
                <w:lang w:val="en-US" w:eastAsia="zh-CN"/>
              </w:rPr>
              <w:t>项目</w:t>
            </w:r>
            <w:r>
              <w:rPr>
                <w:rFonts w:hint="eastAsia"/>
                <w:lang w:val="en-US" w:eastAsia="zh-CN"/>
              </w:rPr>
              <w:t>施工时间短，范围小，对区域土地沙化影响较小。采取以下防沙治沙措施：</w:t>
            </w:r>
          </w:p>
          <w:p>
            <w:pPr>
              <w:pStyle w:val="48"/>
              <w:bidi w:val="0"/>
              <w:rPr>
                <w:rFonts w:hint="eastAsia"/>
                <w:lang w:val="en-US" w:eastAsia="zh-CN"/>
              </w:rPr>
            </w:pPr>
            <w:r>
              <w:rPr>
                <w:rFonts w:hint="eastAsia"/>
                <w:lang w:val="en-US" w:eastAsia="zh-CN"/>
              </w:rPr>
              <w:t>①</w:t>
            </w:r>
            <w:r>
              <w:rPr>
                <w:rFonts w:hint="default"/>
                <w:lang w:val="en-US" w:eastAsia="zh-CN"/>
              </w:rPr>
              <w:t>施工结束后对场地进行平整和清理，尽量利用施工时产生的表层土对临时占地进行覆盖</w:t>
            </w:r>
            <w:r>
              <w:rPr>
                <w:rFonts w:hint="eastAsia"/>
                <w:lang w:val="en-US" w:eastAsia="zh-CN"/>
              </w:rPr>
              <w:t>。</w:t>
            </w:r>
          </w:p>
          <w:p>
            <w:pPr>
              <w:pStyle w:val="48"/>
              <w:bidi w:val="0"/>
              <w:rPr>
                <w:rFonts w:hint="default"/>
                <w:lang w:val="en-US" w:eastAsia="zh-CN"/>
              </w:rPr>
            </w:pPr>
            <w:r>
              <w:rPr>
                <w:rFonts w:hint="eastAsia"/>
                <w:lang w:val="en-US" w:eastAsia="zh-CN"/>
              </w:rPr>
              <w:t>②合理规划机械行驶路线，避免不必要的重复碾压。</w:t>
            </w:r>
          </w:p>
          <w:p>
            <w:pPr>
              <w:pStyle w:val="48"/>
              <w:bidi w:val="0"/>
              <w:rPr>
                <w:rFonts w:hint="default"/>
                <w:lang w:val="en-US" w:eastAsia="zh-CN"/>
              </w:rPr>
            </w:pPr>
            <w:r>
              <w:rPr>
                <w:rFonts w:hint="eastAsia"/>
                <w:lang w:val="en-US" w:eastAsia="zh-CN"/>
              </w:rPr>
              <w:t>③严禁在大风大雨天气施工</w:t>
            </w:r>
            <w:r>
              <w:rPr>
                <w:rFonts w:hint="default"/>
                <w:lang w:val="en-US" w:eastAsia="zh-CN"/>
              </w:rPr>
              <w:t>。</w:t>
            </w:r>
          </w:p>
          <w:p>
            <w:pPr>
              <w:pStyle w:val="48"/>
              <w:bidi w:val="0"/>
              <w:ind w:left="0" w:leftChars="0" w:firstLine="0" w:firstLineChars="0"/>
              <w:rPr>
                <w:rFonts w:hint="default"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1.4施工期水土保持措施</w:t>
            </w:r>
          </w:p>
          <w:p>
            <w:pPr>
              <w:pStyle w:val="48"/>
              <w:bidi w:val="0"/>
              <w:rPr>
                <w:rFonts w:hint="default"/>
                <w:lang w:val="en-US" w:eastAsia="zh-CN"/>
              </w:rPr>
            </w:pPr>
            <w:r>
              <w:rPr>
                <w:rFonts w:hint="default"/>
                <w:lang w:val="en-US" w:eastAsia="zh-CN"/>
              </w:rPr>
              <w:t>项目施工过程中，各类工程活动如平整场地、搭建临时设施等会</w:t>
            </w:r>
            <w:r>
              <w:rPr>
                <w:rFonts w:hint="eastAsia"/>
                <w:lang w:val="en-US" w:eastAsia="zh-CN"/>
              </w:rPr>
              <w:t>造成水土流失。采取以下水土保持措施：</w:t>
            </w:r>
          </w:p>
          <w:p>
            <w:pPr>
              <w:pStyle w:val="48"/>
              <w:bidi w:val="0"/>
              <w:rPr>
                <w:rFonts w:hint="default"/>
                <w:lang w:val="en-US" w:eastAsia="zh-CN"/>
              </w:rPr>
            </w:pPr>
            <w:r>
              <w:rPr>
                <w:rFonts w:hint="eastAsia"/>
                <w:lang w:val="en-US" w:eastAsia="zh-CN"/>
              </w:rPr>
              <w:t>①</w:t>
            </w:r>
            <w:r>
              <w:rPr>
                <w:rFonts w:hint="default"/>
                <w:lang w:val="en-US" w:eastAsia="zh-CN"/>
              </w:rPr>
              <w:t>做好施工规划工作，合理布设施工场地，减少占用土地</w:t>
            </w:r>
            <w:r>
              <w:rPr>
                <w:rFonts w:hint="eastAsia"/>
                <w:lang w:val="en-US" w:eastAsia="zh-CN"/>
              </w:rPr>
              <w:t>。</w:t>
            </w:r>
          </w:p>
          <w:p>
            <w:pPr>
              <w:pStyle w:val="48"/>
              <w:bidi w:val="0"/>
              <w:rPr>
                <w:rFonts w:hint="eastAsia"/>
                <w:lang w:val="en-US" w:eastAsia="zh-CN"/>
              </w:rPr>
            </w:pPr>
            <w:r>
              <w:rPr>
                <w:rFonts w:hint="eastAsia"/>
                <w:lang w:val="en-US" w:eastAsia="zh-CN"/>
              </w:rPr>
              <w:t>②</w:t>
            </w:r>
            <w:r>
              <w:rPr>
                <w:rFonts w:hint="default"/>
                <w:lang w:val="en-US" w:eastAsia="zh-CN"/>
              </w:rPr>
              <w:t>控制人为活动，加强施工监理，防止施工人员及施工机械超范围的活动</w:t>
            </w:r>
            <w:r>
              <w:rPr>
                <w:rFonts w:hint="eastAsia"/>
                <w:lang w:val="en-US" w:eastAsia="zh-CN"/>
              </w:rPr>
              <w:t>。</w:t>
            </w:r>
          </w:p>
          <w:p>
            <w:pPr>
              <w:pStyle w:val="48"/>
              <w:bidi w:val="0"/>
              <w:rPr>
                <w:rFonts w:hint="default"/>
                <w:lang w:val="en-US" w:eastAsia="zh-CN"/>
              </w:rPr>
            </w:pPr>
            <w:r>
              <w:rPr>
                <w:rFonts w:hint="eastAsia"/>
                <w:lang w:val="en-US" w:eastAsia="zh-CN"/>
              </w:rPr>
              <w:t>③</w:t>
            </w:r>
            <w:r>
              <w:rPr>
                <w:rFonts w:hint="default"/>
                <w:lang w:val="en-US" w:eastAsia="zh-CN"/>
              </w:rPr>
              <w:t>动土作业应尽量避免大风天和雨天开展，以免造成大量水土流失。</w:t>
            </w:r>
          </w:p>
          <w:p>
            <w:pPr>
              <w:pStyle w:val="48"/>
              <w:bidi w:val="0"/>
              <w:rPr>
                <w:rFonts w:hint="eastAsia"/>
                <w:lang w:eastAsia="zh-CN"/>
              </w:rPr>
            </w:pPr>
            <w:r>
              <w:rPr>
                <w:rFonts w:hint="eastAsia"/>
                <w:lang w:val="en-US" w:eastAsia="zh-CN"/>
              </w:rPr>
              <w:t>④</w:t>
            </w:r>
            <w:r>
              <w:rPr>
                <w:rFonts w:hint="default"/>
                <w:lang w:val="en-US" w:eastAsia="zh-CN"/>
              </w:rPr>
              <w:t>结束后要对施工迹地进行清理平整与植被恢复工作，尽可能减少对树木与植被的破坏。</w:t>
            </w:r>
          </w:p>
          <w:p>
            <w:pPr>
              <w:pStyle w:val="50"/>
              <w:bidi w:val="0"/>
            </w:pPr>
            <w:r>
              <w:rPr>
                <w:rFonts w:hint="eastAsia"/>
                <w:lang w:val="en-US" w:eastAsia="zh-CN"/>
              </w:rPr>
              <w:t>2.</w:t>
            </w:r>
            <w:r>
              <w:rPr>
                <w:rFonts w:hint="eastAsia"/>
              </w:rPr>
              <w:t>施工期大气环境</w:t>
            </w:r>
            <w:r>
              <w:rPr>
                <w:rFonts w:hint="eastAsia"/>
                <w:lang w:val="en-US" w:eastAsia="zh-CN"/>
              </w:rPr>
              <w:t>保护措施</w:t>
            </w:r>
          </w:p>
          <w:p>
            <w:pPr>
              <w:pStyle w:val="48"/>
              <w:numPr>
                <w:ilvl w:val="0"/>
                <w:numId w:val="0"/>
              </w:numPr>
              <w:bidi w:val="0"/>
              <w:ind w:firstLine="480" w:firstLineChars="200"/>
              <w:rPr>
                <w:rFonts w:hint="default"/>
              </w:rPr>
            </w:pPr>
            <w:r>
              <w:rPr>
                <w:rFonts w:hint="default" w:ascii="Times New Roman" w:hAnsi="Times New Roman" w:eastAsia="宋体" w:cs="宋体"/>
                <w:kern w:val="0"/>
                <w:sz w:val="24"/>
                <w:szCs w:val="24"/>
                <w:lang w:val="en-US" w:eastAsia="zh-CN" w:bidi="ar-SA"/>
              </w:rPr>
              <w:t>（1）</w:t>
            </w:r>
            <w:r>
              <w:rPr>
                <w:rFonts w:hint="default"/>
              </w:rPr>
              <w:t>运输车辆应谨防运输车辆装载过满，并尽可能采取遮盖、密闭措施，苫布边缘至少要遮住槽帮上沿以下15cm，减少其沿途遗</w:t>
            </w:r>
            <w:r>
              <w:rPr>
                <w:rFonts w:hint="eastAsia"/>
                <w:lang w:eastAsia="zh-CN"/>
              </w:rPr>
              <w:t>撒</w:t>
            </w:r>
            <w:r>
              <w:rPr>
                <w:rFonts w:hint="default"/>
              </w:rPr>
              <w:t>，及时清扫散落在路面的泥土和灰尘定时洒水压尘，减少运输过程中的扬尘，防止因速度过快导致的汽车扬尘。</w:t>
            </w:r>
          </w:p>
          <w:p>
            <w:pPr>
              <w:pStyle w:val="48"/>
              <w:numPr>
                <w:ilvl w:val="0"/>
                <w:numId w:val="0"/>
              </w:numPr>
              <w:bidi w:val="0"/>
              <w:ind w:firstLine="480" w:firstLineChars="200"/>
              <w:rPr>
                <w:rFonts w:hint="default"/>
              </w:rPr>
            </w:pPr>
            <w:r>
              <w:rPr>
                <w:rFonts w:hint="default"/>
              </w:rPr>
              <w:t>（2）施工工地道路积尘清理措施，定期对场区洒水，保持下垫面和空气湿润，减少起尘量，洒水频率视天气情况调整，原则上施工期每天进行4次洒水降尘。</w:t>
            </w:r>
          </w:p>
          <w:p>
            <w:pPr>
              <w:pStyle w:val="48"/>
              <w:numPr>
                <w:ilvl w:val="0"/>
                <w:numId w:val="0"/>
              </w:numPr>
              <w:bidi w:val="0"/>
              <w:ind w:firstLine="480" w:firstLineChars="200"/>
              <w:rPr>
                <w:rFonts w:hint="default"/>
              </w:rPr>
            </w:pPr>
            <w:r>
              <w:rPr>
                <w:rFonts w:hint="default"/>
              </w:rPr>
              <w:t>（3）施工期间场地平整过程中，对暂时开挖的土方进行防护，使用防雨、防尘的苫</w:t>
            </w:r>
            <w:r>
              <w:rPr>
                <w:rFonts w:hint="eastAsia"/>
                <w:lang w:val="en-US" w:eastAsia="zh-CN"/>
              </w:rPr>
              <w:t>布</w:t>
            </w:r>
            <w:r>
              <w:rPr>
                <w:rFonts w:hint="default"/>
              </w:rPr>
              <w:t>遮挡，减少风力起尘。</w:t>
            </w:r>
          </w:p>
          <w:p>
            <w:pPr>
              <w:pStyle w:val="48"/>
              <w:numPr>
                <w:ilvl w:val="0"/>
                <w:numId w:val="0"/>
              </w:numPr>
              <w:bidi w:val="0"/>
              <w:ind w:firstLine="480" w:firstLineChars="200"/>
              <w:rPr>
                <w:rFonts w:hint="default"/>
              </w:rPr>
            </w:pPr>
            <w:r>
              <w:rPr>
                <w:rFonts w:hint="default"/>
              </w:rPr>
              <w:t>（4）对施工人员进行环保方面的教育，提高设备原料利用率，不用设备时及时关闭，减少废气排放；在装卸进程中，禁止野蛮作业，减少作业扬尘，并为施工人员配备防尘口罩等防尘用品。</w:t>
            </w:r>
          </w:p>
          <w:p>
            <w:pPr>
              <w:pStyle w:val="48"/>
              <w:numPr>
                <w:ilvl w:val="0"/>
                <w:numId w:val="0"/>
              </w:numPr>
              <w:bidi w:val="0"/>
              <w:ind w:firstLine="480" w:firstLineChars="200"/>
              <w:rPr>
                <w:color w:val="000000"/>
                <w:szCs w:val="24"/>
                <w:highlight w:val="none"/>
              </w:rPr>
            </w:pPr>
            <w:r>
              <w:rPr>
                <w:rFonts w:hint="default"/>
              </w:rPr>
              <w:t>（5）尽量选用低能耗、低污染排放的施工机械、车辆，加强对本项目施工期所使用的机械设备的维护及保养，尽量减少因机械、车辆状况不佳造成的空气污染，降低尾气中有害成分的浓度。</w:t>
            </w:r>
          </w:p>
          <w:p>
            <w:pPr>
              <w:pStyle w:val="50"/>
              <w:bidi w:val="0"/>
            </w:pPr>
            <w:r>
              <w:rPr>
                <w:rFonts w:hint="eastAsia"/>
                <w:lang w:val="en-US" w:eastAsia="zh-CN"/>
              </w:rPr>
              <w:t>3.</w:t>
            </w:r>
            <w:r>
              <w:rPr>
                <w:rFonts w:hint="eastAsia"/>
              </w:rPr>
              <w:t>施工期水环境</w:t>
            </w:r>
            <w:r>
              <w:rPr>
                <w:rFonts w:hint="eastAsia"/>
                <w:lang w:val="en-US" w:eastAsia="zh-CN"/>
              </w:rPr>
              <w:t>保护措施</w:t>
            </w:r>
          </w:p>
          <w:p>
            <w:pPr>
              <w:pStyle w:val="48"/>
              <w:bidi w:val="0"/>
              <w:rPr>
                <w:rFonts w:hint="eastAsia"/>
                <w:lang w:val="en-US" w:eastAsia="zh-CN"/>
              </w:rPr>
            </w:pPr>
            <w:r>
              <w:rPr>
                <w:rFonts w:hint="eastAsia"/>
                <w:lang w:val="en-US" w:eastAsia="zh-CN"/>
              </w:rPr>
              <w:t>本项目施工期较短，设备冲洗水沉淀后蒸发逸散，不外排。生活污水排入一体化污水处理设施处理达标后，其出水标准可达到《农村生活污水处理排放标准》（DB654275-2019）表2中C级标准，用于洒水绿化，不外排，对环境影响不大。</w:t>
            </w:r>
          </w:p>
          <w:p>
            <w:pPr>
              <w:pStyle w:val="50"/>
              <w:bidi w:val="0"/>
              <w:rPr>
                <w:rFonts w:hint="eastAsia"/>
                <w:lang w:val="en-US" w:eastAsia="zh-CN"/>
              </w:rPr>
            </w:pPr>
            <w:r>
              <w:rPr>
                <w:rFonts w:hint="eastAsia"/>
                <w:lang w:val="en-US" w:eastAsia="zh-CN"/>
              </w:rPr>
              <w:t>4.</w:t>
            </w:r>
            <w:r>
              <w:rPr>
                <w:rFonts w:hint="eastAsia"/>
              </w:rPr>
              <w:t>施工期噪声环境</w:t>
            </w:r>
            <w:r>
              <w:rPr>
                <w:rFonts w:hint="eastAsia"/>
                <w:lang w:val="en-US" w:eastAsia="zh-CN"/>
              </w:rPr>
              <w:t>保护措施</w:t>
            </w:r>
          </w:p>
          <w:p>
            <w:pPr>
              <w:pStyle w:val="48"/>
              <w:bidi w:val="0"/>
              <w:rPr>
                <w:rFonts w:hint="eastAsia"/>
                <w:lang w:val="en-US" w:eastAsia="zh-CN"/>
              </w:rPr>
            </w:pPr>
            <w:r>
              <w:rPr>
                <w:rFonts w:hint="eastAsia"/>
              </w:rPr>
              <w:t>本项目</w:t>
            </w:r>
            <w:r>
              <w:rPr>
                <w:rFonts w:hint="eastAsia"/>
                <w:lang w:val="en-US" w:eastAsia="zh-CN"/>
              </w:rPr>
              <w:t>施工期</w:t>
            </w:r>
            <w:r>
              <w:rPr>
                <w:rFonts w:hint="eastAsia"/>
              </w:rPr>
              <w:t>噪声的来源包括运输车辆</w:t>
            </w:r>
            <w:r>
              <w:rPr>
                <w:rFonts w:hint="eastAsia"/>
                <w:lang w:eastAsia="zh-CN"/>
              </w:rPr>
              <w:t>、</w:t>
            </w:r>
            <w:r>
              <w:rPr>
                <w:rFonts w:hint="eastAsia"/>
              </w:rPr>
              <w:t>挖机</w:t>
            </w:r>
            <w:r>
              <w:rPr>
                <w:rFonts w:hint="eastAsia"/>
                <w:lang w:val="en-US" w:eastAsia="zh-CN"/>
              </w:rPr>
              <w:t>等</w:t>
            </w:r>
            <w:r>
              <w:rPr>
                <w:rFonts w:hint="eastAsia"/>
              </w:rPr>
              <w:t>产生的噪声，</w:t>
            </w:r>
            <w:r>
              <w:rPr>
                <w:rFonts w:hint="eastAsia"/>
                <w:lang w:val="en-US" w:eastAsia="zh-CN"/>
              </w:rPr>
              <w:t>项目周边50m范围内无环境敏感目标，对环境影响较小</w:t>
            </w:r>
            <w:r>
              <w:rPr>
                <w:rFonts w:hint="eastAsia"/>
              </w:rPr>
              <w:t>。</w:t>
            </w:r>
            <w:r>
              <w:rPr>
                <w:rFonts w:hint="default"/>
              </w:rPr>
              <w:t>控制措施</w:t>
            </w:r>
            <w:r>
              <w:rPr>
                <w:rFonts w:hint="eastAsia"/>
                <w:lang w:val="en-US" w:eastAsia="zh-CN"/>
              </w:rPr>
              <w:t>如下</w:t>
            </w:r>
            <w:r>
              <w:rPr>
                <w:rFonts w:hint="eastAsia"/>
                <w:lang w:eastAsia="zh-CN"/>
              </w:rPr>
              <w:t>：</w:t>
            </w:r>
          </w:p>
          <w:p>
            <w:pPr>
              <w:pStyle w:val="48"/>
              <w:bidi w:val="0"/>
              <w:rPr>
                <w:rFonts w:hint="default"/>
              </w:rPr>
            </w:pPr>
            <w:r>
              <w:rPr>
                <w:rFonts w:hint="default"/>
              </w:rPr>
              <w:t>①从声源上控制：</w:t>
            </w:r>
            <w:r>
              <w:rPr>
                <w:rFonts w:hint="eastAsia"/>
                <w:lang w:eastAsia="zh-CN"/>
              </w:rPr>
              <w:t>使用</w:t>
            </w:r>
            <w:r>
              <w:rPr>
                <w:rFonts w:hint="default"/>
              </w:rPr>
              <w:t>低噪声机械设备</w:t>
            </w:r>
            <w:r>
              <w:rPr>
                <w:rFonts w:hint="default"/>
                <w:lang w:eastAsia="zh-CN"/>
              </w:rPr>
              <w:t>，</w:t>
            </w:r>
            <w:r>
              <w:rPr>
                <w:rFonts w:hint="default"/>
              </w:rPr>
              <w:t>严格按操作规范使用各类机械。</w:t>
            </w:r>
          </w:p>
          <w:p>
            <w:pPr>
              <w:pStyle w:val="48"/>
              <w:bidi w:val="0"/>
              <w:rPr>
                <w:rFonts w:hint="default"/>
              </w:rPr>
            </w:pPr>
            <w:r>
              <w:rPr>
                <w:rFonts w:hint="default"/>
              </w:rPr>
              <w:t>②合理安排施工时间：首先制订施工计划时，应尽可能避免大量高噪声设备同时施工。</w:t>
            </w:r>
          </w:p>
          <w:p>
            <w:pPr>
              <w:pStyle w:val="48"/>
              <w:bidi w:val="0"/>
              <w:rPr>
                <w:rFonts w:hint="default"/>
              </w:rPr>
            </w:pPr>
            <w:r>
              <w:rPr>
                <w:rFonts w:hint="default"/>
              </w:rPr>
              <w:t>③合理布置施工现场</w:t>
            </w:r>
            <w:r>
              <w:rPr>
                <w:rFonts w:hint="eastAsia"/>
                <w:lang w:eastAsia="zh-CN"/>
              </w:rPr>
              <w:t>：</w:t>
            </w:r>
            <w:r>
              <w:rPr>
                <w:rFonts w:hint="default"/>
              </w:rPr>
              <w:t>施工现场应合理布局，将施工中的固定噪声源相对集中摆放，闲置不用的设备立即关闭，降低施工噪声对周边声环境的影响。</w:t>
            </w:r>
          </w:p>
          <w:p>
            <w:pPr>
              <w:pStyle w:val="48"/>
              <w:bidi w:val="0"/>
              <w:rPr>
                <w:rFonts w:hint="default"/>
              </w:rPr>
            </w:pPr>
            <w:r>
              <w:rPr>
                <w:rFonts w:hint="default"/>
              </w:rPr>
              <w:t>④车辆出入施工现场时应低速、禁鸣。</w:t>
            </w:r>
          </w:p>
          <w:p>
            <w:pPr>
              <w:pStyle w:val="50"/>
              <w:bidi w:val="0"/>
              <w:rPr>
                <w:rFonts w:hint="default"/>
                <w:lang w:val="en-US" w:eastAsia="zh-CN"/>
              </w:rPr>
            </w:pPr>
            <w:r>
              <w:rPr>
                <w:rFonts w:hint="default"/>
                <w:lang w:val="en-US" w:eastAsia="zh-CN"/>
              </w:rPr>
              <w:t>5.</w:t>
            </w:r>
            <w:r>
              <w:rPr>
                <w:rFonts w:hint="default"/>
              </w:rPr>
              <w:t>施工期固废</w:t>
            </w:r>
            <w:r>
              <w:rPr>
                <w:rFonts w:hint="default"/>
                <w:lang w:val="en-US" w:eastAsia="zh-CN"/>
              </w:rPr>
              <w:t>环境保护措施</w:t>
            </w:r>
          </w:p>
          <w:p>
            <w:pPr>
              <w:pStyle w:val="48"/>
              <w:bidi w:val="0"/>
              <w:rPr>
                <w:rFonts w:hint="eastAsia"/>
                <w:shd w:val="clear" w:color="auto" w:fill="auto"/>
                <w:lang w:val="en-US" w:eastAsia="zh-CN"/>
              </w:rPr>
            </w:pPr>
            <w:r>
              <w:rPr>
                <w:rFonts w:hint="default"/>
              </w:rPr>
              <w:t>施工期固体</w:t>
            </w:r>
            <w:r>
              <w:rPr>
                <w:rFonts w:hint="eastAsia"/>
              </w:rPr>
              <w:t>废物来自施工过程中</w:t>
            </w:r>
            <w:r>
              <w:rPr>
                <w:rFonts w:hint="eastAsia"/>
                <w:lang w:val="en-US" w:eastAsia="zh-CN"/>
              </w:rPr>
              <w:t>土地平整所开挖</w:t>
            </w:r>
            <w:r>
              <w:rPr>
                <w:rFonts w:hint="eastAsia"/>
              </w:rPr>
              <w:t>的</w:t>
            </w:r>
            <w:r>
              <w:rPr>
                <w:rFonts w:hint="eastAsia"/>
                <w:lang w:val="en-US" w:eastAsia="zh-CN"/>
              </w:rPr>
              <w:t>土石方，全部堆放在临时堆场内，待项目勘探期结束后，全部回填，恢复原有地貌</w:t>
            </w:r>
            <w:r>
              <w:rPr>
                <w:rFonts w:hint="eastAsia"/>
              </w:rPr>
              <w:t>。</w:t>
            </w:r>
          </w:p>
          <w:p>
            <w:pPr>
              <w:pStyle w:val="48"/>
              <w:bidi w:val="0"/>
              <w:rPr>
                <w:rFonts w:hint="eastAsia"/>
                <w:lang w:val="en-US" w:eastAsia="zh-CN"/>
              </w:rPr>
            </w:pPr>
            <w:r>
              <w:rPr>
                <w:rFonts w:hint="eastAsia"/>
                <w:lang w:val="en-US" w:eastAsia="zh-CN"/>
              </w:rPr>
              <w:t>土方回填施工技术要点：</w:t>
            </w:r>
          </w:p>
          <w:p>
            <w:pPr>
              <w:pStyle w:val="48"/>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（1）</w:t>
            </w:r>
            <w:r>
              <w:rPr>
                <w:rFonts w:hint="eastAsia"/>
                <w:lang w:val="en-US" w:eastAsia="zh-CN"/>
              </w:rPr>
              <w:t>土方回填施工的前提是进行土方的挖掘。在挖掘土方时，应根据工程要求确定挖土的深度和宽度。挖掘土方时应遵循顺畅、逐层递减的原则，以确保挖掘过程中的稳定与安全。</w:t>
            </w:r>
          </w:p>
          <w:p>
            <w:pPr>
              <w:pStyle w:val="48"/>
              <w:numPr>
                <w:ilvl w:val="0"/>
                <w:numId w:val="0"/>
              </w:numPr>
              <w:bidi w:val="0"/>
              <w:ind w:firstLine="480" w:firstLineChars="200"/>
              <w:rPr>
                <w:rFonts w:hint="default"/>
                <w:lang w:val="en-US" w:eastAsia="zh-CN"/>
              </w:rPr>
            </w:pPr>
            <w:r>
              <w:rPr>
                <w:rFonts w:hint="default" w:ascii="Times New Roman" w:hAnsi="Times New Roman" w:eastAsia="宋体" w:cs="宋体"/>
                <w:kern w:val="0"/>
                <w:sz w:val="24"/>
                <w:szCs w:val="24"/>
                <w:lang w:val="en-US" w:eastAsia="zh-CN" w:bidi="ar-SA"/>
              </w:rPr>
              <w:t>（2）</w:t>
            </w:r>
            <w:r>
              <w:rPr>
                <w:rFonts w:hint="eastAsia"/>
                <w:lang w:val="en-US" w:eastAsia="zh-CN"/>
              </w:rPr>
              <w:t>将挖掘土方进行整理、筛分、清除杂质等加工处理。处理后的土方应符合工程设计要求，具有足够的密实性和均匀性，土方处理过程中需要注意防止土方的二次污染或其他有害物质的混入。</w:t>
            </w:r>
          </w:p>
          <w:p>
            <w:pPr>
              <w:pStyle w:val="48"/>
              <w:numPr>
                <w:ilvl w:val="0"/>
                <w:numId w:val="0"/>
              </w:numPr>
              <w:bidi w:val="0"/>
              <w:ind w:firstLine="480" w:firstLineChars="200"/>
              <w:rPr>
                <w:rFonts w:hint="eastAsia"/>
                <w:lang w:val="en-US" w:eastAsia="zh-CN"/>
              </w:rPr>
            </w:pPr>
            <w:r>
              <w:rPr>
                <w:rFonts w:hint="default" w:ascii="Times New Roman" w:hAnsi="Times New Roman" w:eastAsia="宋体" w:cs="宋体"/>
                <w:kern w:val="0"/>
                <w:sz w:val="24"/>
                <w:szCs w:val="24"/>
                <w:shd w:val="clear" w:color="auto" w:fill="auto"/>
                <w:lang w:val="en-US" w:eastAsia="zh-CN" w:bidi="ar-SA"/>
              </w:rPr>
              <w:t>（3）</w:t>
            </w:r>
            <w:r>
              <w:rPr>
                <w:rFonts w:hint="eastAsia"/>
                <w:lang w:val="en-US" w:eastAsia="zh-CN"/>
              </w:rPr>
              <w:t>根据工程要求和土方性质，选择合适的填筑方法；合理设置均质层，确保填筑土方具有一定的均质性和稳定性；严格各种填筑的工艺参数，如填筑厚度、均质层厚度、回填层厚度等；回填施工时需要避免水分进入土方中，以防止土方松散和沉降现象的发生。</w:t>
            </w:r>
          </w:p>
          <w:p>
            <w:pPr>
              <w:pStyle w:val="48"/>
              <w:numPr>
                <w:ilvl w:val="0"/>
                <w:numId w:val="0"/>
              </w:numPr>
              <w:bidi w:val="0"/>
              <w:ind w:firstLine="480" w:firstLineChars="200"/>
              <w:rPr>
                <w:rFonts w:hint="default"/>
                <w:lang w:val="en-US" w:eastAsia="zh-CN"/>
              </w:rPr>
            </w:pPr>
            <w:r>
              <w:rPr>
                <w:rFonts w:hint="eastAsia"/>
                <w:lang w:val="en-US" w:eastAsia="zh-CN"/>
              </w:rPr>
              <w:t>（4）</w:t>
            </w:r>
            <w:r>
              <w:rPr>
                <w:rFonts w:hint="default"/>
                <w:lang w:val="en-US" w:eastAsia="zh-CN"/>
              </w:rPr>
              <w:t>土方回填施工完成后，选择合适的压实机械、压实层数和压实次数，控制压实厚度和速度，提高土方的密实性和稳定性，减少土方的沉降和变形。</w:t>
            </w:r>
          </w:p>
          <w:p>
            <w:pPr>
              <w:pStyle w:val="48"/>
              <w:numPr>
                <w:ilvl w:val="0"/>
                <w:numId w:val="0"/>
              </w:numPr>
              <w:bidi w:val="0"/>
              <w:ind w:firstLine="480" w:firstLineChars="200"/>
              <w:rPr>
                <w:rFonts w:hint="eastAsia"/>
                <w:shd w:val="clear" w:color="auto" w:fill="auto"/>
                <w:lang w:val="en-US" w:eastAsia="zh-CN"/>
              </w:rPr>
            </w:pPr>
            <w:r>
              <w:rPr>
                <w:rFonts w:hint="eastAsia"/>
                <w:lang w:val="en-US" w:eastAsia="zh-CN"/>
              </w:rPr>
              <w:t>施工营地内设置一定数量的垃圾桶，用于临时存放生活垃圾，</w:t>
            </w:r>
            <w:r>
              <w:rPr>
                <w:rFonts w:hint="eastAsia"/>
                <w:shd w:val="clear" w:color="auto" w:fill="auto"/>
                <w:lang w:val="en-US" w:eastAsia="zh-CN"/>
              </w:rPr>
              <w:t>最终统一收集后送至且末县垃圾填埋场。</w:t>
            </w:r>
          </w:p>
          <w:p>
            <w:pPr>
              <w:pStyle w:val="48"/>
              <w:numPr>
                <w:ilvl w:val="0"/>
                <w:numId w:val="0"/>
              </w:numPr>
              <w:bidi w:val="0"/>
              <w:rPr>
                <w:rFonts w:hint="default"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6</w:t>
            </w:r>
            <w:r>
              <w:rPr>
                <w:rFonts w:hint="default" w:ascii="Times New Roman" w:hAnsi="Times New Roman" w:eastAsia="宋体" w:cs="宋体"/>
                <w:b/>
                <w:kern w:val="0"/>
                <w:sz w:val="24"/>
                <w:szCs w:val="24"/>
                <w:lang w:val="en-US" w:eastAsia="zh-CN" w:bidi="ar-SA"/>
              </w:rPr>
              <w:t>.</w:t>
            </w:r>
            <w:r>
              <w:rPr>
                <w:rFonts w:hint="eastAsia" w:ascii="Times New Roman" w:hAnsi="Times New Roman" w:eastAsia="宋体" w:cs="宋体"/>
                <w:b/>
                <w:kern w:val="0"/>
                <w:sz w:val="24"/>
                <w:szCs w:val="24"/>
                <w:lang w:val="en-US" w:eastAsia="zh-CN" w:bidi="ar-SA"/>
              </w:rPr>
              <w:t>施工</w:t>
            </w:r>
            <w:r>
              <w:rPr>
                <w:rFonts w:hint="default" w:ascii="Times New Roman" w:hAnsi="Times New Roman" w:eastAsia="宋体" w:cs="宋体"/>
                <w:b/>
                <w:kern w:val="0"/>
                <w:sz w:val="24"/>
                <w:szCs w:val="24"/>
                <w:lang w:val="en-US" w:eastAsia="zh-CN" w:bidi="ar-SA"/>
              </w:rPr>
              <w:t>期环境影响综合结论</w:t>
            </w:r>
          </w:p>
          <w:p>
            <w:pPr>
              <w:pStyle w:val="48"/>
              <w:numPr>
                <w:ilvl w:val="0"/>
                <w:numId w:val="0"/>
              </w:numPr>
              <w:bidi w:val="0"/>
              <w:ind w:firstLine="480" w:firstLineChars="200"/>
              <w:rPr>
                <w:rFonts w:hint="default"/>
                <w:shd w:val="clear" w:color="auto" w:fill="auto"/>
                <w:lang w:val="en-US" w:eastAsia="zh-CN"/>
              </w:rPr>
            </w:pPr>
            <w:r>
              <w:rPr>
                <w:rFonts w:hint="default"/>
                <w:shd w:val="clear" w:color="auto" w:fill="auto"/>
                <w:lang w:val="en-US" w:eastAsia="zh-CN"/>
              </w:rPr>
              <w:t>综上所述，</w:t>
            </w:r>
            <w:r>
              <w:rPr>
                <w:rFonts w:hint="eastAsia"/>
                <w:shd w:val="clear" w:color="auto" w:fill="auto"/>
                <w:lang w:val="en-US" w:eastAsia="zh-CN"/>
              </w:rPr>
              <w:t>施工</w:t>
            </w:r>
            <w:r>
              <w:rPr>
                <w:rFonts w:hint="default"/>
                <w:shd w:val="clear" w:color="auto" w:fill="auto"/>
                <w:lang w:val="en-US" w:eastAsia="zh-CN"/>
              </w:rPr>
              <w:t>期产生的污染物，对区域的生态环境、空气环境、声环境、地表水环境的影响是不可避免的。但由于</w:t>
            </w:r>
            <w:r>
              <w:rPr>
                <w:rFonts w:hint="eastAsia"/>
                <w:shd w:val="clear" w:color="auto" w:fill="auto"/>
                <w:lang w:val="en-US" w:eastAsia="zh-CN"/>
              </w:rPr>
              <w:t>施工期工作量较小</w:t>
            </w:r>
            <w:r>
              <w:rPr>
                <w:rFonts w:hint="default"/>
                <w:shd w:val="clear" w:color="auto" w:fill="auto"/>
                <w:lang w:val="en-US" w:eastAsia="zh-CN"/>
              </w:rPr>
              <w:t>，不会改变区域环境功能，对周围环境的影响较小，而且其影响是暂时的、局部的，其影响将随</w:t>
            </w:r>
            <w:r>
              <w:rPr>
                <w:rFonts w:hint="eastAsia"/>
                <w:shd w:val="clear" w:color="auto" w:fill="auto"/>
                <w:lang w:val="en-US" w:eastAsia="zh-CN"/>
              </w:rPr>
              <w:t>施工期</w:t>
            </w:r>
            <w:r>
              <w:rPr>
                <w:rFonts w:hint="default"/>
                <w:shd w:val="clear" w:color="auto" w:fill="auto"/>
                <w:lang w:val="en-US" w:eastAsia="zh-CN"/>
              </w:rPr>
              <w:t>的结束而消失。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67" w:type="dxa"/>
            <w:noWrap w:val="0"/>
            <w:tcMar>
              <w:left w:w="28" w:type="dxa"/>
              <w:right w:w="28" w:type="dxa"/>
            </w:tcMar>
            <w:vAlign w:val="center"/>
          </w:tcPr>
          <w:p>
            <w:pPr>
              <w:adjustRightInd w:val="0"/>
              <w:snapToGrid w:val="0"/>
              <w:jc w:val="center"/>
              <w:rPr>
                <w:rFonts w:ascii="宋体" w:hAnsi="宋体" w:cs="宋体"/>
                <w:bCs/>
                <w:spacing w:val="10"/>
                <w:szCs w:val="21"/>
              </w:rPr>
            </w:pPr>
            <w:r>
              <w:rPr>
                <w:rFonts w:hint="eastAsia" w:ascii="宋体" w:hAnsi="宋体" w:cs="宋体"/>
                <w:bCs/>
                <w:spacing w:val="10"/>
                <w:szCs w:val="21"/>
                <w:lang w:eastAsia="zh-CN"/>
              </w:rPr>
              <w:t>勘探期</w:t>
            </w:r>
            <w:r>
              <w:rPr>
                <w:rFonts w:hint="eastAsia" w:ascii="宋体" w:hAnsi="宋体" w:cs="宋体"/>
                <w:bCs/>
                <w:spacing w:val="10"/>
                <w:szCs w:val="21"/>
              </w:rPr>
              <w:t>生态环境保护措施</w:t>
            </w:r>
          </w:p>
        </w:tc>
        <w:tc>
          <w:tcPr>
            <w:tcW w:w="7746" w:type="dxa"/>
            <w:noWrap w:val="0"/>
            <w:vAlign w:val="center"/>
          </w:tcPr>
          <w:p>
            <w:pPr>
              <w:pStyle w:val="50"/>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ascii="Times New Roman" w:hAnsi="Times New Roman" w:eastAsia="宋体" w:cs="Times New Roman"/>
                <w:b/>
                <w:bCs/>
                <w:kern w:val="2"/>
                <w:szCs w:val="24"/>
                <w:lang w:val="en-US" w:eastAsia="zh-CN" w:bidi="ar-SA"/>
              </w:rPr>
              <w:t>1</w:t>
            </w:r>
            <w:r>
              <w:rPr>
                <w:rFonts w:hint="eastAsia"/>
                <w:lang w:val="en-US" w:eastAsia="zh-CN"/>
              </w:rPr>
              <w:t>.生态环境影响保护措施</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1.1</w:t>
            </w:r>
            <w:r>
              <w:rPr>
                <w:rFonts w:hint="eastAsia"/>
                <w:lang w:eastAsia="zh-CN"/>
              </w:rPr>
              <w:t>陆生生物</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）植物植被</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eastAsia="zh-CN"/>
              </w:rPr>
              <w:t>工作区地质活动</w:t>
            </w:r>
            <w:r>
              <w:rPr>
                <w:rFonts w:hint="eastAsia"/>
                <w:lang w:val="en-US" w:eastAsia="zh-CN"/>
              </w:rPr>
              <w:t>主要为</w:t>
            </w:r>
            <w:r>
              <w:rPr>
                <w:rFonts w:hint="eastAsia"/>
                <w:lang w:eastAsia="zh-CN"/>
              </w:rPr>
              <w:t>槽探</w:t>
            </w:r>
            <w:r>
              <w:rPr>
                <w:rFonts w:hint="eastAsia"/>
                <w:lang w:val="en-US" w:eastAsia="zh-CN"/>
              </w:rPr>
              <w:t>和钻探</w:t>
            </w:r>
            <w:r>
              <w:rPr>
                <w:rFonts w:hint="eastAsia"/>
                <w:lang w:eastAsia="zh-CN"/>
              </w:rPr>
              <w:t>，</w:t>
            </w:r>
            <w:r>
              <w:rPr>
                <w:rFonts w:hint="eastAsia"/>
                <w:lang w:val="en-US" w:eastAsia="zh-CN"/>
              </w:rPr>
              <w:t>运营</w:t>
            </w:r>
            <w:r>
              <w:rPr>
                <w:rFonts w:hint="eastAsia"/>
                <w:lang w:eastAsia="zh-CN"/>
              </w:rPr>
              <w:t>过程中会对原有土地造成一定程度破坏。本次工程施工场地的布置将临时改变占地区土地利用状况，同样对一些植被造成损坏。</w:t>
            </w:r>
            <w:r>
              <w:rPr>
                <w:rFonts w:hint="default"/>
              </w:rPr>
              <w:t>根据现场调查了解，矿区内自然植物类型单一，种类、数量均较少，以</w:t>
            </w:r>
            <w:r>
              <w:rPr>
                <w:rFonts w:hint="default"/>
                <w:highlight w:val="none"/>
              </w:rPr>
              <w:t>草本</w:t>
            </w:r>
            <w:r>
              <w:rPr>
                <w:rFonts w:hint="default"/>
              </w:rPr>
              <w:t>植物为主，每年5～7月在该区域生长。评价区内未发现国家重点保护野生植物。由于</w:t>
            </w:r>
            <w:r>
              <w:rPr>
                <w:rFonts w:hint="eastAsia"/>
                <w:lang w:val="en-US" w:eastAsia="zh-CN"/>
              </w:rPr>
              <w:t>探矿工程施工</w:t>
            </w:r>
            <w:r>
              <w:rPr>
                <w:rFonts w:hint="default"/>
              </w:rPr>
              <w:t>，破坏了原有的植被和地貌景观，不可避免地要对地表植被造成破坏。</w:t>
            </w:r>
            <w:r>
              <w:rPr>
                <w:rFonts w:hint="default"/>
                <w:lang w:val="en-US" w:eastAsia="zh-CN"/>
              </w:rPr>
              <w:t>勘探期间应采取以下措施：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①</w:t>
            </w:r>
            <w:r>
              <w:rPr>
                <w:rFonts w:hint="default"/>
              </w:rPr>
              <w:t>本评价要求建设单位</w:t>
            </w:r>
            <w:r>
              <w:rPr>
                <w:rFonts w:hint="eastAsia"/>
                <w:lang w:val="en-US" w:eastAsia="zh-CN"/>
              </w:rPr>
              <w:t>综合考虑地形、地质与植被分布，合理规划施工场地、临时道路等设施的布局，避免不必要的土地占用。优先选择植被覆盖度更低、生态敏感度相对较低的区域作为临时用地。</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②尽量采用对植被破坏较小的施工工艺和设备，如使用小型、轻型设备，减少重型机械的碾压。在搬运设备和材料时，避免拖拽，防止对植被造成额外的损伤。</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③</w:t>
            </w:r>
            <w:r>
              <w:rPr>
                <w:rFonts w:hint="default"/>
              </w:rPr>
              <w:t>在</w:t>
            </w:r>
            <w:r>
              <w:rPr>
                <w:rFonts w:hint="eastAsia"/>
                <w:lang w:val="en-US" w:eastAsia="zh-CN"/>
              </w:rPr>
              <w:t>勘探结束后</w:t>
            </w:r>
            <w:r>
              <w:rPr>
                <w:rFonts w:hint="default"/>
              </w:rPr>
              <w:t>，</w:t>
            </w:r>
            <w:r>
              <w:rPr>
                <w:rFonts w:hint="eastAsia"/>
                <w:lang w:val="en-US" w:eastAsia="zh-CN"/>
              </w:rPr>
              <w:t>及时开展植被恢复工作，利用之前收集的表土对临时占用的土地进行覆土。</w:t>
            </w:r>
            <w:r>
              <w:rPr>
                <w:rFonts w:hint="default"/>
              </w:rPr>
              <w:t>对</w:t>
            </w:r>
            <w:r>
              <w:rPr>
                <w:rFonts w:hint="eastAsia"/>
                <w:lang w:val="en-US" w:eastAsia="zh-CN"/>
              </w:rPr>
              <w:t>勘探场地进行回填、</w:t>
            </w:r>
            <w:r>
              <w:rPr>
                <w:rFonts w:hint="default"/>
              </w:rPr>
              <w:t>进行迹地清理平整，项目营运过程中形成的裸露地表经过一段时间后可逐渐恢复原有的生态环境，区域内生态环境能够得到改善。</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④</w:t>
            </w:r>
            <w:r>
              <w:rPr>
                <w:rFonts w:hint="eastAsia"/>
              </w:rPr>
              <w:t>勘探过程中应注意</w:t>
            </w:r>
            <w:r>
              <w:rPr>
                <w:rFonts w:hint="eastAsia"/>
                <w:lang w:eastAsia="zh-CN"/>
              </w:rPr>
              <w:t>避让</w:t>
            </w:r>
            <w:r>
              <w:rPr>
                <w:rFonts w:hint="eastAsia"/>
              </w:rPr>
              <w:t>保护植物，不因项目建设对其生境造成破坏影响。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陆生</w:t>
            </w:r>
            <w:r>
              <w:rPr>
                <w:rFonts w:hint="eastAsia"/>
                <w:lang w:eastAsia="zh-CN"/>
              </w:rPr>
              <w:t>动物</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lang w:val="en-US"/>
              </w:rPr>
            </w:pPr>
            <w:r>
              <w:rPr>
                <w:rFonts w:hint="eastAsia"/>
                <w:lang w:eastAsia="zh-CN"/>
              </w:rPr>
              <w:t>经现场踏勘和资料分析，本项目</w:t>
            </w:r>
            <w:r>
              <w:rPr>
                <w:rFonts w:hint="eastAsia"/>
                <w:lang w:val="en-US" w:eastAsia="zh-CN"/>
              </w:rPr>
              <w:t>可能涉及小型野生动物的栖息地</w:t>
            </w:r>
            <w:r>
              <w:rPr>
                <w:rFonts w:hint="eastAsia"/>
                <w:lang w:eastAsia="zh-CN"/>
              </w:rPr>
              <w:t>，</w:t>
            </w:r>
            <w:r>
              <w:rPr>
                <w:rFonts w:hint="eastAsia"/>
                <w:lang w:val="en-US" w:eastAsia="zh-CN"/>
              </w:rPr>
              <w:t>槽探开挖</w:t>
            </w:r>
            <w:r>
              <w:rPr>
                <w:rFonts w:hint="default"/>
                <w:lang w:val="en-US" w:eastAsia="zh-CN"/>
              </w:rPr>
              <w:t>及</w:t>
            </w:r>
            <w:r>
              <w:rPr>
                <w:rFonts w:hint="eastAsia"/>
                <w:lang w:val="en-US" w:eastAsia="zh-CN"/>
              </w:rPr>
              <w:t>施工</w:t>
            </w:r>
            <w:r>
              <w:rPr>
                <w:rFonts w:hint="default"/>
              </w:rPr>
              <w:t>作业</w:t>
            </w:r>
            <w:r>
              <w:rPr>
                <w:rFonts w:hint="eastAsia"/>
                <w:lang w:val="en-US" w:eastAsia="zh-CN"/>
              </w:rPr>
              <w:t>破坏地形地貌</w:t>
            </w:r>
            <w:r>
              <w:rPr>
                <w:rFonts w:hint="default"/>
              </w:rPr>
              <w:t>的同时，也破坏了原有生态环</w:t>
            </w:r>
            <w:r>
              <w:rPr>
                <w:rFonts w:hint="eastAsia"/>
                <w:lang w:eastAsia="zh-CN"/>
              </w:rPr>
              <w:t>境和</w:t>
            </w:r>
            <w:r>
              <w:rPr>
                <w:rFonts w:hint="default"/>
              </w:rPr>
              <w:t>小型野生动物的栖息环境，加上开采机械噪声及人员活动产生的影响，</w:t>
            </w:r>
            <w:r>
              <w:rPr>
                <w:rFonts w:hint="eastAsia"/>
                <w:lang w:val="en-US" w:eastAsia="zh-CN"/>
              </w:rPr>
              <w:t>会</w:t>
            </w:r>
            <w:r>
              <w:rPr>
                <w:rFonts w:hint="default"/>
              </w:rPr>
              <w:t>对周围动物的生活造成干扰，使它们的生活受到威胁而迁徙，远离开采地周围。</w:t>
            </w:r>
            <w:r>
              <w:rPr>
                <w:rFonts w:hint="default"/>
                <w:lang w:val="en-US" w:eastAsia="zh-CN"/>
              </w:rPr>
              <w:t>勘探期</w:t>
            </w:r>
            <w:r>
              <w:rPr>
                <w:rFonts w:hint="eastAsia"/>
                <w:lang w:val="en-US" w:eastAsia="zh-CN"/>
              </w:rPr>
              <w:t>间应采取以下措施：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①勘探期间应</w:t>
            </w:r>
            <w:r>
              <w:rPr>
                <w:rFonts w:hint="eastAsia"/>
                <w:lang w:eastAsia="zh-CN"/>
              </w:rPr>
              <w:t>严格规划行驶道路，尽可能减少对野生动物的扰动，</w:t>
            </w:r>
            <w:r>
              <w:rPr>
                <w:rFonts w:hint="eastAsia"/>
                <w:lang w:val="en-US" w:eastAsia="zh-CN"/>
              </w:rPr>
              <w:t>尽量</w:t>
            </w:r>
            <w:r>
              <w:rPr>
                <w:rFonts w:hint="eastAsia"/>
                <w:lang w:eastAsia="zh-CN"/>
              </w:rPr>
              <w:t>使用当地已有道路、牧道、不开辟新路线。对确需碾压地段，</w:t>
            </w:r>
            <w:r>
              <w:rPr>
                <w:rFonts w:hint="eastAsia"/>
                <w:lang w:val="en-US" w:eastAsia="zh-CN"/>
              </w:rPr>
              <w:t>及时</w:t>
            </w:r>
            <w:r>
              <w:rPr>
                <w:rFonts w:hint="eastAsia"/>
                <w:lang w:eastAsia="zh-CN"/>
              </w:rPr>
              <w:t>进行</w:t>
            </w:r>
            <w:r>
              <w:rPr>
                <w:rFonts w:hint="eastAsia"/>
                <w:lang w:val="en-US" w:eastAsia="zh-CN"/>
              </w:rPr>
              <w:t>迹地</w:t>
            </w:r>
            <w:r>
              <w:rPr>
                <w:rFonts w:hint="eastAsia"/>
                <w:lang w:eastAsia="zh-CN"/>
              </w:rPr>
              <w:t>的恢复治理，行驶时避让野生动物，不追逐，不惊吓。</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②</w:t>
            </w:r>
            <w:r>
              <w:rPr>
                <w:rFonts w:hint="default"/>
              </w:rPr>
              <w:t>根据调查，大部分野生动物都是夜间出没，因此</w:t>
            </w:r>
            <w:r>
              <w:rPr>
                <w:rFonts w:hint="default"/>
                <w:lang w:val="en-US" w:eastAsia="zh-CN"/>
              </w:rPr>
              <w:t>建设</w:t>
            </w:r>
            <w:r>
              <w:rPr>
                <w:rFonts w:hint="default"/>
              </w:rPr>
              <w:t>单位应该加强</w:t>
            </w:r>
            <w:r>
              <w:rPr>
                <w:rFonts w:hint="default"/>
                <w:lang w:val="en-US" w:eastAsia="zh-CN"/>
              </w:rPr>
              <w:t>开采</w:t>
            </w:r>
            <w:r>
              <w:rPr>
                <w:rFonts w:hint="default"/>
              </w:rPr>
              <w:t>管理，在</w:t>
            </w:r>
            <w:r>
              <w:rPr>
                <w:rFonts w:hint="eastAsia"/>
                <w:lang w:val="en-US" w:eastAsia="zh-CN"/>
              </w:rPr>
              <w:t>勘探</w:t>
            </w:r>
            <w:r>
              <w:rPr>
                <w:rFonts w:hint="default"/>
              </w:rPr>
              <w:t>过程中应尽量安排在白天，避免夜间</w:t>
            </w:r>
            <w:r>
              <w:rPr>
                <w:rFonts w:hint="default"/>
                <w:lang w:val="en-US" w:eastAsia="zh-CN"/>
              </w:rPr>
              <w:t>开采</w:t>
            </w:r>
            <w:r>
              <w:rPr>
                <w:rFonts w:hint="default"/>
              </w:rPr>
              <w:t>对野生动物的影响。</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③</w:t>
            </w:r>
            <w:r>
              <w:rPr>
                <w:rFonts w:hint="default"/>
                <w:lang w:val="en-US" w:eastAsia="zh-CN"/>
              </w:rPr>
              <w:t>加强员工对野生动物的保护意识，禁止捕捉野生动物，避免在野生动物的繁殖期、育幼期等敏感时期进行高强度作业</w:t>
            </w:r>
            <w:r>
              <w:rPr>
                <w:rFonts w:hint="eastAsia"/>
                <w:lang w:val="en-US" w:eastAsia="zh-CN"/>
              </w:rPr>
              <w:t>，</w:t>
            </w:r>
            <w:r>
              <w:rPr>
                <w:rFonts w:hint="default"/>
                <w:lang w:val="en-US" w:eastAsia="zh-CN"/>
              </w:rPr>
              <w:t>减少</w:t>
            </w:r>
            <w:r>
              <w:rPr>
                <w:rFonts w:hint="default"/>
              </w:rPr>
              <w:t>作业人员在矿区作业区以外活动区域</w:t>
            </w:r>
            <w:r>
              <w:rPr>
                <w:rFonts w:hint="default"/>
                <w:lang w:eastAsia="zh-CN"/>
              </w:rPr>
              <w:t>，</w:t>
            </w:r>
            <w:r>
              <w:rPr>
                <w:rFonts w:hint="default"/>
                <w:lang w:val="en-US" w:eastAsia="zh-CN"/>
              </w:rPr>
              <w:t>避免惊吓野生动物。</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lang w:val="en-US" w:eastAsia="zh-CN"/>
              </w:rPr>
              <w:t>项目</w:t>
            </w:r>
            <w:r>
              <w:rPr>
                <w:rFonts w:hint="default"/>
              </w:rPr>
              <w:t>分布的小型野生动物为当地常见类型，由于当地人为活动、车辆行驶频繁，这些动物已经对人为活动有一定的适应能力，因此，项目开采不会造成该区域某一物种消失，对这些动物的生存影响较小。</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1.2土壤环境</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且末</w:t>
            </w:r>
            <w:r>
              <w:t>县地处欧亚大陆腹地，远离海洋，降水极少，气候干燥且多大风，属典型的暖温带极端大陆性干旱荒漠气候，全县土壤pH值多在8～9，有机质含量在1%以下，一般氮素含量在0.6～1ppm，速磷含量多在2.6～10ppm。总体评价为表层土壤有效微量元素的含量以硼、铁、铜元素较丰富，但普遍缺锌、缺锰。</w:t>
            </w:r>
            <w:r>
              <w:rPr>
                <w:rFonts w:hint="eastAsia"/>
                <w:lang w:eastAsia="zh-CN"/>
              </w:rPr>
              <w:t>工程施工过程中的土方开挖、回填、机械碾压对土壤的理化性质和土壤肥力会产生一定不利影响。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勘探期</w:t>
            </w:r>
            <w:r>
              <w:rPr>
                <w:rFonts w:hint="default"/>
                <w:lang w:val="en-US" w:eastAsia="zh-CN"/>
              </w:rPr>
              <w:t>应严格控制施工区域，尽可能缩小施工范围，减少开挖量和生态破</w:t>
            </w:r>
            <w:r>
              <w:rPr>
                <w:rFonts w:hint="eastAsia"/>
                <w:lang w:val="en-US" w:eastAsia="zh-CN"/>
              </w:rPr>
              <w:t>坏</w:t>
            </w:r>
            <w:r>
              <w:rPr>
                <w:rFonts w:hint="default"/>
                <w:lang w:val="en-US" w:eastAsia="zh-CN"/>
              </w:rPr>
              <w:t>面积，从而减少开挖和恢复面积；优化土石方平衡，减少水土流失。加强施工期机械、车辆行驶路线的管理，划定明确的施工作业范围和行驶路线，严禁越界施工和偏离施工便道进行无监管活动</w:t>
            </w:r>
            <w:r>
              <w:rPr>
                <w:rFonts w:hint="eastAsia"/>
                <w:lang w:val="en-US" w:eastAsia="zh-CN"/>
              </w:rPr>
              <w:t>，</w:t>
            </w:r>
            <w:r>
              <w:rPr>
                <w:rFonts w:hint="default"/>
                <w:lang w:val="en-US" w:eastAsia="zh-CN"/>
              </w:rPr>
              <w:t>减少</w:t>
            </w:r>
            <w:r>
              <w:rPr>
                <w:rFonts w:hint="default"/>
              </w:rPr>
              <w:t>作业人员在矿区作业区以外活动区域</w:t>
            </w:r>
            <w:r>
              <w:rPr>
                <w:rFonts w:hint="default"/>
                <w:lang w:val="en-US" w:eastAsia="zh-CN"/>
              </w:rPr>
              <w:t>。</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1.3自然</w:t>
            </w:r>
            <w:r>
              <w:t>景观</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rPr>
              <w:t>项目已制定具体的复垦方案，预留了复垦保障资金，采取边</w:t>
            </w:r>
            <w:r>
              <w:rPr>
                <w:rFonts w:hint="eastAsia"/>
                <w:lang w:val="en-US" w:eastAsia="zh-CN"/>
              </w:rPr>
              <w:t>开挖</w:t>
            </w:r>
            <w:r>
              <w:rPr>
                <w:rFonts w:hint="default"/>
              </w:rPr>
              <w:t>边恢复</w:t>
            </w:r>
            <w:r>
              <w:rPr>
                <w:rFonts w:hint="eastAsia"/>
                <w:lang w:val="en-US" w:eastAsia="zh-CN"/>
              </w:rPr>
              <w:t>开挖</w:t>
            </w:r>
            <w:r>
              <w:rPr>
                <w:rFonts w:hint="default"/>
              </w:rPr>
              <w:t>迹地的方法，</w:t>
            </w:r>
            <w:r>
              <w:rPr>
                <w:rFonts w:hint="eastAsia"/>
                <w:lang w:val="en-US" w:eastAsia="zh-CN"/>
              </w:rPr>
              <w:t>对施工迹地</w:t>
            </w:r>
            <w:r>
              <w:rPr>
                <w:rFonts w:hint="default"/>
              </w:rPr>
              <w:t>进行恢复，</w:t>
            </w:r>
            <w:r>
              <w:rPr>
                <w:rFonts w:hint="eastAsia"/>
                <w:lang w:val="en-US" w:eastAsia="zh-CN"/>
              </w:rPr>
              <w:t>确保项目区占地区域基本恢复到探矿前地貌。</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①尽量避开雨季作业，探坑需要及时进行场地清理、回填并进行植被恢复。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②表土层的保存在剥离表面植被时要有计划地实施，做到同一时期尽量减少土地裸露面积，采取边勘探边回填的措施。加强管理，做好环境保护宣传，在探矿过程中不要随意扩大开挖面积。</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③随着工程结束，探坑将逐步回填、平整，使其与周围地貌基本一致。</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1.4</w:t>
            </w:r>
            <w:r>
              <w:rPr>
                <w:rFonts w:hint="eastAsia"/>
              </w:rPr>
              <w:t>水土流失</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本项目</w:t>
            </w:r>
            <w:r>
              <w:rPr>
                <w:rFonts w:hint="default"/>
              </w:rPr>
              <w:t>位于</w:t>
            </w:r>
            <w:r>
              <w:rPr>
                <w:rFonts w:hint="eastAsia"/>
                <w:lang w:val="en-US" w:eastAsia="zh-CN"/>
              </w:rPr>
              <w:t>且末县城西南209°方向，直线距离150千米，</w:t>
            </w:r>
            <w:r>
              <w:rPr>
                <w:rFonts w:hint="default"/>
                <w:lang w:eastAsia="zh-CN"/>
              </w:rPr>
              <w:t>勘探</w:t>
            </w:r>
            <w:r>
              <w:rPr>
                <w:rFonts w:hint="default"/>
              </w:rPr>
              <w:t>区</w:t>
            </w:r>
            <w:r>
              <w:rPr>
                <w:rFonts w:hint="default"/>
                <w:lang w:val="en-US" w:eastAsia="zh-CN"/>
              </w:rPr>
              <w:t>海拔较高，夏季冰雪融水易冲刷地表、形成季节性冲沟</w:t>
            </w:r>
            <w:r>
              <w:rPr>
                <w:rFonts w:hint="default"/>
                <w:lang w:eastAsia="zh-CN"/>
              </w:rPr>
              <w:t>，</w:t>
            </w:r>
            <w:r>
              <w:rPr>
                <w:rFonts w:hint="default"/>
              </w:rPr>
              <w:t>故项目区的水土流失</w:t>
            </w:r>
            <w:r>
              <w:rPr>
                <w:rFonts w:hint="eastAsia"/>
                <w:lang w:eastAsia="zh-CN"/>
              </w:rPr>
              <w:t>以水力侵蚀为主</w:t>
            </w:r>
            <w:r>
              <w:rPr>
                <w:rFonts w:hint="default"/>
                <w:lang w:eastAsia="zh-CN"/>
              </w:rPr>
              <w:t>。</w:t>
            </w:r>
            <w:r>
              <w:rPr>
                <w:rFonts w:hint="eastAsia"/>
                <w:lang w:eastAsia="zh-CN"/>
              </w:rPr>
              <w:t>勘探区</w:t>
            </w:r>
            <w:r>
              <w:rPr>
                <w:rFonts w:hint="default"/>
              </w:rPr>
              <w:t>采用了边</w:t>
            </w:r>
            <w:r>
              <w:rPr>
                <w:rFonts w:hint="eastAsia"/>
                <w:lang w:eastAsia="zh-CN"/>
              </w:rPr>
              <w:t>开挖</w:t>
            </w:r>
            <w:r>
              <w:rPr>
                <w:rFonts w:hint="default"/>
              </w:rPr>
              <w:t>、边回填、边复垦的</w:t>
            </w:r>
            <w:r>
              <w:rPr>
                <w:rFonts w:hint="eastAsia"/>
                <w:lang w:eastAsia="zh-CN"/>
              </w:rPr>
              <w:t>勘探</w:t>
            </w:r>
            <w:r>
              <w:rPr>
                <w:rFonts w:hint="default"/>
              </w:rPr>
              <w:t>方式，符合《新疆维吾尔自治区水土保持规划（2018</w:t>
            </w:r>
            <w:r>
              <w:rPr>
                <w:rFonts w:hint="eastAsia"/>
                <w:lang w:eastAsia="zh-CN"/>
              </w:rPr>
              <w:t>—</w:t>
            </w:r>
            <w:r>
              <w:rPr>
                <w:rFonts w:hint="default"/>
              </w:rPr>
              <w:t>2030年）》的相关要求。</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本项目运营过程中由于</w:t>
            </w:r>
            <w:r>
              <w:rPr>
                <w:rFonts w:hint="eastAsia"/>
                <w:lang w:eastAsia="zh-CN"/>
              </w:rPr>
              <w:t>勘探</w:t>
            </w:r>
            <w:r>
              <w:rPr>
                <w:rFonts w:hint="eastAsia"/>
              </w:rPr>
              <w:t>活动破坏了地表植被，从而使路面、坡面土壤裸露，在风蚀和水蚀的作用下，不可避免地造成一定的水土流失。为减小水土流失的影响，评价要求企业采取以下措施：</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①堆土表面采用彩条布苫盖，减少降雨和风力对弃渣的侵蚀。</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eastAsia="宋体"/>
                <w:lang w:eastAsia="zh-CN"/>
              </w:rPr>
            </w:pPr>
            <w:r>
              <w:rPr>
                <w:rFonts w:hint="eastAsia"/>
                <w:lang w:val="en-US" w:eastAsia="zh-CN"/>
              </w:rPr>
              <w:t>②</w:t>
            </w:r>
            <w:r>
              <w:rPr>
                <w:rFonts w:hint="eastAsia"/>
              </w:rPr>
              <w:t>加强管理，大风天气、雨季不得作业</w:t>
            </w:r>
            <w:r>
              <w:rPr>
                <w:rFonts w:hint="eastAsia"/>
                <w:lang w:eastAsia="zh-CN"/>
              </w:rPr>
              <w:t>。</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default"/>
                <w:lang w:eastAsia="zh-CN"/>
              </w:rPr>
              <w:t>③</w:t>
            </w:r>
            <w:r>
              <w:rPr>
                <w:rFonts w:hint="eastAsia"/>
                <w:lang w:eastAsia="zh-CN"/>
              </w:rPr>
              <w:t>勘探完成</w:t>
            </w:r>
            <w:r>
              <w:rPr>
                <w:rFonts w:hint="eastAsia"/>
              </w:rPr>
              <w:t>后，将</w:t>
            </w:r>
            <w:r>
              <w:rPr>
                <w:rFonts w:hint="eastAsia"/>
                <w:lang w:eastAsia="zh-CN"/>
              </w:rPr>
              <w:t>勘探区</w:t>
            </w:r>
            <w:r>
              <w:rPr>
                <w:rFonts w:hint="eastAsia"/>
              </w:rPr>
              <w:t>土地进行复垦</w:t>
            </w:r>
            <w:r>
              <w:rPr>
                <w:rFonts w:hint="eastAsia"/>
                <w:lang w:eastAsia="zh-CN"/>
              </w:rPr>
              <w:t>，对探坑</w:t>
            </w:r>
            <w:r>
              <w:rPr>
                <w:rFonts w:hint="eastAsia"/>
              </w:rPr>
              <w:t>周边进行表层回填和迹地覆土恢复，及时对周围生态植被进行修复，增加区域防冲和固土能力，减小水土流失的影响。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本项目在采取以上相关的水土保持措施后，可使采区内水土得以有效保持，不会对生态环境造成较大的影响。</w:t>
            </w:r>
          </w:p>
          <w:p>
            <w:pPr>
              <w:pStyle w:val="48"/>
              <w:keepNext w:val="0"/>
              <w:keepLines w:val="0"/>
              <w:pageBreakBefore w:val="0"/>
              <w:widowControl w:val="0"/>
              <w:kinsoku/>
              <w:wordWrap w:val="0"/>
              <w:overflowPunct/>
              <w:topLinePunct w:val="0"/>
              <w:autoSpaceDE/>
              <w:autoSpaceDN/>
              <w:bidi w:val="0"/>
              <w:adjustRightInd w:val="0"/>
              <w:snapToGrid w:val="0"/>
              <w:ind w:firstLine="0" w:firstLineChars="0"/>
              <w:textAlignment w:val="auto"/>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1.5</w:t>
            </w:r>
            <w:r>
              <w:rPr>
                <w:rFonts w:hint="eastAsia" w:cs="宋体"/>
                <w:b/>
                <w:kern w:val="0"/>
                <w:sz w:val="24"/>
                <w:szCs w:val="24"/>
                <w:lang w:val="en-US" w:eastAsia="zh-CN" w:bidi="ar-SA"/>
              </w:rPr>
              <w:t>土地沙化</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default"/>
                <w:lang w:val="en-US" w:eastAsia="zh-CN"/>
              </w:rPr>
              <w:t>矿山勘查时，各类机械设备的活动</w:t>
            </w:r>
            <w:r>
              <w:rPr>
                <w:rFonts w:hint="eastAsia"/>
                <w:lang w:val="en-US" w:eastAsia="zh-CN"/>
              </w:rPr>
              <w:t>会</w:t>
            </w:r>
            <w:r>
              <w:rPr>
                <w:rFonts w:hint="default"/>
                <w:lang w:val="en-US" w:eastAsia="zh-CN"/>
              </w:rPr>
              <w:t>破坏地表植被</w:t>
            </w:r>
            <w:r>
              <w:rPr>
                <w:rFonts w:hint="eastAsia"/>
                <w:lang w:val="en-US" w:eastAsia="zh-CN"/>
              </w:rPr>
              <w:t>，使其</w:t>
            </w:r>
            <w:r>
              <w:rPr>
                <w:rFonts w:hint="default"/>
                <w:lang w:val="en-US" w:eastAsia="zh-CN"/>
              </w:rPr>
              <w:t>失去植被的固沙作用，</w:t>
            </w:r>
            <w:r>
              <w:rPr>
                <w:rFonts w:hint="eastAsia"/>
                <w:lang w:val="en-US" w:eastAsia="zh-CN"/>
              </w:rPr>
              <w:t>加快</w:t>
            </w:r>
            <w:r>
              <w:rPr>
                <w:rFonts w:hint="default"/>
                <w:lang w:val="en-US" w:eastAsia="zh-CN"/>
              </w:rPr>
              <w:t>土地沙化进程；机械碾压使土壤结构遭到破坏，进一步削弱了土壤的抗风蚀能力；勘查活动产生</w:t>
            </w:r>
            <w:r>
              <w:rPr>
                <w:rFonts w:hint="eastAsia"/>
                <w:lang w:val="en-US" w:eastAsia="zh-CN"/>
              </w:rPr>
              <w:t>的堆土</w:t>
            </w:r>
            <w:r>
              <w:rPr>
                <w:rFonts w:hint="default"/>
                <w:lang w:val="en-US" w:eastAsia="zh-CN"/>
              </w:rPr>
              <w:t>，</w:t>
            </w:r>
            <w:r>
              <w:rPr>
                <w:rFonts w:hint="eastAsia"/>
                <w:lang w:val="en-US" w:eastAsia="zh-CN"/>
              </w:rPr>
              <w:t>会</w:t>
            </w:r>
            <w:r>
              <w:rPr>
                <w:rFonts w:hint="default"/>
                <w:lang w:val="en-US" w:eastAsia="zh-CN"/>
              </w:rPr>
              <w:t>增加空气中沙尘含量，同时周边土壤被侵蚀，导致土地沙化范围扩大。</w:t>
            </w:r>
            <w:r>
              <w:rPr>
                <w:rFonts w:hint="eastAsia"/>
                <w:lang w:val="en-US" w:eastAsia="zh-CN"/>
              </w:rPr>
              <w:t>在勘查期采取以下防沙治沙措施：</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①</w:t>
            </w:r>
            <w:r>
              <w:rPr>
                <w:rFonts w:hint="default"/>
                <w:lang w:val="en-US" w:eastAsia="zh-CN"/>
              </w:rPr>
              <w:t>在探槽</w:t>
            </w:r>
            <w:r>
              <w:rPr>
                <w:rFonts w:hint="eastAsia"/>
                <w:lang w:val="en-US" w:eastAsia="zh-CN"/>
              </w:rPr>
              <w:t>附近</w:t>
            </w:r>
            <w:r>
              <w:rPr>
                <w:rFonts w:hint="default"/>
                <w:lang w:val="en-US" w:eastAsia="zh-CN"/>
              </w:rPr>
              <w:t>设置临时堆场，</w:t>
            </w:r>
            <w:r>
              <w:rPr>
                <w:rFonts w:hint="eastAsia"/>
                <w:lang w:val="en-US" w:eastAsia="zh-CN"/>
              </w:rPr>
              <w:t>堆土</w:t>
            </w:r>
            <w:r>
              <w:rPr>
                <w:rFonts w:hint="default"/>
                <w:lang w:val="en-US" w:eastAsia="zh-CN"/>
              </w:rPr>
              <w:t>采用</w:t>
            </w:r>
            <w:r>
              <w:rPr>
                <w:rFonts w:hint="eastAsia"/>
                <w:lang w:val="en-US" w:eastAsia="zh-CN"/>
              </w:rPr>
              <w:t>彩条布</w:t>
            </w:r>
            <w:r>
              <w:rPr>
                <w:rFonts w:hint="default"/>
                <w:lang w:val="en-US" w:eastAsia="zh-CN"/>
              </w:rPr>
              <w:t>苫盖</w:t>
            </w:r>
            <w:r>
              <w:rPr>
                <w:rFonts w:hint="eastAsia"/>
                <w:lang w:val="en-US" w:eastAsia="zh-CN"/>
              </w:rPr>
              <w:t>，减少风蚀。</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②在作业区域与周边植被之间设置隔离带，防止机械设备和人员误闯入造成植被破坏。</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ascii="Times New Roman" w:hAnsi="Times New Roman" w:eastAsia="宋体" w:cs="宋体"/>
                <w:b/>
                <w:kern w:val="0"/>
                <w:sz w:val="24"/>
                <w:szCs w:val="24"/>
                <w:lang w:val="en-US" w:eastAsia="zh-CN" w:bidi="ar-SA"/>
              </w:rPr>
            </w:pPr>
            <w:r>
              <w:rPr>
                <w:rFonts w:hint="eastAsia"/>
                <w:lang w:val="en-US" w:eastAsia="zh-CN"/>
              </w:rPr>
              <w:t>③</w:t>
            </w:r>
            <w:r>
              <w:rPr>
                <w:rFonts w:hint="default"/>
                <w:lang w:val="en-US" w:eastAsia="zh-CN"/>
              </w:rPr>
              <w:t>合理规划作业范围，在勘</w:t>
            </w:r>
            <w:r>
              <w:rPr>
                <w:rFonts w:hint="eastAsia"/>
                <w:lang w:val="en-US" w:eastAsia="zh-CN"/>
              </w:rPr>
              <w:t>查</w:t>
            </w:r>
            <w:r>
              <w:rPr>
                <w:rFonts w:hint="default"/>
                <w:lang w:val="en-US" w:eastAsia="zh-CN"/>
              </w:rPr>
              <w:t>结束后及时开展植被恢复工作。</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2.勘探完成时的生态环境保护及恢复措施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lang w:val="en-US" w:eastAsia="zh-CN"/>
              </w:rPr>
              <w:t>根据《矿山生态环境保护与恢复治理技术规范(试行)》(HJ 651-2013)和《裸露坡面植被恢复技术规范》（GB/T 38360-2019）可知，探矿完成时的保护措施及恢复如下</w:t>
            </w:r>
            <w:r>
              <w:rPr>
                <w:rFonts w:hint="eastAsia"/>
                <w:lang w:val="en-US" w:eastAsia="zh-CN"/>
              </w:rPr>
              <w:t>。</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探矿活动结束后，应根据景观相似原则，对探矿活动造成的土壤、植被和地表景观破坏进行恢复。</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对于探槽或坑井应予回填封闭，并恢复其原有生态功能。</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不再使用的简易房、沉淀池等各项建筑和基础设施应按照以下要求全部拆除。</w:t>
            </w:r>
          </w:p>
          <w:p>
            <w:pPr>
              <w:pStyle w:val="48"/>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①分类收集：将拆除产生的建筑垃圾、生活垃圾、危险废物等分类收集。</w:t>
            </w:r>
          </w:p>
          <w:p>
            <w:pPr>
              <w:pStyle w:val="48"/>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②合规处置：建筑垃圾可回收部分送回收站，不可回收的运至指定消纳场；生活垃圾送至且末县垃圾填埋场处理。</w:t>
            </w:r>
          </w:p>
          <w:p>
            <w:pPr>
              <w:pStyle w:val="48"/>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③拆除作业易产生扬尘，定期洒水降尘，干燥天气增加频次，保持地面湿润。</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专用运输道路应及时回填、平整并利用堆存的表土进行植被和景观恢复。</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default"/>
                <w:lang w:val="en-US" w:eastAsia="zh-CN"/>
              </w:rPr>
              <w:t>施工结束后土地应及时平整恢复，定期检查已回填恢复的探槽，尽可能恢复植被原貌</w:t>
            </w:r>
            <w:r>
              <w:rPr>
                <w:rFonts w:hint="eastAsia"/>
                <w:lang w:val="en-US" w:eastAsia="zh-CN"/>
              </w:rPr>
              <w:t>。</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default"/>
                <w:lang w:val="en-US" w:eastAsia="zh-CN"/>
              </w:rPr>
              <w:t>勘探完成后，将勘探区土地进行复垦，对探坑周边进行表层回填和迹地覆土恢复，及时对周围生态植被进行修复，</w:t>
            </w:r>
            <w:r>
              <w:rPr>
                <w:rFonts w:hint="eastAsia"/>
                <w:lang w:val="en-US" w:eastAsia="zh-CN"/>
              </w:rPr>
              <w:t>减少</w:t>
            </w:r>
            <w:r>
              <w:rPr>
                <w:rFonts w:hint="default"/>
                <w:lang w:val="en-US" w:eastAsia="zh-CN"/>
              </w:rPr>
              <w:t>水土流失的影响。</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3.大气环境保护措施</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3.1开挖扬尘</w:t>
            </w:r>
          </w:p>
          <w:p>
            <w:pPr>
              <w:pStyle w:val="48"/>
              <w:keepNext w:val="0"/>
              <w:keepLines w:val="0"/>
              <w:pageBreakBefore w:val="0"/>
              <w:widowControl w:val="0"/>
              <w:kinsoku/>
              <w:overflowPunct/>
              <w:topLinePunct w:val="0"/>
              <w:autoSpaceDE/>
              <w:autoSpaceDN/>
              <w:bidi w:val="0"/>
              <w:adjustRightInd w:val="0"/>
              <w:snapToGrid w:val="0"/>
              <w:textAlignment w:val="auto"/>
            </w:pPr>
            <w:r>
              <w:t>施工过程中扬尘污染对该点及周围环境</w:t>
            </w:r>
            <w:r>
              <w:rPr>
                <w:rFonts w:hint="eastAsia"/>
              </w:rPr>
              <w:t>产生一定的不利影响</w:t>
            </w:r>
            <w:r>
              <w:t>。为避免扬尘污染</w:t>
            </w:r>
            <w:r>
              <w:rPr>
                <w:rFonts w:hint="eastAsia"/>
              </w:rPr>
              <w:t>施工</w:t>
            </w:r>
            <w:r>
              <w:t>场地，拟提出以下防治措施</w:t>
            </w:r>
            <w:r>
              <w:rPr>
                <w:rFonts w:hint="eastAsia"/>
              </w:rPr>
              <w:t>：</w:t>
            </w:r>
          </w:p>
          <w:p>
            <w:pPr>
              <w:pStyle w:val="48"/>
              <w:keepNext w:val="0"/>
              <w:keepLines w:val="0"/>
              <w:pageBreakBefore w:val="0"/>
              <w:widowControl w:val="0"/>
              <w:kinsoku/>
              <w:overflowPunct/>
              <w:topLinePunct w:val="0"/>
              <w:autoSpaceDE/>
              <w:autoSpaceDN/>
              <w:bidi w:val="0"/>
              <w:adjustRightInd w:val="0"/>
              <w:snapToGrid w:val="0"/>
              <w:textAlignment w:val="auto"/>
            </w:pPr>
            <w:r>
              <w:t>（1）施工前须制定控制工地扬尘方案，施工期间接受相关部门的监督检查，执行施工场地的相关规定，采取有效防尘措施。</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2</w:t>
            </w:r>
            <w:r>
              <w:t>）施工现场合理布局，对施工道路常洒水，对易扬尘物料加盖苫布。</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3</w:t>
            </w:r>
            <w:r>
              <w:t>）为进一步降低施工扬尘，要定期对路面和施工场</w:t>
            </w:r>
            <w:r>
              <w:rPr>
                <w:rFonts w:hint="eastAsia"/>
              </w:rPr>
              <w:t>地</w:t>
            </w:r>
            <w:r>
              <w:t>洒水，保持下垫面和空气湿润，减少起尘量，洒水频率视天气情况调整。</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4</w:t>
            </w:r>
            <w:r>
              <w:t>）4级以上大风天气，不得进行土方回填、转运以及其他可能产生扬尘污染的施工，并对施工场地做好遮掩工作。</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3.2</w:t>
            </w:r>
            <w:r>
              <w:rPr>
                <w:rFonts w:hint="eastAsia"/>
              </w:rPr>
              <w:t>燃油</w:t>
            </w:r>
            <w:r>
              <w:t>废气</w:t>
            </w:r>
          </w:p>
          <w:p>
            <w:pPr>
              <w:pStyle w:val="48"/>
              <w:keepNext w:val="0"/>
              <w:keepLines w:val="0"/>
              <w:pageBreakBefore w:val="0"/>
              <w:widowControl w:val="0"/>
              <w:kinsoku/>
              <w:overflowPunct/>
              <w:topLinePunct w:val="0"/>
              <w:autoSpaceDE/>
              <w:autoSpaceDN/>
              <w:bidi w:val="0"/>
              <w:adjustRightInd w:val="0"/>
              <w:snapToGrid w:val="0"/>
              <w:textAlignment w:val="auto"/>
            </w:pPr>
            <w:r>
              <w:t>由于施工机械在运行过程中点源分散，燃油废气属无组织排放，主要对作业点周围和运输路线两侧局部范围产生一定影响。由于排放量不大且项目区周边均为空地，环境容量大，所以对当地环境空气质量造成的不良影响甚微。但为避免对环境造成额外负担，本环评提出防治措施如下：</w:t>
            </w:r>
          </w:p>
          <w:p>
            <w:pPr>
              <w:pStyle w:val="48"/>
              <w:keepNext w:val="0"/>
              <w:keepLines w:val="0"/>
              <w:pageBreakBefore w:val="0"/>
              <w:widowControl w:val="0"/>
              <w:kinsoku/>
              <w:overflowPunct/>
              <w:topLinePunct w:val="0"/>
              <w:autoSpaceDE/>
              <w:autoSpaceDN/>
              <w:bidi w:val="0"/>
              <w:adjustRightInd w:val="0"/>
              <w:snapToGrid w:val="0"/>
              <w:textAlignment w:val="auto"/>
            </w:pPr>
            <w:r>
              <w:t>（1）使用合格的施工与运输车辆，保证汽车尾气达到国家规定的排放标准要求。</w:t>
            </w:r>
          </w:p>
          <w:p>
            <w:pPr>
              <w:pStyle w:val="48"/>
              <w:keepNext w:val="0"/>
              <w:keepLines w:val="0"/>
              <w:pageBreakBefore w:val="0"/>
              <w:widowControl w:val="0"/>
              <w:kinsoku/>
              <w:overflowPunct/>
              <w:topLinePunct w:val="0"/>
              <w:autoSpaceDE/>
              <w:autoSpaceDN/>
              <w:bidi w:val="0"/>
              <w:adjustRightInd w:val="0"/>
              <w:snapToGrid w:val="0"/>
              <w:textAlignment w:val="auto"/>
            </w:pPr>
            <w:r>
              <w:t>（2）选用工艺先进、技术含量高的作业机械。</w:t>
            </w:r>
          </w:p>
          <w:p>
            <w:pPr>
              <w:pStyle w:val="48"/>
              <w:keepNext w:val="0"/>
              <w:keepLines w:val="0"/>
              <w:pageBreakBefore w:val="0"/>
              <w:widowControl w:val="0"/>
              <w:kinsoku/>
              <w:overflowPunct/>
              <w:topLinePunct w:val="0"/>
              <w:autoSpaceDE/>
              <w:autoSpaceDN/>
              <w:bidi w:val="0"/>
              <w:adjustRightInd w:val="0"/>
              <w:snapToGrid w:val="0"/>
              <w:textAlignment w:val="auto"/>
            </w:pPr>
            <w:r>
              <w:t>（3）尽量避免施工机械同时运行，停止使用机械时尽可能怠速运转或熄火，避免猛踩油门增加燃油废气中有害物质的排放。</w:t>
            </w:r>
          </w:p>
          <w:p>
            <w:pPr>
              <w:pStyle w:val="50"/>
              <w:keepNext w:val="0"/>
              <w:keepLines w:val="0"/>
              <w:pageBreakBefore w:val="0"/>
              <w:widowControl w:val="0"/>
              <w:kinsoku/>
              <w:overflowPunct/>
              <w:topLinePunct w:val="0"/>
              <w:autoSpaceDE/>
              <w:autoSpaceDN/>
              <w:bidi w:val="0"/>
              <w:adjustRightInd w:val="0"/>
              <w:snapToGrid w:val="0"/>
              <w:textAlignment w:val="auto"/>
              <w:rPr>
                <w:highlight w:val="none"/>
              </w:rPr>
            </w:pPr>
            <w:r>
              <w:rPr>
                <w:rFonts w:hint="eastAsia"/>
                <w:highlight w:val="none"/>
                <w:lang w:val="en-US" w:eastAsia="zh-CN"/>
              </w:rPr>
              <w:t>4.</w:t>
            </w:r>
            <w:r>
              <w:rPr>
                <w:highlight w:val="none"/>
              </w:rPr>
              <w:t>水环境</w:t>
            </w:r>
            <w:r>
              <w:rPr>
                <w:rFonts w:hint="eastAsia"/>
                <w:highlight w:val="none"/>
                <w:lang w:val="en-US" w:eastAsia="zh-CN"/>
              </w:rPr>
              <w:t>保护</w:t>
            </w:r>
            <w:r>
              <w:rPr>
                <w:highlight w:val="none"/>
              </w:rPr>
              <w:t>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（1）生活污水</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本次探矿野外作业人员约</w:t>
            </w:r>
            <w:r>
              <w:rPr>
                <w:rFonts w:hint="eastAsia"/>
                <w:lang w:val="en-US" w:eastAsia="zh-CN"/>
              </w:rPr>
              <w:t>14</w:t>
            </w:r>
            <w:r>
              <w:rPr>
                <w:rFonts w:hint="eastAsia"/>
              </w:rPr>
              <w:t>人。勘探人员日常洗漱</w:t>
            </w:r>
            <w:r>
              <w:rPr>
                <w:rFonts w:hint="eastAsia"/>
                <w:lang w:val="en-US" w:eastAsia="zh-CN"/>
              </w:rPr>
              <w:t>和</w:t>
            </w:r>
            <w:r>
              <w:rPr>
                <w:rFonts w:hint="eastAsia"/>
              </w:rPr>
              <w:t>生活所产生的污水，间断排放，主要含COD、BOD</w:t>
            </w:r>
            <w:r>
              <w:rPr>
                <w:rFonts w:hint="eastAsia"/>
                <w:vertAlign w:val="subscript"/>
              </w:rPr>
              <w:t>5</w:t>
            </w:r>
            <w:r>
              <w:rPr>
                <w:rFonts w:hint="eastAsia"/>
              </w:rPr>
              <w:t>、SS等污染物</w:t>
            </w:r>
            <w:r>
              <w:rPr>
                <w:rFonts w:hint="eastAsia"/>
                <w:lang w:eastAsia="zh-CN"/>
              </w:rPr>
              <w:t>，</w:t>
            </w:r>
            <w:r>
              <w:rPr>
                <w:rFonts w:hint="eastAsia"/>
                <w:lang w:val="en-US" w:eastAsia="zh-CN"/>
              </w:rPr>
              <w:t>勘探</w:t>
            </w:r>
            <w:r>
              <w:rPr>
                <w:rFonts w:hint="eastAsia"/>
              </w:rPr>
              <w:t>期内共产生生活污水</w:t>
            </w:r>
            <w:r>
              <w:rPr>
                <w:rFonts w:hint="eastAsia"/>
                <w:lang w:val="en-US" w:eastAsia="zh-CN"/>
              </w:rPr>
              <w:t>252</w:t>
            </w:r>
            <w:r>
              <w:rPr>
                <w:rFonts w:hint="eastAsia"/>
              </w:rPr>
              <w:t>m</w:t>
            </w:r>
            <w:r>
              <w:rPr>
                <w:rFonts w:hint="eastAsia"/>
                <w:vertAlign w:val="superscript"/>
              </w:rPr>
              <w:t>3</w:t>
            </w:r>
            <w:r>
              <w:rPr>
                <w:rFonts w:hint="eastAsia"/>
              </w:rPr>
              <w:t>。生活污水包括粪便污</w:t>
            </w:r>
            <w:r>
              <w:rPr>
                <w:rFonts w:hint="eastAsia"/>
                <w:lang w:val="en-US" w:eastAsia="zh-CN"/>
              </w:rPr>
              <w:t>水和洗漱污水</w:t>
            </w:r>
            <w:r>
              <w:rPr>
                <w:rFonts w:hint="eastAsia"/>
              </w:rPr>
              <w:t>等，类比一般生活污水污染物产生浓度，主要污染物</w:t>
            </w:r>
            <w:r>
              <w:rPr>
                <w:rFonts w:hint="eastAsia"/>
                <w:lang w:val="en-US" w:eastAsia="zh-CN"/>
              </w:rPr>
              <w:t>中</w:t>
            </w:r>
            <w:r>
              <w:rPr>
                <w:rFonts w:hint="eastAsia"/>
              </w:rPr>
              <w:t>COD、BOD</w:t>
            </w:r>
            <w:r>
              <w:rPr>
                <w:rFonts w:hint="eastAsia"/>
                <w:vertAlign w:val="subscript"/>
                <w:lang w:val="en-US" w:eastAsia="zh-CN"/>
              </w:rPr>
              <w:t>5</w:t>
            </w:r>
            <w:r>
              <w:rPr>
                <w:rFonts w:hint="eastAsia"/>
              </w:rPr>
              <w:t>、SS、NH</w:t>
            </w:r>
            <w:r>
              <w:rPr>
                <w:rFonts w:hint="eastAsia"/>
                <w:vertAlign w:val="subscript"/>
                <w:lang w:val="en-US" w:eastAsia="zh-CN"/>
              </w:rPr>
              <w:t>4</w:t>
            </w:r>
            <w:r>
              <w:rPr>
                <w:rFonts w:hint="eastAsia"/>
              </w:rPr>
              <w:t>-N、动植物油的排放浓度分别为</w:t>
            </w:r>
            <w:r>
              <w:rPr>
                <w:rFonts w:hint="eastAsia"/>
                <w:lang w:eastAsia="zh-CN"/>
              </w:rPr>
              <w:t>：</w:t>
            </w:r>
            <w:r>
              <w:rPr>
                <w:rFonts w:hint="eastAsia"/>
              </w:rPr>
              <w:t>320mg/m</w:t>
            </w:r>
            <w:r>
              <w:rPr>
                <w:rFonts w:hint="eastAsia"/>
                <w:vertAlign w:val="superscript"/>
              </w:rPr>
              <w:t>3</w:t>
            </w:r>
            <w:r>
              <w:rPr>
                <w:rFonts w:hint="eastAsia"/>
                <w:lang w:eastAsia="zh-CN"/>
              </w:rPr>
              <w:t>、</w:t>
            </w:r>
            <w:r>
              <w:rPr>
                <w:rFonts w:hint="eastAsia"/>
              </w:rPr>
              <w:t>200mg/m</w:t>
            </w:r>
            <w:r>
              <w:rPr>
                <w:rFonts w:hint="eastAsia"/>
                <w:vertAlign w:val="superscript"/>
              </w:rPr>
              <w:t>3</w:t>
            </w:r>
            <w:r>
              <w:rPr>
                <w:rFonts w:hint="eastAsia"/>
              </w:rPr>
              <w:t>、360mg/m</w:t>
            </w:r>
            <w:r>
              <w:rPr>
                <w:rFonts w:hint="eastAsia"/>
                <w:vertAlign w:val="superscript"/>
              </w:rPr>
              <w:t>3</w:t>
            </w:r>
            <w:r>
              <w:rPr>
                <w:rFonts w:hint="eastAsia"/>
              </w:rPr>
              <w:t>、25mg/m</w:t>
            </w:r>
            <w:r>
              <w:rPr>
                <w:rFonts w:hint="eastAsia"/>
                <w:vertAlign w:val="superscript"/>
              </w:rPr>
              <w:t>3</w:t>
            </w:r>
            <w:r>
              <w:rPr>
                <w:rFonts w:hint="eastAsia"/>
              </w:rPr>
              <w:t>、30mg/m</w:t>
            </w:r>
            <w:r>
              <w:rPr>
                <w:rFonts w:hint="eastAsia"/>
                <w:vertAlign w:val="superscript"/>
              </w:rPr>
              <w:t>3</w:t>
            </w:r>
            <w:r>
              <w:rPr>
                <w:rFonts w:hint="eastAsia"/>
              </w:rPr>
              <w:t>。</w:t>
            </w:r>
            <w:r>
              <w:rPr>
                <w:rFonts w:hint="eastAsia"/>
                <w:lang w:val="en-US" w:eastAsia="zh-CN"/>
              </w:rPr>
              <w:t>生活污水排入一体化污水处理设施处理达标后，其出水标准可达到《农村生活污水处理排放标准》（DB654275-2019）表2中C级标准，用于洒水绿化，不外排，不与地表水体发生水力联系，对周围环境影响较小。</w:t>
            </w:r>
          </w:p>
          <w:p>
            <w:pPr>
              <w:pStyle w:val="48"/>
              <w:bidi w:val="0"/>
              <w:rPr>
                <w:rFonts w:hint="eastAsia"/>
                <w:lang w:val="en-US" w:eastAsia="zh-CN"/>
              </w:rPr>
            </w:pPr>
            <w:r>
              <w:rPr>
                <w:rFonts w:hint="eastAsia"/>
                <w:lang w:val="en-US" w:eastAsia="zh-CN"/>
              </w:rPr>
              <w:t>（2）钻井设备冲洗水</w:t>
            </w:r>
          </w:p>
          <w:p>
            <w:pPr>
              <w:pStyle w:val="48"/>
              <w:bidi w:val="0"/>
              <w:rPr>
                <w:rFonts w:hint="eastAsia"/>
                <w:lang w:val="en-US" w:eastAsia="zh-CN"/>
              </w:rPr>
            </w:pPr>
            <w:r>
              <w:rPr>
                <w:rFonts w:hint="eastAsia"/>
                <w:lang w:val="en-US" w:eastAsia="zh-CN"/>
              </w:rPr>
              <w:t>项目钻探过程中使用的钻井设备需清洗，设备冲洗水经沉淀池处理后蒸发逸散、不外排。</w:t>
            </w:r>
          </w:p>
          <w:p>
            <w:pPr>
              <w:pStyle w:val="48"/>
              <w:bidi w:val="0"/>
              <w:rPr>
                <w:rFonts w:hint="eastAsia"/>
                <w:lang w:val="en-US" w:eastAsia="zh-CN"/>
              </w:rPr>
            </w:pPr>
            <w:r>
              <w:rPr>
                <w:rFonts w:hint="eastAsia"/>
                <w:lang w:val="en-US" w:eastAsia="zh-CN"/>
              </w:rPr>
              <w:t>（3）泥浆废水</w:t>
            </w:r>
          </w:p>
          <w:p>
            <w:pPr>
              <w:pStyle w:val="48"/>
              <w:bidi w:val="0"/>
              <w:rPr>
                <w:rFonts w:hint="default"/>
                <w:lang w:val="en-US" w:eastAsia="zh-CN"/>
              </w:rPr>
            </w:pPr>
            <w:r>
              <w:rPr>
                <w:rFonts w:hint="eastAsia"/>
                <w:lang w:val="en-US" w:eastAsia="zh-CN"/>
              </w:rPr>
              <w:t>泥浆废水经防渗沉淀池处理后回用于钻孔泥浆配制，循环使用，不外排。</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5.声环境保护</w:t>
            </w:r>
            <w:r>
              <w:t>措施</w:t>
            </w:r>
          </w:p>
          <w:p>
            <w:pPr>
              <w:pStyle w:val="48"/>
              <w:keepNext w:val="0"/>
              <w:keepLines w:val="0"/>
              <w:pageBreakBefore w:val="0"/>
              <w:widowControl w:val="0"/>
              <w:kinsoku/>
              <w:overflowPunct/>
              <w:topLinePunct w:val="0"/>
              <w:autoSpaceDE/>
              <w:autoSpaceDN/>
              <w:bidi w:val="0"/>
              <w:adjustRightInd w:val="0"/>
              <w:snapToGrid w:val="0"/>
              <w:textAlignment w:val="auto"/>
            </w:pPr>
            <w:r>
              <w:t>本次探矿工作槽探以人工作业为主，辅以机械施工。</w:t>
            </w:r>
            <w:r>
              <w:rPr>
                <w:rFonts w:hint="eastAsia"/>
              </w:rPr>
              <w:t>探矿</w:t>
            </w:r>
            <w:r>
              <w:t>活动相对集中，噪声源相对固定。经类比调查，</w:t>
            </w:r>
            <w:r>
              <w:rPr>
                <w:rFonts w:hint="eastAsia"/>
              </w:rPr>
              <w:t>探矿</w:t>
            </w:r>
            <w:r>
              <w:t>期间声强范围在</w:t>
            </w:r>
            <w:r>
              <w:rPr>
                <w:rFonts w:hint="eastAsia"/>
                <w:lang w:val="en-US" w:eastAsia="zh-CN"/>
              </w:rPr>
              <w:t>68-80</w:t>
            </w:r>
            <w:r>
              <w:t>dB之间。</w:t>
            </w:r>
          </w:p>
          <w:p>
            <w:pPr>
              <w:pStyle w:val="48"/>
              <w:keepNext w:val="0"/>
              <w:keepLines w:val="0"/>
              <w:pageBreakBefore w:val="0"/>
              <w:widowControl w:val="0"/>
              <w:kinsoku/>
              <w:overflowPunct/>
              <w:topLinePunct w:val="0"/>
              <w:autoSpaceDE/>
              <w:autoSpaceDN/>
              <w:bidi w:val="0"/>
              <w:adjustRightInd w:val="0"/>
              <w:snapToGrid w:val="0"/>
              <w:textAlignment w:val="auto"/>
            </w:pPr>
            <w:r>
              <w:t>为减少</w:t>
            </w:r>
            <w:r>
              <w:rPr>
                <w:rFonts w:hint="eastAsia"/>
              </w:rPr>
              <w:t>本项目施工期间</w:t>
            </w:r>
            <w:r>
              <w:t>噪声对周边环境的影响拟采取以下防治措施：</w:t>
            </w:r>
          </w:p>
          <w:p>
            <w:pPr>
              <w:pStyle w:val="48"/>
              <w:keepNext w:val="0"/>
              <w:keepLines w:val="0"/>
              <w:pageBreakBefore w:val="0"/>
              <w:widowControl w:val="0"/>
              <w:kinsoku/>
              <w:overflowPunct/>
              <w:topLinePunct w:val="0"/>
              <w:autoSpaceDE/>
              <w:autoSpaceDN/>
              <w:bidi w:val="0"/>
              <w:adjustRightInd w:val="0"/>
              <w:snapToGrid w:val="0"/>
              <w:textAlignment w:val="auto"/>
            </w:pPr>
            <w:r>
              <w:t>（1）合理安排施工时段：制定施工计划时，应尽可能避免大量噪声设备同时使用。应尽量安排在白天施工。</w:t>
            </w:r>
          </w:p>
          <w:p>
            <w:pPr>
              <w:pStyle w:val="48"/>
              <w:keepNext w:val="0"/>
              <w:keepLines w:val="0"/>
              <w:pageBreakBefore w:val="0"/>
              <w:widowControl w:val="0"/>
              <w:kinsoku/>
              <w:overflowPunct/>
              <w:topLinePunct w:val="0"/>
              <w:autoSpaceDE/>
              <w:autoSpaceDN/>
              <w:bidi w:val="0"/>
              <w:adjustRightInd w:val="0"/>
              <w:snapToGrid w:val="0"/>
              <w:textAlignment w:val="auto"/>
            </w:pPr>
            <w:r>
              <w:t>（2）合理布局施工场地：避免在同一地点安排大量动力机械设备，以免局部声级过高。</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3</w:t>
            </w:r>
            <w:r>
              <w:t>）降低人为噪声影响：按操作规范操作机械设备过程中减少碰撞噪声，在装卸</w:t>
            </w:r>
            <w:r>
              <w:rPr>
                <w:rFonts w:hint="eastAsia"/>
                <w:lang w:val="en-US" w:eastAsia="zh-CN"/>
              </w:rPr>
              <w:t>过</w:t>
            </w:r>
            <w:r>
              <w:t>程中，禁止野蛮作业，减少作业噪声。</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4</w:t>
            </w:r>
            <w:r>
              <w:t>）管理措施：建设方应对施工单位提出明确的噪声环境要求，要求施工单位制定科学、合理的施工方案和严格的生产管理制度。</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5</w:t>
            </w:r>
            <w:r>
              <w:t>）加强对设备的维护、养护，闲置设备应立即关闭。尽可能采用外加工材料，减少现场加工的工作量。</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6.</w:t>
            </w:r>
            <w:r>
              <w:t>固体废物污染防治措施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t>（1）</w:t>
            </w:r>
            <w:r>
              <w:rPr>
                <w:rFonts w:hint="eastAsia"/>
                <w:lang w:val="en-US" w:eastAsia="zh-CN"/>
              </w:rPr>
              <w:t>开挖临时堆土</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宋体"/>
                <w:lang w:eastAsia="zh-CN"/>
              </w:rPr>
            </w:pPr>
            <w:r>
              <w:rPr>
                <w:rFonts w:hint="eastAsia"/>
              </w:rPr>
              <w:t>主要为槽探开挖产生</w:t>
            </w:r>
            <w:r>
              <w:rPr>
                <w:rFonts w:hint="eastAsia"/>
                <w:lang w:val="en-US" w:eastAsia="zh-CN"/>
              </w:rPr>
              <w:t>的</w:t>
            </w:r>
            <w:r>
              <w:rPr>
                <w:rFonts w:hint="eastAsia"/>
              </w:rPr>
              <w:t>土石方，属于一般固废。对临时堆土坡脚进行防护、表面夯实处理并设置相应的挡渣墙。勘探期内严禁将开挖土石方堆放在山间冲沟内，阻塞冲沟，确保冲沟的通畅性。开挖的土石方在勘探期结束后全部回填至开挖迹地，开挖临时堆土的环境影响较小</w:t>
            </w:r>
            <w:r>
              <w:rPr>
                <w:rFonts w:hint="eastAsia" w:cs="宋体"/>
                <w:lang w:eastAsia="zh-CN"/>
              </w:rPr>
              <w:t>。</w:t>
            </w:r>
          </w:p>
          <w:p>
            <w:pPr>
              <w:pStyle w:val="48"/>
              <w:keepNext w:val="0"/>
              <w:keepLines w:val="0"/>
              <w:pageBreakBefore w:val="0"/>
              <w:widowControl w:val="0"/>
              <w:numPr>
                <w:ilvl w:val="0"/>
                <w:numId w:val="3"/>
              </w:numPr>
              <w:kinsoku/>
              <w:overflowPunct/>
              <w:topLinePunct w:val="0"/>
              <w:autoSpaceDE/>
              <w:autoSpaceDN/>
              <w:bidi w:val="0"/>
              <w:adjustRightInd w:val="0"/>
              <w:snapToGrid w:val="0"/>
              <w:ind w:left="0" w:leftChars="0" w:firstLine="480" w:firstLineChars="200"/>
              <w:textAlignment w:val="auto"/>
              <w:rPr>
                <w:rFonts w:hint="eastAsia" w:cs="宋体"/>
                <w:lang w:val="en-US" w:eastAsia="zh-CN"/>
              </w:rPr>
            </w:pPr>
            <w:r>
              <w:rPr>
                <w:rFonts w:hint="eastAsia" w:cs="宋体"/>
                <w:lang w:val="en-US" w:eastAsia="zh-CN"/>
              </w:rPr>
              <w:t>钻井泥浆、岩屑、岩心、沉淀池沉渣</w:t>
            </w:r>
          </w:p>
          <w:p>
            <w:pPr>
              <w:pStyle w:val="48"/>
              <w:bidi w:val="0"/>
              <w:rPr>
                <w:rFonts w:hint="default"/>
                <w:lang w:val="en-US" w:eastAsia="zh-CN"/>
              </w:rPr>
            </w:pPr>
            <w:r>
              <w:rPr>
                <w:rFonts w:hint="default"/>
                <w:lang w:val="en-US" w:eastAsia="zh-CN"/>
              </w:rPr>
              <w:t>本项目更换的钻井岩心由地质勘探队统一收集，最终交至单位岩心库统一保管，不能随意丢弃</w:t>
            </w:r>
            <w:r>
              <w:rPr>
                <w:rFonts w:hint="eastAsia"/>
                <w:lang w:val="en-US" w:eastAsia="zh-CN"/>
              </w:rPr>
              <w:t>。</w:t>
            </w:r>
            <w:r>
              <w:rPr>
                <w:rFonts w:hint="default"/>
                <w:lang w:val="en-US" w:eastAsia="zh-CN"/>
              </w:rPr>
              <w:t>使用的泥浆为水基钻井泥浆，以膨润土、辅料粘土作为基础配浆材料，加入各种有机和无机材料形成的多种成分和相态共存的悬浮液。本项目采用的泥浆材料及处理剂具备无毒无害、可自然降解性能，不含易燃、易爆、有毒物质，循环使用，固化后就地填埋。岩屑用于回填封孔。沉淀池沉渣采取就地掩埋的方式进行处理</w:t>
            </w:r>
            <w:r>
              <w:rPr>
                <w:rFonts w:hint="eastAsia"/>
                <w:lang w:val="en-US" w:eastAsia="zh-CN"/>
              </w:rPr>
              <w:t>。</w:t>
            </w:r>
            <w:r>
              <w:rPr>
                <w:rFonts w:hint="default"/>
                <w:lang w:val="en-US" w:eastAsia="zh-CN"/>
              </w:rPr>
              <w:t>废弃泥浆</w:t>
            </w:r>
            <w:r>
              <w:rPr>
                <w:rFonts w:hint="eastAsia"/>
                <w:lang w:val="en-US" w:eastAsia="zh-CN"/>
              </w:rPr>
              <w:t>、</w:t>
            </w:r>
            <w:r>
              <w:rPr>
                <w:rFonts w:hint="default"/>
                <w:lang w:val="en-US" w:eastAsia="zh-CN"/>
              </w:rPr>
              <w:t>岩屑</w:t>
            </w:r>
            <w:r>
              <w:rPr>
                <w:rFonts w:hint="eastAsia"/>
                <w:lang w:val="en-US" w:eastAsia="zh-CN"/>
              </w:rPr>
              <w:t>、沉淀池沉渣</w:t>
            </w:r>
            <w:r>
              <w:rPr>
                <w:rFonts w:hint="default"/>
                <w:lang w:val="en-US" w:eastAsia="zh-CN"/>
              </w:rPr>
              <w:t>的处置满足《一般工业固体废物贮存和填埋污染控制标准》（GB18599-2020）的要求。</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（3）生活垃圾</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ascii="Times New Roman" w:hAnsi="Times New Roman" w:eastAsia="宋体" w:cs="宋体"/>
                <w:lang w:val="en-US" w:eastAsia="zh-CN"/>
              </w:rPr>
              <w:t>本项目</w:t>
            </w:r>
            <w:r>
              <w:rPr>
                <w:rFonts w:hint="eastAsia" w:ascii="Times New Roman" w:hAnsi="Times New Roman" w:eastAsia="宋体" w:cs="宋体"/>
                <w:lang w:val="en-US" w:eastAsia="zh-CN"/>
              </w:rPr>
              <w:t>勘探</w:t>
            </w:r>
            <w:r>
              <w:rPr>
                <w:rFonts w:hint="default" w:ascii="Times New Roman" w:hAnsi="Times New Roman" w:eastAsia="宋体" w:cs="宋体"/>
                <w:lang w:val="en-US" w:eastAsia="zh-CN"/>
              </w:rPr>
              <w:t>期间施工人员生活垃圾产生总量约</w:t>
            </w:r>
            <w:r>
              <w:rPr>
                <w:rFonts w:hint="default"/>
                <w:lang w:val="en-US" w:eastAsia="zh-CN"/>
              </w:rPr>
              <w:t>为</w:t>
            </w:r>
            <w:r>
              <w:rPr>
                <w:rFonts w:hint="eastAsia"/>
                <w:lang w:val="en-US" w:eastAsia="zh-CN"/>
              </w:rPr>
              <w:t>5.4</w:t>
            </w:r>
            <w:r>
              <w:rPr>
                <w:rFonts w:hint="default"/>
                <w:highlight w:val="none"/>
                <w:lang w:val="en-US" w:eastAsia="zh-CN"/>
              </w:rPr>
              <w:t>t</w:t>
            </w:r>
            <w:r>
              <w:rPr>
                <w:rFonts w:hint="default"/>
                <w:lang w:val="en-US" w:eastAsia="zh-CN"/>
              </w:rPr>
              <w:t>。施工营地内设置一定数量的垃圾桶，用于临时存放生活垃圾，最终统一收集后</w:t>
            </w:r>
            <w:r>
              <w:rPr>
                <w:rFonts w:hint="eastAsia"/>
                <w:shd w:val="clear" w:color="auto" w:fill="auto"/>
                <w:lang w:val="en-US" w:eastAsia="zh-CN"/>
              </w:rPr>
              <w:t>送至且末县垃圾填埋场</w:t>
            </w:r>
            <w:r>
              <w:rPr>
                <w:rFonts w:hint="eastAsia"/>
                <w:shd w:val="clear" w:color="auto" w:fill="auto"/>
                <w:lang w:eastAsia="zh-CN"/>
              </w:rPr>
              <w:t>。</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t>采取以上防治措施后，探矿工作产生的固体废物对环境影响较小。</w:t>
            </w:r>
            <w:r>
              <w:rPr>
                <w:rFonts w:hint="eastAsia"/>
              </w:rPr>
              <w:t>固废</w:t>
            </w:r>
            <w:r>
              <w:t>产生明细</w:t>
            </w:r>
            <w:r>
              <w:rPr>
                <w:rFonts w:hint="eastAsia"/>
                <w:lang w:eastAsia="zh-CN"/>
              </w:rPr>
              <w:t>见表</w:t>
            </w:r>
            <w:r>
              <w:rPr>
                <w:rFonts w:hint="eastAsia"/>
                <w:lang w:val="en-US" w:eastAsia="zh-CN"/>
              </w:rPr>
              <w:t>5-1。</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highlight w:val="green"/>
              </w:rPr>
            </w:pPr>
            <w:r>
              <w:rPr>
                <w:rFonts w:hint="eastAsia"/>
                <w:lang w:val="en-US" w:eastAsia="zh-CN"/>
              </w:rPr>
              <w:t xml:space="preserve">表5-1  </w:t>
            </w:r>
            <w:r>
              <w:rPr>
                <w:rFonts w:hint="eastAsia"/>
                <w:highlight w:val="none"/>
                <w:lang w:val="en-US" w:eastAsia="zh-CN"/>
              </w:rPr>
              <w:t xml:space="preserve">  项目固体废物产生情况明细</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67"/>
              <w:gridCol w:w="861"/>
              <w:gridCol w:w="1344"/>
              <w:gridCol w:w="1177"/>
              <w:gridCol w:w="93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废物属性</w:t>
                  </w: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名称</w:t>
                  </w:r>
                </w:p>
              </w:tc>
              <w:tc>
                <w:tcPr>
                  <w:tcW w:w="57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废物类别</w:t>
                  </w:r>
                </w:p>
              </w:tc>
              <w:tc>
                <w:tcPr>
                  <w:tcW w:w="89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废物代码</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产生量（探矿期）</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危险特性</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一般固废</w:t>
                  </w: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开挖土石</w:t>
                  </w:r>
                </w:p>
              </w:tc>
              <w:tc>
                <w:tcPr>
                  <w:tcW w:w="572"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SW17</w:t>
                  </w:r>
                </w:p>
              </w:tc>
              <w:tc>
                <w:tcPr>
                  <w:tcW w:w="893"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900-099-S17</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highlight w:val="none"/>
                      <w:lang w:val="en-US" w:eastAsia="zh-CN"/>
                    </w:rPr>
                    <w:t>5000</w:t>
                  </w:r>
                  <w:r>
                    <w:rPr>
                      <w:rFonts w:hint="default"/>
                      <w:highlight w:val="none"/>
                      <w:lang w:eastAsia="zh-CN"/>
                    </w:rPr>
                    <w:t>m</w:t>
                  </w:r>
                  <w:r>
                    <w:rPr>
                      <w:rFonts w:hint="default"/>
                      <w:highlight w:val="none"/>
                      <w:vertAlign w:val="superscript"/>
                      <w:lang w:eastAsia="zh-CN"/>
                    </w:rPr>
                    <w:t>3</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勘探期结束后全部回填至开挖迹地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8"/>
                    <w:bidi w:val="0"/>
                    <w:rPr>
                      <w:rFonts w:hint="eastAsia"/>
                      <w:lang w:val="en-US" w:eastAsia="zh-CN"/>
                    </w:rPr>
                  </w:pPr>
                  <w:r>
                    <w:rPr>
                      <w:rFonts w:hint="eastAsia"/>
                      <w:lang w:val="en-US" w:eastAsia="zh-CN"/>
                    </w:rPr>
                    <w:t>岩屑</w:t>
                  </w:r>
                </w:p>
              </w:tc>
              <w:tc>
                <w:tcPr>
                  <w:tcW w:w="572" w:type="pct"/>
                  <w:vMerge w:val="continue"/>
                  <w:noWrap w:val="0"/>
                  <w:vAlign w:val="center"/>
                </w:tcPr>
                <w:p>
                  <w:pPr>
                    <w:pStyle w:val="58"/>
                    <w:bidi w:val="0"/>
                    <w:rPr>
                      <w:rFonts w:hint="eastAsia"/>
                      <w:lang w:val="en-US" w:eastAsia="zh-CN"/>
                    </w:rPr>
                  </w:pPr>
                </w:p>
              </w:tc>
              <w:tc>
                <w:tcPr>
                  <w:tcW w:w="893" w:type="pct"/>
                  <w:vMerge w:val="continue"/>
                  <w:noWrap w:val="0"/>
                  <w:vAlign w:val="center"/>
                </w:tcPr>
                <w:p>
                  <w:pPr>
                    <w:pStyle w:val="58"/>
                    <w:bidi w:val="0"/>
                    <w:rPr>
                      <w:rFonts w:hint="eastAsia"/>
                      <w:lang w:val="en-US" w:eastAsia="zh-CN"/>
                    </w:rPr>
                  </w:pPr>
                </w:p>
              </w:tc>
              <w:tc>
                <w:tcPr>
                  <w:tcW w:w="782" w:type="pct"/>
                  <w:noWrap w:val="0"/>
                  <w:vAlign w:val="center"/>
                </w:tcPr>
                <w:p>
                  <w:pPr>
                    <w:pStyle w:val="58"/>
                    <w:bidi w:val="0"/>
                    <w:rPr>
                      <w:rFonts w:hint="eastAsia"/>
                      <w:highlight w:val="none"/>
                      <w:lang w:val="en-US" w:eastAsia="zh-CN"/>
                    </w:rPr>
                  </w:pPr>
                  <w:r>
                    <w:rPr>
                      <w:rFonts w:hint="eastAsia"/>
                      <w:lang w:val="en-US" w:eastAsia="zh-CN"/>
                    </w:rPr>
                    <w:t>2.06m</w:t>
                  </w:r>
                  <w:r>
                    <w:rPr>
                      <w:rFonts w:hint="eastAsia"/>
                      <w:vertAlign w:val="superscript"/>
                      <w:lang w:val="en-US" w:eastAsia="zh-CN"/>
                    </w:rPr>
                    <w:t>3</w:t>
                  </w:r>
                </w:p>
              </w:tc>
              <w:tc>
                <w:tcPr>
                  <w:tcW w:w="618" w:type="pct"/>
                  <w:noWrap w:val="0"/>
                  <w:vAlign w:val="center"/>
                </w:tcPr>
                <w:p>
                  <w:pPr>
                    <w:pStyle w:val="58"/>
                    <w:bidi w:val="0"/>
                    <w:rPr>
                      <w:rFonts w:hint="default"/>
                      <w:lang w:val="en-US" w:eastAsia="zh-CN"/>
                    </w:rPr>
                  </w:pPr>
                  <w:r>
                    <w:rPr>
                      <w:rFonts w:hint="eastAsia"/>
                      <w:lang w:val="en-US" w:eastAsia="zh-CN"/>
                    </w:rPr>
                    <w:t>/</w:t>
                  </w:r>
                </w:p>
              </w:tc>
              <w:tc>
                <w:tcPr>
                  <w:tcW w:w="1055" w:type="pct"/>
                  <w:noWrap w:val="0"/>
                  <w:vAlign w:val="center"/>
                </w:tcPr>
                <w:p>
                  <w:pPr>
                    <w:pStyle w:val="58"/>
                    <w:bidi w:val="0"/>
                    <w:rPr>
                      <w:rFonts w:hint="default"/>
                      <w:lang w:val="en-US" w:eastAsia="zh-CN"/>
                    </w:rPr>
                  </w:pPr>
                  <w:r>
                    <w:rPr>
                      <w:rFonts w:hint="eastAsia"/>
                      <w:lang w:val="en-US" w:eastAsia="zh-CN"/>
                    </w:rPr>
                    <w:t>钻孔回填封孔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8"/>
                    <w:bidi w:val="0"/>
                    <w:rPr>
                      <w:rFonts w:hint="eastAsia"/>
                      <w:lang w:val="en-US" w:eastAsia="zh-CN"/>
                    </w:rPr>
                  </w:pPr>
                  <w:r>
                    <w:rPr>
                      <w:rFonts w:hint="eastAsia"/>
                      <w:lang w:val="en-US" w:eastAsia="zh-CN"/>
                    </w:rPr>
                    <w:t>岩心</w:t>
                  </w:r>
                </w:p>
              </w:tc>
              <w:tc>
                <w:tcPr>
                  <w:tcW w:w="572" w:type="pct"/>
                  <w:vMerge w:val="continue"/>
                  <w:noWrap w:val="0"/>
                  <w:vAlign w:val="center"/>
                </w:tcPr>
                <w:p>
                  <w:pPr>
                    <w:pStyle w:val="58"/>
                    <w:bidi w:val="0"/>
                    <w:rPr>
                      <w:rFonts w:hint="eastAsia"/>
                      <w:lang w:val="en-US" w:eastAsia="zh-CN"/>
                    </w:rPr>
                  </w:pPr>
                </w:p>
              </w:tc>
              <w:tc>
                <w:tcPr>
                  <w:tcW w:w="893" w:type="pct"/>
                  <w:vMerge w:val="continue"/>
                  <w:noWrap w:val="0"/>
                  <w:vAlign w:val="center"/>
                </w:tcPr>
                <w:p>
                  <w:pPr>
                    <w:pStyle w:val="58"/>
                    <w:bidi w:val="0"/>
                    <w:rPr>
                      <w:rFonts w:hint="eastAsia"/>
                      <w:lang w:val="en-US" w:eastAsia="zh-CN"/>
                    </w:rPr>
                  </w:pPr>
                </w:p>
              </w:tc>
              <w:tc>
                <w:tcPr>
                  <w:tcW w:w="782" w:type="pct"/>
                  <w:noWrap w:val="0"/>
                  <w:vAlign w:val="center"/>
                </w:tcPr>
                <w:p>
                  <w:pPr>
                    <w:pStyle w:val="58"/>
                    <w:bidi w:val="0"/>
                    <w:rPr>
                      <w:rFonts w:hint="eastAsia"/>
                      <w:highlight w:val="none"/>
                      <w:lang w:val="en-US" w:eastAsia="zh-CN"/>
                    </w:rPr>
                  </w:pPr>
                  <w:r>
                    <w:rPr>
                      <w:rFonts w:hint="eastAsia"/>
                      <w:lang w:val="en-US" w:eastAsia="zh-CN"/>
                    </w:rPr>
                    <w:t>20.63m</w:t>
                  </w:r>
                  <w:r>
                    <w:rPr>
                      <w:rFonts w:hint="eastAsia"/>
                      <w:vertAlign w:val="superscript"/>
                      <w:lang w:val="en-US" w:eastAsia="zh-CN"/>
                    </w:rPr>
                    <w:t>3</w:t>
                  </w:r>
                </w:p>
              </w:tc>
              <w:tc>
                <w:tcPr>
                  <w:tcW w:w="618" w:type="pct"/>
                  <w:noWrap w:val="0"/>
                  <w:vAlign w:val="center"/>
                </w:tcPr>
                <w:p>
                  <w:pPr>
                    <w:pStyle w:val="58"/>
                    <w:bidi w:val="0"/>
                    <w:rPr>
                      <w:rFonts w:hint="default"/>
                      <w:lang w:val="en-US" w:eastAsia="zh-CN"/>
                    </w:rPr>
                  </w:pPr>
                  <w:r>
                    <w:rPr>
                      <w:rFonts w:hint="eastAsia"/>
                      <w:lang w:val="en-US" w:eastAsia="zh-CN"/>
                    </w:rPr>
                    <w:t>/</w:t>
                  </w:r>
                </w:p>
              </w:tc>
              <w:tc>
                <w:tcPr>
                  <w:tcW w:w="1055" w:type="pct"/>
                  <w:noWrap w:val="0"/>
                  <w:vAlign w:val="center"/>
                </w:tcPr>
                <w:p>
                  <w:pPr>
                    <w:pStyle w:val="58"/>
                    <w:bidi w:val="0"/>
                    <w:rPr>
                      <w:rFonts w:hint="default"/>
                      <w:lang w:val="en-US" w:eastAsia="zh-CN"/>
                    </w:rPr>
                  </w:pPr>
                  <w:r>
                    <w:rPr>
                      <w:rFonts w:hint="eastAsia"/>
                      <w:lang w:val="en-US" w:eastAsia="zh-CN"/>
                    </w:rPr>
                    <w:t>带回实验室分析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867" w:type="dxa"/>
                  <w:noWrap w:val="0"/>
                  <w:vAlign w:val="center"/>
                </w:tcPr>
                <w:p>
                  <w:pPr>
                    <w:pStyle w:val="58"/>
                    <w:bidi w:val="0"/>
                    <w:rPr>
                      <w:rFonts w:hint="eastAsia"/>
                      <w:lang w:val="en-US" w:eastAsia="zh-CN"/>
                    </w:rPr>
                  </w:pPr>
                  <w:r>
                    <w:rPr>
                      <w:rFonts w:hint="eastAsia"/>
                      <w:lang w:val="en-US" w:eastAsia="zh-CN"/>
                    </w:rPr>
                    <w:t>钻井泥浆</w:t>
                  </w:r>
                </w:p>
              </w:tc>
              <w:tc>
                <w:tcPr>
                  <w:tcW w:w="861" w:type="dxa"/>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lang w:val="en-US" w:eastAsia="zh-CN"/>
                    </w:rPr>
                    <w:t>SW7</w:t>
                  </w:r>
                  <w:r>
                    <w:rPr>
                      <w:rFonts w:hint="eastAsia"/>
                      <w:lang w:val="en-US" w:eastAsia="zh-CN"/>
                    </w:rPr>
                    <w:t>1</w:t>
                  </w:r>
                </w:p>
              </w:tc>
              <w:tc>
                <w:tcPr>
                  <w:tcW w:w="1344" w:type="dxa"/>
                  <w:noWrap w:val="0"/>
                  <w:vAlign w:val="center"/>
                </w:tcPr>
                <w:p>
                  <w:pPr>
                    <w:pStyle w:val="58"/>
                    <w:bidi w:val="0"/>
                    <w:rPr>
                      <w:rFonts w:hint="eastAsia" w:cs="Times New Roman"/>
                      <w:kern w:val="2"/>
                      <w:sz w:val="21"/>
                      <w:szCs w:val="21"/>
                      <w:lang w:val="en-US" w:eastAsia="zh-CN" w:bidi="ar-SA"/>
                    </w:rPr>
                  </w:pPr>
                  <w:r>
                    <w:rPr>
                      <w:rFonts w:hint="default"/>
                      <w:lang w:val="en-US" w:eastAsia="zh-CN"/>
                    </w:rPr>
                    <w:t>900-001-S7</w:t>
                  </w:r>
                  <w:r>
                    <w:rPr>
                      <w:rFonts w:hint="eastAsia"/>
                      <w:lang w:val="en-US" w:eastAsia="zh-CN"/>
                    </w:rPr>
                    <w:t>1</w:t>
                  </w:r>
                </w:p>
              </w:tc>
              <w:tc>
                <w:tcPr>
                  <w:tcW w:w="1177" w:type="dxa"/>
                  <w:noWrap w:val="0"/>
                  <w:vAlign w:val="center"/>
                </w:tcPr>
                <w:p>
                  <w:pPr>
                    <w:pStyle w:val="58"/>
                    <w:bidi w:val="0"/>
                    <w:rPr>
                      <w:rFonts w:hint="eastAsia"/>
                      <w:lang w:val="en-US" w:eastAsia="zh-CN"/>
                    </w:rPr>
                  </w:pPr>
                  <w:r>
                    <w:rPr>
                      <w:rFonts w:hint="eastAsia"/>
                      <w:lang w:val="en-US" w:eastAsia="zh-CN"/>
                    </w:rPr>
                    <w:t>20t</w:t>
                  </w:r>
                </w:p>
              </w:tc>
              <w:tc>
                <w:tcPr>
                  <w:tcW w:w="930" w:type="dxa"/>
                  <w:noWrap w:val="0"/>
                  <w:vAlign w:val="center"/>
                </w:tcPr>
                <w:p>
                  <w:pPr>
                    <w:pStyle w:val="58"/>
                    <w:bidi w:val="0"/>
                    <w:rPr>
                      <w:rFonts w:hint="eastAsia"/>
                      <w:lang w:val="en-US" w:eastAsia="zh-CN"/>
                    </w:rPr>
                  </w:pPr>
                  <w:r>
                    <w:rPr>
                      <w:rFonts w:hint="eastAsia"/>
                      <w:lang w:val="en-US" w:eastAsia="zh-CN"/>
                    </w:rPr>
                    <w:t>/</w:t>
                  </w:r>
                </w:p>
              </w:tc>
              <w:tc>
                <w:tcPr>
                  <w:tcW w:w="1588" w:type="dxa"/>
                  <w:noWrap w:val="0"/>
                  <w:vAlign w:val="center"/>
                </w:tcPr>
                <w:p>
                  <w:pPr>
                    <w:pStyle w:val="58"/>
                    <w:bidi w:val="0"/>
                    <w:rPr>
                      <w:rFonts w:hint="eastAsia"/>
                      <w:lang w:val="en-US" w:eastAsia="zh-CN"/>
                    </w:rPr>
                  </w:pPr>
                  <w:r>
                    <w:rPr>
                      <w:rFonts w:hint="eastAsia"/>
                      <w:lang w:val="en-US" w:eastAsia="zh-CN"/>
                    </w:rPr>
                    <w:t>钻井泥浆固化后就地填埋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沉淀池沉渣</w:t>
                  </w:r>
                </w:p>
              </w:tc>
              <w:tc>
                <w:tcPr>
                  <w:tcW w:w="572"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SW</w:t>
                  </w:r>
                  <w:r>
                    <w:rPr>
                      <w:rFonts w:hint="eastAsia" w:cs="Times New Roman"/>
                      <w:kern w:val="2"/>
                      <w:sz w:val="21"/>
                      <w:szCs w:val="21"/>
                      <w:lang w:val="en-US" w:eastAsia="zh-CN" w:bidi="ar-SA"/>
                    </w:rPr>
                    <w:t>07</w:t>
                  </w:r>
                </w:p>
              </w:tc>
              <w:tc>
                <w:tcPr>
                  <w:tcW w:w="893"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900-099-S07</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0.1t</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就地掩埋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生活垃圾</w:t>
                  </w: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生活垃圾</w:t>
                  </w:r>
                </w:p>
              </w:tc>
              <w:tc>
                <w:tcPr>
                  <w:tcW w:w="57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SW61</w:t>
                  </w:r>
                </w:p>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SW62</w:t>
                  </w:r>
                </w:p>
              </w:tc>
              <w:tc>
                <w:tcPr>
                  <w:tcW w:w="89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900-001-S61</w:t>
                  </w:r>
                </w:p>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900-001-S62</w:t>
                  </w:r>
                </w:p>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900-002-S62</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5.4t</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shd w:val="clear" w:color="auto" w:fill="auto"/>
                      <w:lang w:val="en-US" w:eastAsia="zh-CN"/>
                    </w:rPr>
                    <w:t>统一收集后送至且末县垃圾填埋场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pPr>
                    <w:pStyle w:val="58"/>
                    <w:bidi w:val="0"/>
                    <w:rPr>
                      <w:rFonts w:hint="eastAsia"/>
                      <w:lang w:val="en-US" w:eastAsia="zh-CN"/>
                    </w:rPr>
                  </w:pPr>
                  <w:r>
                    <w:rPr>
                      <w:rFonts w:hint="eastAsia"/>
                      <w:lang w:val="en-US" w:eastAsia="zh-CN"/>
                    </w:rPr>
                    <w:t>危险废物</w:t>
                  </w:r>
                </w:p>
              </w:tc>
              <w:tc>
                <w:tcPr>
                  <w:tcW w:w="867" w:type="dxa"/>
                  <w:noWrap w:val="0"/>
                  <w:vAlign w:val="center"/>
                </w:tcPr>
                <w:p>
                  <w:pPr>
                    <w:pStyle w:val="58"/>
                    <w:bidi w:val="0"/>
                    <w:rPr>
                      <w:rFonts w:hint="eastAsia"/>
                      <w:lang w:val="en-US" w:eastAsia="zh-CN"/>
                    </w:rPr>
                  </w:pPr>
                  <w:r>
                    <w:rPr>
                      <w:rFonts w:hint="eastAsia"/>
                      <w:lang w:val="en-US" w:eastAsia="zh-CN"/>
                    </w:rPr>
                    <w:t>废润滑油和废油桶</w:t>
                  </w:r>
                </w:p>
              </w:tc>
              <w:tc>
                <w:tcPr>
                  <w:tcW w:w="861" w:type="dxa"/>
                  <w:noWrap w:val="0"/>
                  <w:vAlign w:val="center"/>
                </w:tcPr>
                <w:p>
                  <w:pPr>
                    <w:pStyle w:val="58"/>
                    <w:bidi w:val="0"/>
                    <w:jc w:val="center"/>
                    <w:rPr>
                      <w:rFonts w:hint="eastAsia"/>
                      <w:lang w:val="en-US" w:eastAsia="zh-CN"/>
                    </w:rPr>
                  </w:pPr>
                  <w:r>
                    <w:rPr>
                      <w:rFonts w:hint="eastAsia"/>
                      <w:lang w:val="en-US" w:eastAsia="zh-CN"/>
                    </w:rPr>
                    <w:t>HW08</w:t>
                  </w:r>
                </w:p>
              </w:tc>
              <w:tc>
                <w:tcPr>
                  <w:tcW w:w="1344" w:type="dxa"/>
                  <w:noWrap w:val="0"/>
                  <w:vAlign w:val="center"/>
                </w:tcPr>
                <w:p>
                  <w:pPr>
                    <w:pStyle w:val="58"/>
                    <w:bidi w:val="0"/>
                    <w:rPr>
                      <w:rFonts w:hint="eastAsia"/>
                      <w:lang w:val="en-US" w:eastAsia="zh-CN"/>
                    </w:rPr>
                  </w:pPr>
                  <w:r>
                    <w:rPr>
                      <w:rFonts w:hint="eastAsia"/>
                      <w:lang w:val="en-US" w:eastAsia="zh-CN"/>
                    </w:rPr>
                    <w:t>900-214-08</w:t>
                  </w:r>
                </w:p>
                <w:p>
                  <w:pPr>
                    <w:pStyle w:val="58"/>
                    <w:bidi w:val="0"/>
                    <w:rPr>
                      <w:rFonts w:hint="eastAsia"/>
                      <w:lang w:val="en-US" w:eastAsia="zh-CN"/>
                    </w:rPr>
                  </w:pPr>
                  <w:r>
                    <w:rPr>
                      <w:rFonts w:hint="eastAsia"/>
                      <w:lang w:val="en-US" w:eastAsia="zh-CN"/>
                    </w:rPr>
                    <w:t>900-249-08</w:t>
                  </w:r>
                </w:p>
              </w:tc>
              <w:tc>
                <w:tcPr>
                  <w:tcW w:w="1177" w:type="dxa"/>
                  <w:noWrap w:val="0"/>
                  <w:vAlign w:val="center"/>
                </w:tcPr>
                <w:p>
                  <w:pPr>
                    <w:pStyle w:val="58"/>
                    <w:bidi w:val="0"/>
                    <w:rPr>
                      <w:rFonts w:hint="eastAsia"/>
                      <w:lang w:val="en-US" w:eastAsia="zh-CN"/>
                    </w:rPr>
                  </w:pPr>
                  <w:r>
                    <w:rPr>
                      <w:rFonts w:hint="eastAsia"/>
                      <w:lang w:val="en-US" w:eastAsia="zh-CN"/>
                    </w:rPr>
                    <w:t>0.1t</w:t>
                  </w:r>
                </w:p>
              </w:tc>
              <w:tc>
                <w:tcPr>
                  <w:tcW w:w="930" w:type="dxa"/>
                  <w:noWrap w:val="0"/>
                  <w:vAlign w:val="center"/>
                </w:tcPr>
                <w:p>
                  <w:pPr>
                    <w:pStyle w:val="58"/>
                    <w:bidi w:val="0"/>
                    <w:rPr>
                      <w:rFonts w:hint="default"/>
                      <w:lang w:val="en-US" w:eastAsia="zh-CN"/>
                    </w:rPr>
                  </w:pPr>
                  <w:r>
                    <w:rPr>
                      <w:rFonts w:hint="eastAsia"/>
                      <w:lang w:val="en-US" w:eastAsia="zh-CN"/>
                    </w:rPr>
                    <w:t>毒性、易燃性</w:t>
                  </w:r>
                </w:p>
              </w:tc>
              <w:tc>
                <w:tcPr>
                  <w:tcW w:w="1588" w:type="dxa"/>
                  <w:noWrap w:val="0"/>
                  <w:vAlign w:val="center"/>
                </w:tcPr>
                <w:p>
                  <w:pPr>
                    <w:pStyle w:val="58"/>
                    <w:bidi w:val="0"/>
                    <w:rPr>
                      <w:rFonts w:hint="eastAsia"/>
                      <w:shd w:val="clear" w:color="auto" w:fill="auto"/>
                      <w:lang w:val="en-US" w:eastAsia="zh-CN"/>
                    </w:rPr>
                  </w:pPr>
                  <w:r>
                    <w:rPr>
                      <w:rFonts w:hint="eastAsia"/>
                      <w:shd w:val="clear" w:color="auto" w:fill="auto"/>
                      <w:lang w:val="en-US" w:eastAsia="zh-CN"/>
                    </w:rPr>
                    <w:t>集中收集交有资质单位处理</w:t>
                  </w:r>
                </w:p>
              </w:tc>
            </w:tr>
          </w:tbl>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7.</w:t>
            </w:r>
            <w:r>
              <w:rPr>
                <w:rFonts w:hint="eastAsia"/>
              </w:rPr>
              <w:t>环境风险分析</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7.1</w:t>
            </w:r>
            <w:r>
              <w:rPr>
                <w:rFonts w:hint="eastAsia"/>
              </w:rPr>
              <w:t>风险识别</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kern w:val="0"/>
                <w:sz w:val="24"/>
                <w:szCs w:val="24"/>
              </w:rPr>
            </w:pPr>
            <w:r>
              <w:rPr>
                <w:rStyle w:val="49"/>
                <w:rFonts w:hint="eastAsia"/>
              </w:rPr>
              <w:t>环境风险是指突发性事故造成的重大环境污染的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针对所造成的人身安全、环境影响及其损害程度，提出合理可行的防范、应急与减缓措施，以使建设项目事故率、损失和环境影响达到可接受水平</w:t>
            </w:r>
            <w:r>
              <w:rPr>
                <w:rFonts w:hint="eastAsia"/>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rPr>
              <w:t>项目区设</w:t>
            </w:r>
            <w:r>
              <w:rPr>
                <w:rFonts w:hint="eastAsia" w:ascii="Times New Roman" w:hAnsi="Times New Roman" w:eastAsia="宋体" w:cs="Times New Roman"/>
                <w:bCs/>
                <w:kern w:val="0"/>
                <w:sz w:val="24"/>
                <w:szCs w:val="24"/>
                <w:lang w:val="en-US" w:eastAsia="zh-CN"/>
              </w:rPr>
              <w:t>有</w:t>
            </w:r>
            <w:r>
              <w:rPr>
                <w:rFonts w:hint="eastAsia" w:ascii="Times New Roman" w:hAnsi="Times New Roman" w:eastAsia="宋体" w:cs="Times New Roman"/>
                <w:bCs/>
                <w:kern w:val="0"/>
                <w:sz w:val="24"/>
                <w:szCs w:val="24"/>
              </w:rPr>
              <w:t>柴油存放区，</w:t>
            </w:r>
            <w:r>
              <w:rPr>
                <w:rFonts w:hint="eastAsia" w:ascii="Times New Roman" w:hAnsi="Times New Roman" w:eastAsia="宋体" w:cs="Times New Roman"/>
                <w:bCs/>
                <w:kern w:val="0"/>
                <w:sz w:val="24"/>
                <w:szCs w:val="24"/>
                <w:lang w:val="en-US" w:eastAsia="zh-CN"/>
              </w:rPr>
              <w:t>柴油属于风险物质，</w:t>
            </w:r>
            <w:r>
              <w:rPr>
                <w:rFonts w:hint="eastAsia" w:ascii="Times New Roman" w:hAnsi="Times New Roman" w:eastAsia="宋体" w:cs="Times New Roman"/>
                <w:bCs/>
                <w:kern w:val="0"/>
                <w:sz w:val="24"/>
                <w:szCs w:val="24"/>
                <w:lang w:eastAsia="zh-CN"/>
              </w:rPr>
              <w:t>危险物质及分布情况见</w:t>
            </w:r>
            <w:r>
              <w:rPr>
                <w:rFonts w:hint="eastAsia" w:ascii="Times New Roman" w:hAnsi="Times New Roman" w:eastAsia="宋体" w:cs="Times New Roman"/>
                <w:bCs/>
                <w:kern w:val="0"/>
                <w:sz w:val="24"/>
                <w:szCs w:val="24"/>
                <w:lang w:val="en-US" w:eastAsia="zh-CN"/>
              </w:rPr>
              <w:t>下</w:t>
            </w:r>
            <w:r>
              <w:rPr>
                <w:rFonts w:hint="eastAsia" w:ascii="Times New Roman" w:hAnsi="Times New Roman" w:eastAsia="宋体" w:cs="Times New Roman"/>
                <w:bCs/>
                <w:kern w:val="0"/>
                <w:sz w:val="24"/>
                <w:szCs w:val="24"/>
                <w:lang w:eastAsia="zh-CN"/>
              </w:rPr>
              <w:t>表。</w:t>
            </w:r>
          </w:p>
          <w:p>
            <w:pPr>
              <w:pStyle w:val="52"/>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表5-2    危险物质及分布情况</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995"/>
              <w:gridCol w:w="1297"/>
              <w:gridCol w:w="123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2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危险物质</w:t>
                  </w:r>
                </w:p>
              </w:tc>
              <w:tc>
                <w:tcPr>
                  <w:tcW w:w="132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最大储存量（t/a）</w:t>
                  </w:r>
                </w:p>
              </w:tc>
              <w:tc>
                <w:tcPr>
                  <w:tcW w:w="86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储存方式</w:t>
                  </w:r>
                </w:p>
              </w:tc>
              <w:tc>
                <w:tcPr>
                  <w:tcW w:w="82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临界量（t）</w:t>
                  </w:r>
                </w:p>
              </w:tc>
              <w:tc>
                <w:tcPr>
                  <w:tcW w:w="9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w:t>
                  </w:r>
                </w:p>
              </w:tc>
              <w:tc>
                <w:tcPr>
                  <w:tcW w:w="132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5</w:t>
                  </w:r>
                </w:p>
              </w:tc>
              <w:tc>
                <w:tcPr>
                  <w:tcW w:w="86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桶装</w:t>
                  </w:r>
                </w:p>
              </w:tc>
              <w:tc>
                <w:tcPr>
                  <w:tcW w:w="82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2500</w:t>
                  </w:r>
                </w:p>
              </w:tc>
              <w:tc>
                <w:tcPr>
                  <w:tcW w:w="9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0.002</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本项目危险物质理化性质见下表。</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 xml:space="preserve">表5-3    </w:t>
            </w:r>
            <w:r>
              <w:rPr>
                <w:rFonts w:hint="eastAsia"/>
              </w:rPr>
              <w:t>物质危险性分析</w:t>
            </w:r>
          </w:p>
          <w:tbl>
            <w:tblPr>
              <w:tblStyle w:val="2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571"/>
              <w:gridCol w:w="1543"/>
              <w:gridCol w:w="507"/>
              <w:gridCol w:w="4055"/>
              <w:gridCol w:w="8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37" w:hRule="atLeast"/>
                <w:jc w:val="center"/>
              </w:trPr>
              <w:tc>
                <w:tcPr>
                  <w:tcW w:w="379"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物质名称</w:t>
                  </w:r>
                </w:p>
              </w:tc>
              <w:tc>
                <w:tcPr>
                  <w:tcW w:w="1025"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理化性质</w:t>
                  </w:r>
                </w:p>
              </w:tc>
              <w:tc>
                <w:tcPr>
                  <w:tcW w:w="337"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物质类型</w:t>
                  </w:r>
                </w:p>
              </w:tc>
              <w:tc>
                <w:tcPr>
                  <w:tcW w:w="2693"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危险性描述</w:t>
                  </w:r>
                </w:p>
              </w:tc>
              <w:tc>
                <w:tcPr>
                  <w:tcW w:w="564"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生产或使用环节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479" w:hRule="atLeast"/>
                <w:jc w:val="center"/>
              </w:trPr>
              <w:tc>
                <w:tcPr>
                  <w:tcW w:w="379"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w:t>
                  </w:r>
                </w:p>
              </w:tc>
              <w:tc>
                <w:tcPr>
                  <w:tcW w:w="1025"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常温下为稍有粘性的棕色的液体，相对密度（水=1）：0.845，闪点：56℃，引燃温度：257℃。</w:t>
                  </w:r>
                </w:p>
              </w:tc>
              <w:tc>
                <w:tcPr>
                  <w:tcW w:w="337"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易燃液体</w:t>
                  </w:r>
                </w:p>
              </w:tc>
              <w:tc>
                <w:tcPr>
                  <w:tcW w:w="2693"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燃烧爆炸特性：遇明火、高热或与强氧化剂接触，易引起燃烧爆炸的危险。若遇高热，容器内压增大，有开裂和爆炸的危险，燃烧分解为一氧化碳、二氧化碳。健康危害：皮肤接触可引起接触性皮炎、油性痤疮，吸入可引起吸入性肺炎。能经胎盘进入胎儿血中。柴油废气可引起眼、鼻刺激症状，头晕及头痛。</w:t>
                  </w:r>
                </w:p>
              </w:tc>
              <w:tc>
                <w:tcPr>
                  <w:tcW w:w="564"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柴油发电机液体燃料，用于整个勘查过程</w:t>
                  </w:r>
                </w:p>
              </w:tc>
            </w:tr>
          </w:tbl>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7.2环境风险潜势与评价等级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（1）环境风险潜势划分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bCs/>
                <w:kern w:val="0"/>
                <w:szCs w:val="24"/>
              </w:rPr>
            </w:pPr>
            <w:r>
              <w:rPr>
                <w:rFonts w:hint="eastAsia"/>
              </w:rPr>
              <w:t>表</w:t>
            </w:r>
            <w:r>
              <w:rPr>
                <w:rFonts w:hint="eastAsia"/>
                <w:lang w:val="en-US" w:eastAsia="zh-CN"/>
              </w:rPr>
              <w:t>5-4</w:t>
            </w:r>
            <w:r>
              <w:rPr>
                <w:rFonts w:hint="eastAsia"/>
              </w:rPr>
              <w:t xml:space="preserve">  </w:t>
            </w:r>
            <w:r>
              <w:rPr>
                <w:rFonts w:hint="eastAsia"/>
                <w:lang w:val="en-US" w:eastAsia="zh-CN"/>
              </w:rPr>
              <w:t xml:space="preserve"> </w:t>
            </w:r>
            <w:r>
              <w:rPr>
                <w:rFonts w:hint="eastAsia"/>
              </w:rPr>
              <w:t xml:space="preserve"> 建设项目环境风险潜势划分</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4" w:type="dxa"/>
                <w:left w:w="108" w:type="dxa"/>
                <w:bottom w:w="0" w:type="dxa"/>
                <w:right w:w="2" w:type="dxa"/>
              </w:tblCellMar>
            </w:tblPr>
            <w:tblGrid>
              <w:gridCol w:w="2046"/>
              <w:gridCol w:w="1365"/>
              <w:gridCol w:w="1352"/>
              <w:gridCol w:w="135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trPr>
              <w:tc>
                <w:tcPr>
                  <w:tcW w:w="1361"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环境敏感程度（E）</w:t>
                  </w:r>
                </w:p>
              </w:tc>
              <w:tc>
                <w:tcPr>
                  <w:tcW w:w="3638" w:type="pct"/>
                  <w:gridSpan w:val="4"/>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危险物质及工艺系统危险性（P）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1"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极高危害（P1）</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高度危害（P2）</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中度危害（P3）</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轻度危害（P4）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环境高度敏感区（E1）</w:t>
                  </w: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Ⅳ+</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Ⅳ</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trPr>
              <w:tc>
                <w:tcPr>
                  <w:tcW w:w="136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lang w:eastAsia="zh-CN"/>
                    </w:rPr>
                  </w:pPr>
                  <w:r>
                    <w:rPr>
                      <w:rFonts w:hint="eastAsia"/>
                    </w:rPr>
                    <w:t>环境中度敏感区（E2</w:t>
                  </w:r>
                  <w:r>
                    <w:rPr>
                      <w:rFonts w:hint="eastAsia"/>
                      <w:lang w:eastAsia="zh-CN"/>
                    </w:rPr>
                    <w:t>）</w:t>
                  </w: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Ⅳ</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环境低度敏感区（E3）</w:t>
                  </w: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Ⅱ</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5000" w:type="pct"/>
                  <w:gridSpan w:val="5"/>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注：Ⅳ+为极高环境风险</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根据上表可知，风险潜势由危险物质及工艺系统危险性（P）与环境敏感程度（E）共同确定，而P的分级由风险物质数量与临界量的比值（Q）和所属行业及生产工艺特点（M）共同确定。临界量比值（Q）为每种风险物质在厂界内的最大存在总量与其在《建设项目环境风险评价技术导则》（HJ169-2018）附录B中对应临界量的比值。</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本项目</w:t>
            </w:r>
            <w:r>
              <w:rPr>
                <w:rFonts w:hint="eastAsia" w:ascii="Times New Roman" w:hAnsi="Times New Roman" w:eastAsia="宋体" w:cs="Times New Roman"/>
                <w:bCs/>
                <w:kern w:val="0"/>
                <w:sz w:val="24"/>
                <w:szCs w:val="24"/>
                <w:lang w:eastAsia="zh-CN"/>
              </w:rPr>
              <w:t>柴油为</w:t>
            </w:r>
            <w:r>
              <w:rPr>
                <w:rFonts w:hint="eastAsia" w:ascii="Times New Roman" w:hAnsi="Times New Roman" w:eastAsia="宋体" w:cs="Times New Roman"/>
                <w:bCs/>
                <w:kern w:val="0"/>
                <w:sz w:val="24"/>
                <w:szCs w:val="24"/>
              </w:rPr>
              <w:t>风险物质，Q值</w:t>
            </w:r>
            <w:r>
              <w:rPr>
                <w:rFonts w:hint="eastAsia" w:ascii="Times New Roman" w:hAnsi="Times New Roman" w:eastAsia="宋体" w:cs="Times New Roman"/>
                <w:bCs/>
                <w:kern w:val="0"/>
                <w:sz w:val="24"/>
                <w:szCs w:val="24"/>
                <w:lang w:eastAsia="zh-CN"/>
              </w:rPr>
              <w:t>小于</w:t>
            </w:r>
            <w:r>
              <w:rPr>
                <w:rFonts w:hint="eastAsia" w:ascii="Times New Roman" w:hAnsi="Times New Roman" w:eastAsia="宋体" w:cs="Times New Roman"/>
                <w:bCs/>
                <w:kern w:val="0"/>
                <w:sz w:val="24"/>
                <w:szCs w:val="24"/>
                <w:lang w:val="en-US" w:eastAsia="zh-CN"/>
              </w:rPr>
              <w:t>1</w:t>
            </w:r>
            <w:r>
              <w:rPr>
                <w:rFonts w:hint="eastAsia" w:ascii="Times New Roman" w:hAnsi="Times New Roman" w:eastAsia="宋体" w:cs="Times New Roman"/>
                <w:bCs/>
                <w:kern w:val="0"/>
                <w:sz w:val="24"/>
                <w:szCs w:val="24"/>
              </w:rPr>
              <w:t>，风险潜势为I。</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（2）评价等级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rPr>
              <w:t>环境风险评价工作等级划分为一级、二级、三级。根据建设项目涉及的物质及工艺系统危险性和所在地的环境敏感性确定环境风险潜势，按照下表确定评价工作等级。风险潜势为Ⅳ及以上，进行一级评价；风险潜势为Ⅲ，进行二级评价；风险潜势为Ⅱ，进行三级评价；风险潜势为Ⅰ</w:t>
            </w: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rPr>
              <w:t>可开展简单分析。具体</w:t>
            </w:r>
            <w:r>
              <w:rPr>
                <w:rFonts w:hint="eastAsia" w:ascii="Times New Roman" w:hAnsi="Times New Roman" w:eastAsia="宋体" w:cs="Times New Roman"/>
                <w:bCs/>
                <w:kern w:val="0"/>
                <w:sz w:val="24"/>
                <w:szCs w:val="24"/>
                <w:lang w:val="en-US" w:eastAsia="zh-CN"/>
              </w:rPr>
              <w:t>见下表</w:t>
            </w:r>
            <w:r>
              <w:rPr>
                <w:rFonts w:hint="eastAsia" w:ascii="Times New Roman" w:hAnsi="Times New Roman" w:eastAsia="宋体" w:cs="Times New Roman"/>
                <w:bCs/>
                <w:kern w:val="0"/>
                <w:sz w:val="24"/>
                <w:szCs w:val="24"/>
                <w:lang w:eastAsia="zh-CN"/>
              </w:rPr>
              <w:t>。</w:t>
            </w:r>
          </w:p>
          <w:p>
            <w:pPr>
              <w:pStyle w:val="52"/>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表</w:t>
            </w:r>
            <w:r>
              <w:rPr>
                <w:rFonts w:hint="eastAsia"/>
                <w:lang w:val="en-US" w:eastAsia="zh-CN"/>
              </w:rPr>
              <w:t>5-5</w:t>
            </w:r>
            <w:r>
              <w:rPr>
                <w:rFonts w:hint="eastAsia"/>
              </w:rPr>
              <w:t xml:space="preserve">  </w:t>
            </w:r>
            <w:r>
              <w:rPr>
                <w:rFonts w:hint="eastAsia"/>
                <w:lang w:val="en-US" w:eastAsia="zh-CN"/>
              </w:rPr>
              <w:t xml:space="preserve"> </w:t>
            </w:r>
            <w:r>
              <w:rPr>
                <w:rFonts w:hint="eastAsia"/>
              </w:rPr>
              <w:t xml:space="preserve"> 评价工作等级划分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6"/>
              <w:gridCol w:w="1504"/>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环境风险潜势</w:t>
                  </w:r>
                </w:p>
              </w:tc>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IV、IV+</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III</w:t>
                  </w:r>
                </w:p>
              </w:tc>
              <w:tc>
                <w:tcPr>
                  <w:tcW w:w="1000"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II</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评价工作等级</w:t>
                  </w:r>
                </w:p>
              </w:tc>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一</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二</w:t>
                  </w:r>
                </w:p>
              </w:tc>
              <w:tc>
                <w:tcPr>
                  <w:tcW w:w="1000"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三</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*是相对于详细评价工作内容而言，在描述危险物质、环境影响途径、环境危害后果、风险防范措施等</w:t>
                  </w:r>
                  <w:r>
                    <w:rPr>
                      <w:rFonts w:hint="eastAsia"/>
                      <w:lang w:eastAsia="zh-CN"/>
                    </w:rPr>
                    <w:t>方</w:t>
                  </w:r>
                  <w:r>
                    <w:rPr>
                      <w:rFonts w:hint="eastAsia"/>
                    </w:rPr>
                    <w:t>面给出定性的说明。</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rPr>
              <w:t>本项目风险潜势为I，故本项目需进行简单分析。</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7.3</w:t>
            </w:r>
            <w:r>
              <w:rPr>
                <w:rFonts w:hint="eastAsia"/>
              </w:rPr>
              <w:t>风险防范措施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1）柴油使用油桶盛装，存放在生活营地内设的柴油贮存</w:t>
            </w:r>
            <w:r>
              <w:rPr>
                <w:rFonts w:hint="eastAsia" w:cs="Times New Roman"/>
                <w:bCs/>
                <w:kern w:val="0"/>
                <w:sz w:val="24"/>
                <w:szCs w:val="24"/>
                <w:lang w:val="en-US" w:eastAsia="zh-CN"/>
              </w:rPr>
              <w:t>点</w:t>
            </w:r>
            <w:r>
              <w:rPr>
                <w:rFonts w:hint="eastAsia" w:ascii="Times New Roman" w:hAnsi="Times New Roman" w:eastAsia="宋体" w:cs="Times New Roman"/>
                <w:bCs/>
                <w:kern w:val="0"/>
                <w:sz w:val="24"/>
                <w:szCs w:val="24"/>
                <w:lang w:val="en-US" w:eastAsia="zh-CN"/>
              </w:rPr>
              <w:t>，安排专人管理，贮存区地面简单铺设防渗地膜。满足相应防</w:t>
            </w:r>
            <w:r>
              <w:rPr>
                <w:rFonts w:hint="eastAsia" w:cs="Times New Roman"/>
                <w:bCs/>
                <w:kern w:val="0"/>
                <w:sz w:val="24"/>
                <w:szCs w:val="24"/>
                <w:lang w:val="en-US" w:eastAsia="zh-CN"/>
              </w:rPr>
              <w:t>日晒</w:t>
            </w:r>
            <w:r>
              <w:rPr>
                <w:rFonts w:hint="eastAsia" w:ascii="Times New Roman" w:hAnsi="Times New Roman" w:eastAsia="宋体" w:cs="Times New Roman"/>
                <w:bCs/>
                <w:kern w:val="0"/>
                <w:sz w:val="24"/>
                <w:szCs w:val="24"/>
                <w:lang w:val="en-US" w:eastAsia="zh-CN"/>
              </w:rPr>
              <w:t>、防</w:t>
            </w:r>
            <w:r>
              <w:rPr>
                <w:rFonts w:hint="eastAsia" w:cs="Times New Roman"/>
                <w:bCs/>
                <w:kern w:val="0"/>
                <w:sz w:val="24"/>
                <w:szCs w:val="24"/>
                <w:lang w:val="en-US" w:eastAsia="zh-CN"/>
              </w:rPr>
              <w:t>雨淋</w:t>
            </w:r>
            <w:r>
              <w:rPr>
                <w:rFonts w:hint="eastAsia" w:ascii="Times New Roman" w:hAnsi="Times New Roman" w:eastAsia="宋体" w:cs="Times New Roman"/>
                <w:bCs/>
                <w:kern w:val="0"/>
                <w:sz w:val="24"/>
                <w:szCs w:val="24"/>
                <w:lang w:val="en-US" w:eastAsia="zh-CN"/>
              </w:rPr>
              <w:t>、防渗漏及其他环境污染防控要求</w:t>
            </w:r>
            <w:r>
              <w:rPr>
                <w:rFonts w:hint="eastAsia" w:cs="Times New Roman"/>
                <w:bCs/>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2</w:t>
            </w:r>
            <w:r>
              <w:rPr>
                <w:rFonts w:hint="eastAsia" w:ascii="Times New Roman" w:hAnsi="Times New Roman" w:eastAsia="宋体" w:cs="Times New Roman"/>
                <w:bCs/>
                <w:kern w:val="0"/>
                <w:sz w:val="24"/>
                <w:szCs w:val="24"/>
                <w:lang w:eastAsia="zh-CN"/>
              </w:rPr>
              <w:t>）加强柴油管理，使用时远离火源。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3）油品</w:t>
            </w:r>
            <w:r>
              <w:rPr>
                <w:rFonts w:hint="eastAsia" w:ascii="Times New Roman" w:hAnsi="Times New Roman" w:eastAsia="宋体" w:cs="Times New Roman"/>
                <w:bCs/>
                <w:kern w:val="0"/>
                <w:sz w:val="24"/>
                <w:szCs w:val="24"/>
                <w:lang w:eastAsia="zh-CN"/>
              </w:rPr>
              <w:t>发生泄漏时，及时用吸油毡吸附并放置到密闭的容器中储存，防止接触火源引发火灾。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4）</w:t>
            </w:r>
            <w:r>
              <w:rPr>
                <w:rFonts w:hint="eastAsia" w:ascii="Times New Roman" w:hAnsi="Times New Roman" w:eastAsia="宋体" w:cs="Times New Roman"/>
                <w:bCs/>
                <w:kern w:val="0"/>
                <w:sz w:val="24"/>
                <w:szCs w:val="24"/>
              </w:rPr>
              <w:t>制定事故应急救援方案，发生事故时，及时采取应急行动，保护工作人员及周边人员安全，并防止事故扩大，最大限度地减少事故损失。</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7.4</w:t>
            </w:r>
            <w:r>
              <w:rPr>
                <w:rFonts w:hint="eastAsia"/>
              </w:rPr>
              <w:t>环境风险评价结论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本项目环境风险开展简单分析。具体内容</w:t>
            </w:r>
            <w:r>
              <w:rPr>
                <w:rFonts w:hint="eastAsia" w:ascii="Times New Roman" w:hAnsi="Times New Roman" w:eastAsia="宋体" w:cs="Times New Roman"/>
                <w:bCs/>
                <w:kern w:val="0"/>
                <w:sz w:val="24"/>
                <w:szCs w:val="24"/>
                <w:lang w:val="en-US" w:eastAsia="zh-CN"/>
              </w:rPr>
              <w:t>见下表</w:t>
            </w:r>
            <w:r>
              <w:rPr>
                <w:rFonts w:hint="eastAsia" w:ascii="Times New Roman" w:hAnsi="Times New Roman" w:eastAsia="宋体" w:cs="Times New Roman"/>
                <w:bCs/>
                <w:kern w:val="0"/>
                <w:sz w:val="24"/>
                <w:szCs w:val="24"/>
              </w:rPr>
              <w:t>。</w:t>
            </w:r>
          </w:p>
          <w:p>
            <w:pPr>
              <w:pStyle w:val="52"/>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表</w:t>
            </w:r>
            <w:r>
              <w:rPr>
                <w:rFonts w:hint="eastAsia"/>
                <w:lang w:val="en-US" w:eastAsia="zh-CN"/>
              </w:rPr>
              <w:t>5-6</w:t>
            </w:r>
            <w:r>
              <w:rPr>
                <w:rFonts w:hint="eastAsia"/>
              </w:rPr>
              <w:t xml:space="preserve">   建设项目环境风险简单分析内容表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5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建设项目名称</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新疆且末县色日克库里铜多金属矿勘探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建设地点</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新疆维吾尔自治区巴音郭楞蒙古自治州</w:t>
                  </w:r>
                  <w:r>
                    <w:rPr>
                      <w:rFonts w:hint="eastAsia"/>
                      <w:lang w:val="en-US" w:eastAsia="zh-CN"/>
                    </w:rPr>
                    <w:t>且末县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地理坐标</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项目中心坐标：</w:t>
                  </w:r>
                  <w:r>
                    <w:rPr>
                      <w:rFonts w:hint="default" w:ascii="Times New Roman" w:hAnsi="Times New Roman" w:cs="Times New Roman"/>
                      <w:lang w:val="en-US" w:eastAsia="zh-CN"/>
                    </w:rPr>
                    <w:t>E：84°40′24.109″，N：36°57′19.227″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主要危险物质及分布</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环境影响途径及危害后果（大气、地表水、地下水）</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（1）</w:t>
                  </w:r>
                  <w:r>
                    <w:rPr>
                      <w:rFonts w:hint="eastAsia"/>
                      <w:lang w:eastAsia="zh-CN"/>
                    </w:rPr>
                    <w:t>勘探</w:t>
                  </w:r>
                  <w:r>
                    <w:rPr>
                      <w:rFonts w:hint="eastAsia"/>
                    </w:rPr>
                    <w:t>过程</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lang w:eastAsia="zh-CN"/>
                    </w:rPr>
                    <w:t>勘探</w:t>
                  </w:r>
                  <w:r>
                    <w:rPr>
                      <w:rFonts w:hint="eastAsia"/>
                    </w:rPr>
                    <w:t>过程引发自然地质灾害。</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eastAsia="zh-CN"/>
                    </w:rPr>
                    <w:t>（</w:t>
                  </w:r>
                  <w:r>
                    <w:rPr>
                      <w:rFonts w:hint="eastAsia"/>
                      <w:lang w:val="en-US" w:eastAsia="zh-CN"/>
                    </w:rPr>
                    <w:t>2）泄漏</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val="en-US" w:eastAsia="zh-CN"/>
                    </w:rPr>
                    <w:t>①土壤：油桶破损导致柴油泄漏，泄漏油品流入土壤孔隙，会降低土壤的通透性，抑制土壤中酶活性，使土壤生物减少。油品洒落地区形成土壤的局部污染，一般而言，油品集中于土壤表层0~20cm范围内，这便使得根系分布于此深度的植物不能生长。</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val="en-US" w:eastAsia="zh-CN"/>
                    </w:rPr>
                    <w:t>②地下水：由于储油泄漏，油品将通过包气带下渗进入潜水含水层，可能会使地下水受到污染。在大量油品泄漏、短时间内未回收的情况下，含油污水方可通过在土壤中的渗透，污染地下水。因此需要加强生产管理和监督，采取有效的防范措施，防止和减轻柴油泄漏造成的污染。</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（2）火灾</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火灾的危害主要来自三方面，一是火源</w:t>
                  </w:r>
                  <w:r>
                    <w:rPr>
                      <w:rFonts w:hint="eastAsia"/>
                      <w:lang w:eastAsia="zh-CN"/>
                    </w:rPr>
                    <w:t>失去</w:t>
                  </w:r>
                  <w:r>
                    <w:rPr>
                      <w:rFonts w:hint="eastAsia"/>
                    </w:rPr>
                    <w:t>控制蔓延发展造成损失，另一方面是烟雾的快速、大方面扩散造成损失。最后是灭火过程中大量消耗消防用水，产生大量消防废水，可能污染地面土壤和地下水。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风险防范措施要求</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（1）制定环境风险管理制度</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建设单位需制定《环境保护责任制》《安全环保风险管理制度》，可满足企业环境风险管理要求，但是制度需要在执行中检验其可操作性。</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（2）风险防控及应急措施</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为防止可能出现的风险事故，项目需在总图布局、工艺技术与自动控制、电气配置等方面采取风险防范措施，需制定应急处理及救援预案。</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（3）环境应急资源</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应按照制定的《安全环保风险管理制度》购置相应的环境风险应急资源，成立应急救援队伍。</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（4）环境风险演练和培训</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项目建成后，需对应急救援队伍进行培训，并定期进行环境风险应急演练。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2"/>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填表说明：</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根据本项目污染物特性，本项目应建立独立的环境风险应急预案，并</w:t>
                  </w:r>
                  <w:r>
                    <w:rPr>
                      <w:rFonts w:hint="eastAsia"/>
                      <w:lang w:eastAsia="zh-CN"/>
                    </w:rPr>
                    <w:t>报当</w:t>
                  </w:r>
                  <w:r>
                    <w:rPr>
                      <w:rFonts w:hint="eastAsia"/>
                    </w:rPr>
                    <w:t>地环境主管部门备案。</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sz w:val="24"/>
                <w:highlight w:val="none"/>
                <w:lang w:eastAsia="zh-CN"/>
              </w:rPr>
            </w:pPr>
            <w:r>
              <w:rPr>
                <w:rFonts w:hint="eastAsia" w:ascii="Times New Roman" w:hAnsi="Times New Roman" w:eastAsia="宋体" w:cs="Times New Roman"/>
                <w:bCs/>
                <w:kern w:val="0"/>
                <w:sz w:val="24"/>
                <w:szCs w:val="24"/>
              </w:rPr>
              <w:t>根据上述分析，本项目环境风险是可防控的。</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8.</w:t>
            </w:r>
            <w:r>
              <w:rPr>
                <w:rFonts w:hint="eastAsia"/>
                <w:lang w:eastAsia="zh-CN"/>
              </w:rPr>
              <w:t>勘</w:t>
            </w:r>
            <w:r>
              <w:rPr>
                <w:rFonts w:hint="eastAsia"/>
                <w:lang w:val="en-US" w:eastAsia="zh-CN"/>
              </w:rPr>
              <w:t>查</w:t>
            </w:r>
            <w:r>
              <w:rPr>
                <w:rFonts w:hint="eastAsia"/>
                <w:lang w:eastAsia="zh-CN"/>
              </w:rPr>
              <w:t>期环境影响综合结论</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综上所述，勘查期产生的污染物，对区域的生态环境、空气环境、声环境、地表水环境的影响是不可避免的。但由于本项目工程量较小，不会改变区域环境功能，对周围环境的影响较小，而且其影响是暂时的、局部的，其影响将随勘查工作的结束而消失。</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9.</w:t>
            </w:r>
            <w:r>
              <w:rPr>
                <w:rFonts w:hint="eastAsia"/>
                <w:lang w:eastAsia="zh-CN"/>
              </w:rPr>
              <w:t>生态影响恢复措施的合理性和可行性分析</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由于本项目位于高海拔地区，生态环境较脆弱，应特别注重勘探区的生态恢复。探槽开挖的临时弃土就地堆放在探槽</w:t>
            </w:r>
            <w:r>
              <w:rPr>
                <w:rFonts w:hint="eastAsia"/>
                <w:lang w:val="en-US" w:eastAsia="zh-CN"/>
              </w:rPr>
              <w:t>一</w:t>
            </w:r>
            <w:r>
              <w:rPr>
                <w:rFonts w:hint="eastAsia"/>
                <w:lang w:eastAsia="zh-CN"/>
              </w:rPr>
              <w:t>侧，并用</w:t>
            </w:r>
            <w:r>
              <w:rPr>
                <w:rFonts w:hint="eastAsia"/>
                <w:lang w:val="en-US" w:eastAsia="zh-CN"/>
              </w:rPr>
              <w:t>彩条布苫盖</w:t>
            </w:r>
            <w:r>
              <w:rPr>
                <w:rFonts w:hint="eastAsia"/>
                <w:lang w:eastAsia="zh-CN"/>
              </w:rPr>
              <w:t>，工程完成后立即回填。探坑开挖的土临时堆放在探坑一侧，采样完成后立即回填。合理进行探矿布置，精心组织，严格控制探矿活动范围。</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（1）经济可行性</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本项目生态恢复措施</w:t>
            </w:r>
            <w:r>
              <w:rPr>
                <w:rFonts w:hint="eastAsia"/>
                <w:lang w:val="en-US" w:eastAsia="zh-CN"/>
              </w:rPr>
              <w:t>主要为</w:t>
            </w:r>
            <w:r>
              <w:rPr>
                <w:rFonts w:hint="eastAsia"/>
                <w:lang w:eastAsia="zh-CN"/>
              </w:rPr>
              <w:t>工程措施，对临时堆土采用</w:t>
            </w:r>
            <w:r>
              <w:rPr>
                <w:rFonts w:hint="eastAsia"/>
                <w:lang w:val="en-US" w:eastAsia="zh-CN"/>
              </w:rPr>
              <w:t>彩条布苫盖</w:t>
            </w:r>
            <w:r>
              <w:rPr>
                <w:rFonts w:hint="eastAsia"/>
                <w:lang w:eastAsia="zh-CN"/>
              </w:rPr>
              <w:t>。工程完成后，对施工迹地和</w:t>
            </w:r>
            <w:r>
              <w:rPr>
                <w:rFonts w:hint="eastAsia"/>
                <w:lang w:val="en-US" w:eastAsia="zh-CN"/>
              </w:rPr>
              <w:t>临时堆土区进行土地平整，恢复原有地貌。</w:t>
            </w:r>
            <w:r>
              <w:rPr>
                <w:rFonts w:hint="eastAsia"/>
                <w:lang w:eastAsia="zh-CN"/>
              </w:rPr>
              <w:t>工程措施简单易行，所需设备材料价格合理。</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highlight w:val="none"/>
                <w:lang w:val="en-US" w:eastAsia="zh-CN"/>
              </w:rPr>
              <w:t>项目总投资为1940万元，环保投资为48.5万元</w:t>
            </w:r>
            <w:r>
              <w:rPr>
                <w:rFonts w:hint="eastAsia"/>
                <w:highlight w:val="none"/>
                <w:lang w:eastAsia="zh-CN"/>
              </w:rPr>
              <w:t>，环保投资占总投资的</w:t>
            </w:r>
            <w:r>
              <w:rPr>
                <w:rFonts w:hint="eastAsia"/>
                <w:highlight w:val="none"/>
                <w:lang w:val="en-US" w:eastAsia="zh-CN"/>
              </w:rPr>
              <w:t>2.5%</w:t>
            </w:r>
            <w:r>
              <w:rPr>
                <w:rFonts w:hint="eastAsia"/>
                <w:highlight w:val="none"/>
                <w:lang w:eastAsia="zh-CN"/>
              </w:rPr>
              <w:t>。</w:t>
            </w:r>
            <w:r>
              <w:rPr>
                <w:rFonts w:hint="eastAsia"/>
                <w:lang w:eastAsia="zh-CN"/>
              </w:rPr>
              <w:t>项目的生态恢复措施投资额度在经济上是可接受的，能在一定经济基础上完成对生态环境最大程度上的恢复工作。因此，本项目生态恢复措施在经济上是可行的。</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（2）技术可行性</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工程措施施工技术较简单，易操作，所需设备材料易取，对生态恢复的效果明显，</w:t>
            </w:r>
            <w:r>
              <w:rPr>
                <w:rFonts w:hint="eastAsia"/>
                <w:lang w:val="en-US" w:eastAsia="zh-CN"/>
              </w:rPr>
              <w:t>且</w:t>
            </w:r>
            <w:r>
              <w:rPr>
                <w:rFonts w:hint="eastAsia"/>
                <w:lang w:eastAsia="zh-CN"/>
              </w:rPr>
              <w:t>施工简单，</w:t>
            </w:r>
            <w:r>
              <w:rPr>
                <w:rFonts w:hint="eastAsia"/>
                <w:lang w:val="en-US" w:eastAsia="zh-CN"/>
              </w:rPr>
              <w:t>植被自然恢复后</w:t>
            </w:r>
            <w:r>
              <w:rPr>
                <w:rFonts w:hint="eastAsia"/>
                <w:lang w:eastAsia="zh-CN"/>
              </w:rPr>
              <w:t>对生态环境的恢复起到比较明显的效果。因此本项目生态恢复措施在技术上是可行的。</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10.</w:t>
            </w:r>
            <w:r>
              <w:rPr>
                <w:rFonts w:hint="eastAsia"/>
              </w:rPr>
              <w:t>环境管理计划</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10.1</w:t>
            </w:r>
            <w:r>
              <w:rPr>
                <w:rFonts w:hint="eastAsia"/>
              </w:rPr>
              <w:t>环境管理职责</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w:t>
            </w:r>
            <w:r>
              <w:t>1</w:t>
            </w:r>
            <w:r>
              <w:rPr>
                <w:rFonts w:hint="eastAsia"/>
              </w:rPr>
              <w:t>）最高管理者的职责</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根据国家、自治区及地方各项环保政策、法规、标准制定环境方针；明确规定管理者代表的作用、职责权限，为环境管理工作提供包括人力、财力、技术等方面资源。</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w:t>
            </w:r>
            <w:r>
              <w:t>2</w:t>
            </w:r>
            <w:r>
              <w:rPr>
                <w:rFonts w:hint="eastAsia"/>
              </w:rPr>
              <w:t>）管理者代表的职责</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在环境管理事务中代表了最高管理者行使职权，监督环境管理体系的实施。其职责主要包括：</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①贯彻执行国家相关的法律法规，根据本企业实际，编制环境保护规划和实施细则，并组织实施，监督执行。</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②负责采矿区环境统计工作，污染源建档，定期进行</w:t>
            </w:r>
            <w:r>
              <w:rPr>
                <w:rFonts w:hint="eastAsia"/>
                <w:lang w:eastAsia="zh-CN"/>
              </w:rPr>
              <w:t>“</w:t>
            </w:r>
            <w:r>
              <w:rPr>
                <w:rFonts w:hint="eastAsia"/>
              </w:rPr>
              <w:t>三废</w:t>
            </w:r>
            <w:r>
              <w:rPr>
                <w:rFonts w:hint="eastAsia"/>
                <w:lang w:eastAsia="zh-CN"/>
              </w:rPr>
              <w:t>”</w:t>
            </w:r>
            <w:r>
              <w:rPr>
                <w:rFonts w:hint="eastAsia"/>
              </w:rPr>
              <w:t>排放及噪声的监测，掌握厂内污染源</w:t>
            </w:r>
            <w:r>
              <w:rPr>
                <w:rFonts w:hint="eastAsia"/>
                <w:lang w:eastAsia="zh-CN"/>
              </w:rPr>
              <w:t>“</w:t>
            </w:r>
            <w:r>
              <w:rPr>
                <w:rFonts w:hint="eastAsia"/>
              </w:rPr>
              <w:t>三废</w:t>
            </w:r>
            <w:r>
              <w:rPr>
                <w:rFonts w:hint="eastAsia"/>
                <w:lang w:eastAsia="zh-CN"/>
              </w:rPr>
              <w:t>”</w:t>
            </w:r>
            <w:r>
              <w:rPr>
                <w:rFonts w:hint="eastAsia"/>
              </w:rPr>
              <w:t>排放动态，编制环境监测报告等，为环境管理和污染防治提供依据。</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③制定切实可行的</w:t>
            </w:r>
            <w:r>
              <w:rPr>
                <w:rFonts w:hint="eastAsia"/>
                <w:lang w:eastAsia="zh-CN"/>
              </w:rPr>
              <w:t>“</w:t>
            </w:r>
            <w:r>
              <w:rPr>
                <w:rFonts w:hint="eastAsia"/>
              </w:rPr>
              <w:t>三废</w:t>
            </w:r>
            <w:r>
              <w:rPr>
                <w:rFonts w:hint="eastAsia"/>
                <w:lang w:eastAsia="zh-CN"/>
              </w:rPr>
              <w:t>”</w:t>
            </w:r>
            <w:r>
              <w:rPr>
                <w:rFonts w:hint="eastAsia"/>
              </w:rPr>
              <w:t>排放控制指标，环保治理设施运行考核指标，组织落实实施，定期进行考核。</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④组织和管理采矿区污染治理工作，负责</w:t>
            </w:r>
            <w:r>
              <w:rPr>
                <w:rFonts w:hint="eastAsia"/>
                <w:lang w:eastAsia="zh-CN"/>
              </w:rPr>
              <w:t>环境治理</w:t>
            </w:r>
            <w:r>
              <w:rPr>
                <w:rFonts w:hint="eastAsia"/>
              </w:rPr>
              <w:t>设施的运行及管理工作，建立污染物浓度和排放总量双项控制制度，做到达标排放。</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rPr>
              <w:t>⑤通过工程建设，不断提高治理设施的水平和可操作性。将在环境管理体系运行中所掌</w:t>
            </w:r>
            <w:r>
              <w:rPr>
                <w:rFonts w:hint="default"/>
              </w:rPr>
              <w:t>握的情况及时向最高管理者汇报，并提出建议。</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（3）全体员工职责</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全体员工应以对环境负责的态度和方式从事自己的工作，并在各自的岗位上承担有关环境责任。</w:t>
            </w:r>
          </w:p>
          <w:p>
            <w:pPr>
              <w:pStyle w:val="50"/>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10.2</w:t>
            </w:r>
            <w:r>
              <w:rPr>
                <w:rFonts w:hint="default"/>
              </w:rPr>
              <w:t>环境管理的目标</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本项目环境管理的目标应达到国家规定的水、气、声、渣等污染物排放标准，确保环境管理的持续改进。</w:t>
            </w:r>
          </w:p>
          <w:p>
            <w:pPr>
              <w:pStyle w:val="50"/>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10.3</w:t>
            </w:r>
            <w:r>
              <w:rPr>
                <w:rFonts w:hint="default"/>
              </w:rPr>
              <w:t>环境管理的主要内容</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本项目针对不同工作阶段，制定环境管理工作计划，项目建设管理工作计划见</w:t>
            </w:r>
            <w:r>
              <w:rPr>
                <w:rFonts w:hint="eastAsia"/>
                <w:lang w:val="en-US" w:eastAsia="zh-CN"/>
              </w:rPr>
              <w:t>下表</w:t>
            </w:r>
            <w:r>
              <w:rPr>
                <w:rFonts w:hint="default"/>
              </w:rPr>
              <w:t>。</w:t>
            </w:r>
          </w:p>
          <w:p>
            <w:pPr>
              <w:pStyle w:val="5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 xml:space="preserve">表5-7    </w:t>
            </w:r>
            <w:r>
              <w:rPr>
                <w:rFonts w:hint="default"/>
              </w:rPr>
              <w:t>各阶段环境管理工作主要内容</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52"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阶段</w:t>
                  </w:r>
                </w:p>
              </w:tc>
              <w:tc>
                <w:tcPr>
                  <w:tcW w:w="6368"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环境管理工作计划的具体内容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52"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环境管理</w:t>
                  </w:r>
                </w:p>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机构职能</w:t>
                  </w:r>
                </w:p>
              </w:tc>
              <w:tc>
                <w:tcPr>
                  <w:tcW w:w="6368" w:type="dxa"/>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default"/>
                    </w:rPr>
                  </w:pPr>
                  <w:r>
                    <w:rPr>
                      <w:rFonts w:hint="default"/>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152"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准备阶段</w:t>
                  </w:r>
                </w:p>
              </w:tc>
              <w:tc>
                <w:tcPr>
                  <w:tcW w:w="6368" w:type="dxa"/>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1</w:t>
                  </w:r>
                  <w:r>
                    <w:rPr>
                      <w:rFonts w:hint="eastAsia"/>
                    </w:rPr>
                    <w:t>）与项目可行性研究同期，委托</w:t>
                  </w:r>
                  <w:r>
                    <w:rPr>
                      <w:rFonts w:hint="eastAsia"/>
                      <w:lang w:val="en-US" w:eastAsia="zh-CN"/>
                    </w:rPr>
                    <w:t>具</w:t>
                  </w:r>
                  <w:r>
                    <w:rPr>
                      <w:rFonts w:hint="eastAsia"/>
                    </w:rPr>
                    <w:t>有建设项目环境影响评价资质的环评单位进行项目的环境影响评价工作；</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2</w:t>
                  </w:r>
                  <w:r>
                    <w:rPr>
                      <w:rFonts w:hint="eastAsia"/>
                    </w:rPr>
                    <w:t>）积极配合可研和环评工作所需进行现场调研；</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3</w:t>
                  </w:r>
                  <w:r>
                    <w:rPr>
                      <w:rFonts w:hint="eastAsia"/>
                    </w:rPr>
                    <w:t>）针对项目具体情况，制定本企业所必需的环境管理与监测制度；</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4</w:t>
                  </w:r>
                  <w:r>
                    <w:rPr>
                      <w:rFonts w:hint="eastAsia"/>
                    </w:rPr>
                    <w:t>）对</w:t>
                  </w:r>
                  <w:r>
                    <w:rPr>
                      <w:rFonts w:hint="eastAsia"/>
                      <w:lang w:val="en-US" w:eastAsia="zh-CN"/>
                    </w:rPr>
                    <w:t>聘用的员工</w:t>
                  </w:r>
                  <w:r>
                    <w:rPr>
                      <w:rFonts w:hint="eastAsia"/>
                    </w:rPr>
                    <w:t>进行岗位培训。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1152"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施工阶段</w:t>
                  </w:r>
                </w:p>
              </w:tc>
              <w:tc>
                <w:tcPr>
                  <w:tcW w:w="6368" w:type="dxa"/>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（1）严格执行各项生产及环境管理制度；</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2</w:t>
                  </w:r>
                  <w:r>
                    <w:rPr>
                      <w:rFonts w:hint="eastAsia"/>
                    </w:rPr>
                    <w:t>）按照环评报告</w:t>
                  </w:r>
                  <w:r>
                    <w:rPr>
                      <w:rFonts w:hint="eastAsia"/>
                      <w:lang w:val="en-US" w:eastAsia="zh-CN"/>
                    </w:rPr>
                    <w:t>表</w:t>
                  </w:r>
                  <w:r>
                    <w:rPr>
                      <w:rFonts w:hint="eastAsia"/>
                    </w:rPr>
                    <w:t>中提出的要求，制定建设项目施工措施实施计划表；</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3</w:t>
                  </w:r>
                  <w:r>
                    <w:rPr>
                      <w:rFonts w:hint="eastAsia"/>
                    </w:rPr>
                    <w:t>）施工噪声与振动要符合有关噪声污染防治规定，不得</w:t>
                  </w:r>
                  <w:r>
                    <w:rPr>
                      <w:rFonts w:hint="eastAsia"/>
                      <w:lang w:val="en-US" w:eastAsia="zh-CN"/>
                    </w:rPr>
                    <w:t>影响区域声环境质量</w:t>
                  </w:r>
                  <w:r>
                    <w:rPr>
                      <w:rFonts w:hint="eastAsia"/>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4</w:t>
                  </w:r>
                  <w:r>
                    <w:rPr>
                      <w:rFonts w:hint="eastAsia"/>
                    </w:rPr>
                    <w:t>）建设项目竣工后，应督促施工单位及时恢复建设过程中受到破坏的环境</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（5）重视群众监督作用，提高企业职工环保意识，鼓励职工及外部人员对生产状况提出意见，并通过积极吸收宝贵意见，提高企业环境管理水平；</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（6）积极配合</w:t>
                  </w:r>
                  <w:r>
                    <w:rPr>
                      <w:rFonts w:hint="eastAsia"/>
                      <w:lang w:val="en-US" w:eastAsia="zh-CN"/>
                    </w:rPr>
                    <w:t>生态环境主管部门</w:t>
                  </w:r>
                  <w:r>
                    <w:rPr>
                      <w:rFonts w:hint="eastAsia"/>
                    </w:rPr>
                    <w:t>的检查、验收。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52"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生产运</w:t>
                  </w:r>
                </w:p>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行阶段</w:t>
                  </w:r>
                </w:p>
              </w:tc>
              <w:tc>
                <w:tcPr>
                  <w:tcW w:w="6368" w:type="dxa"/>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2" w:type="dxa"/>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生态恢复阶段</w:t>
                  </w:r>
                </w:p>
              </w:tc>
              <w:tc>
                <w:tcPr>
                  <w:tcW w:w="6368" w:type="dxa"/>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1</w:t>
                  </w:r>
                  <w:r>
                    <w:rPr>
                      <w:rFonts w:hint="eastAsia"/>
                    </w:rPr>
                    <w:t>）</w:t>
                  </w:r>
                  <w:r>
                    <w:rPr>
                      <w:rFonts w:hint="eastAsia"/>
                      <w:lang w:eastAsia="zh-CN"/>
                    </w:rPr>
                    <w:t>勘探工作完成后</w:t>
                  </w:r>
                  <w:r>
                    <w:rPr>
                      <w:rFonts w:hint="eastAsia"/>
                    </w:rPr>
                    <w:t>，应</w:t>
                  </w:r>
                  <w:r>
                    <w:rPr>
                      <w:rFonts w:hint="eastAsia"/>
                      <w:lang w:eastAsia="zh-CN"/>
                    </w:rPr>
                    <w:t>及时回填并恢复原有地貌</w:t>
                  </w:r>
                  <w:r>
                    <w:rPr>
                      <w:rFonts w:hint="eastAsia"/>
                    </w:rPr>
                    <w:t>，及时进行生态恢复</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2</w:t>
                  </w:r>
                  <w:r>
                    <w:rPr>
                      <w:rFonts w:hint="eastAsia"/>
                    </w:rPr>
                    <w:t>）落实专项资金、加强监督管理</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认真落实已编制的生态环境恢复治理方案，</w:t>
                  </w:r>
                  <w:r>
                    <w:rPr>
                      <w:rFonts w:hint="eastAsia"/>
                      <w:lang w:eastAsia="zh-CN"/>
                    </w:rPr>
                    <w:t>做好地质普查后</w:t>
                  </w:r>
                  <w:r>
                    <w:rPr>
                      <w:rFonts w:hint="eastAsia"/>
                    </w:rPr>
                    <w:t>环境整治及土地复垦等工作</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建立环保设施档案，主动接受</w:t>
                  </w:r>
                  <w:r>
                    <w:rPr>
                      <w:rFonts w:hint="eastAsia"/>
                      <w:lang w:val="en-US" w:eastAsia="zh-CN"/>
                    </w:rPr>
                    <w:t>生态环境主管部门</w:t>
                  </w:r>
                  <w:r>
                    <w:rPr>
                      <w:rFonts w:hint="eastAsia"/>
                    </w:rPr>
                    <w:t>监督，配合</w:t>
                  </w:r>
                  <w:r>
                    <w:rPr>
                      <w:rFonts w:hint="eastAsia"/>
                      <w:lang w:val="en-US" w:eastAsia="zh-CN"/>
                    </w:rPr>
                    <w:t>生态环境主管部门</w:t>
                  </w:r>
                  <w:r>
                    <w:rPr>
                      <w:rFonts w:hint="eastAsia"/>
                    </w:rPr>
                    <w:t>的检查、验收。</w:t>
                  </w:r>
                </w:p>
              </w:tc>
            </w:tr>
          </w:tbl>
          <w:p>
            <w:pPr>
              <w:pStyle w:val="48"/>
              <w:keepNext w:val="0"/>
              <w:keepLines w:val="0"/>
              <w:pageBreakBefore w:val="0"/>
              <w:widowControl w:val="0"/>
              <w:kinsoku/>
              <w:overflowPunct/>
              <w:topLinePunct w:val="0"/>
              <w:autoSpaceDE/>
              <w:autoSpaceDN/>
              <w:bidi w:val="0"/>
              <w:adjustRightInd w:val="0"/>
              <w:snapToGrid w:val="0"/>
              <w:ind w:left="0" w:leftChars="0" w:firstLine="0" w:firstLineChars="0"/>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noWrap w:val="0"/>
            <w:vAlign w:val="center"/>
          </w:tcPr>
          <w:p>
            <w:pPr>
              <w:adjustRightInd w:val="0"/>
              <w:snapToGrid w:val="0"/>
              <w:jc w:val="center"/>
              <w:rPr>
                <w:rFonts w:ascii="宋体" w:hAnsi="宋体" w:cs="宋体"/>
                <w:bCs/>
                <w:spacing w:val="10"/>
                <w:szCs w:val="21"/>
              </w:rPr>
            </w:pPr>
            <w:r>
              <w:rPr>
                <w:rFonts w:hint="eastAsia" w:ascii="宋体" w:hAnsi="宋体"/>
                <w:bCs/>
                <w:szCs w:val="21"/>
              </w:rPr>
              <w:t>其他</w:t>
            </w:r>
          </w:p>
        </w:tc>
        <w:tc>
          <w:tcPr>
            <w:tcW w:w="7746" w:type="dxa"/>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rPr>
                <w:rFonts w:hint="eastAsia" w:ascii="宋体" w:hAnsi="宋体" w:eastAsia="宋体" w:cs="宋体"/>
                <w:bCs/>
                <w:spacing w:val="10"/>
                <w:szCs w:val="21"/>
                <w:lang w:val="en-US" w:eastAsia="zh-CN"/>
              </w:rPr>
            </w:pPr>
            <w:r>
              <w:rPr>
                <w:rFonts w:hint="eastAsia" w:ascii="宋体" w:hAnsi="宋体" w:cs="宋体"/>
                <w:bCs/>
                <w:spacing w:val="1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5" w:hRule="atLeast"/>
          <w:jc w:val="center"/>
        </w:trPr>
        <w:tc>
          <w:tcPr>
            <w:tcW w:w="567" w:type="dxa"/>
            <w:noWrap w:val="0"/>
            <w:vAlign w:val="center"/>
          </w:tcPr>
          <w:p>
            <w:pPr>
              <w:adjustRightInd w:val="0"/>
              <w:snapToGrid w:val="0"/>
              <w:jc w:val="center"/>
              <w:rPr>
                <w:rFonts w:ascii="宋体" w:hAnsi="宋体" w:cs="宋体"/>
                <w:bCs/>
                <w:spacing w:val="10"/>
                <w:szCs w:val="21"/>
              </w:rPr>
            </w:pPr>
            <w:r>
              <w:rPr>
                <w:rFonts w:hint="eastAsia" w:ascii="宋体" w:hAnsi="宋体"/>
                <w:bCs/>
                <w:szCs w:val="21"/>
              </w:rPr>
              <w:t>环保投资</w:t>
            </w:r>
          </w:p>
        </w:tc>
        <w:tc>
          <w:tcPr>
            <w:tcW w:w="7746" w:type="dxa"/>
            <w:noWrap w:val="0"/>
            <w:vAlign w:val="center"/>
          </w:tcPr>
          <w:p>
            <w:pPr>
              <w:pStyle w:val="48"/>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项目总投资为1940</w:t>
            </w:r>
            <w:r>
              <w:rPr>
                <w:rFonts w:hint="eastAsia"/>
                <w:color w:val="auto"/>
                <w:highlight w:val="none"/>
                <w:lang w:val="en-US" w:eastAsia="zh-CN"/>
              </w:rPr>
              <w:t>万元，环保投资为48.5万元，占总投资的2.5%</w:t>
            </w:r>
            <w:r>
              <w:rPr>
                <w:rFonts w:hint="eastAsia"/>
                <w:color w:val="auto"/>
                <w:lang w:val="en-US" w:eastAsia="zh-CN"/>
              </w:rPr>
              <w:t>，具体环保投资见下表。</w:t>
            </w:r>
          </w:p>
          <w:p>
            <w:pPr>
              <w:pStyle w:val="52"/>
              <w:keepNext w:val="0"/>
              <w:keepLines w:val="0"/>
              <w:pageBreakBefore w:val="0"/>
              <w:widowControl w:val="0"/>
              <w:kinsoku/>
              <w:overflowPunct/>
              <w:topLinePunct w:val="0"/>
              <w:autoSpaceDE/>
              <w:autoSpaceDN/>
              <w:bidi w:val="0"/>
              <w:adjustRightInd w:val="0"/>
              <w:snapToGrid w:val="0"/>
              <w:textAlignment w:val="auto"/>
              <w:rPr>
                <w:rFonts w:hint="default"/>
                <w:color w:val="auto"/>
              </w:rPr>
            </w:pPr>
            <w:r>
              <w:rPr>
                <w:rFonts w:hint="eastAsia"/>
                <w:color w:val="auto"/>
                <w:lang w:val="en-US" w:eastAsia="zh-CN"/>
              </w:rPr>
              <w:t xml:space="preserve">表5-8    </w:t>
            </w:r>
            <w:r>
              <w:rPr>
                <w:rFonts w:hint="default"/>
                <w:color w:val="auto"/>
              </w:rPr>
              <w:t>环保设施（措施）及投资估算一览表</w:t>
            </w:r>
          </w:p>
          <w:tbl>
            <w:tblPr>
              <w:tblStyle w:val="23"/>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1" w:type="dxa"/>
                <w:bottom w:w="0" w:type="dxa"/>
                <w:right w:w="11" w:type="dxa"/>
              </w:tblCellMar>
            </w:tblPr>
            <w:tblGrid>
              <w:gridCol w:w="767"/>
              <w:gridCol w:w="698"/>
              <w:gridCol w:w="1417"/>
              <w:gridCol w:w="4054"/>
              <w:gridCol w:w="5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1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工程类别</w:t>
                  </w: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污染类别</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污染源</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环保设施</w:t>
                  </w:r>
                </w:p>
              </w:tc>
              <w:tc>
                <w:tcPr>
                  <w:tcW w:w="38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投资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10"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施工期</w:t>
                  </w: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eastAsia="zh-CN"/>
                    </w:rPr>
                    <w:t>废气</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eastAsia="zh-CN"/>
                    </w:rPr>
                    <w:t>施工扬尘</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rPr>
                  </w:pPr>
                  <w:r>
                    <w:rPr>
                      <w:rFonts w:hint="eastAsia"/>
                      <w:color w:val="auto"/>
                      <w:lang w:val="en-US" w:eastAsia="zh-CN"/>
                    </w:rPr>
                    <w:t>彩条布苫盖</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val="en-US" w:eastAsia="zh-CN"/>
                    </w:rPr>
                    <w:t>燃油废气</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lang w:val="en-US" w:eastAsia="zh-CN"/>
                    </w:rPr>
                    <w:t>对柴油发电机及运输车辆定期维护保养，使用正品燃油，减少尾气排放</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废水</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生活污水</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生活污水排入一体化污水处理设施处理达标后，用于洒水绿化，不外排</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噪声</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施工噪声</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对连续接触高噪声源的操作人员，采取防护措施</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固废</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生活垃圾</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设置一定数量的垃圾桶，统一收集后送至且末县垃圾填埋场</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探矿期</w:t>
                  </w: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废气</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eastAsia="zh-CN"/>
                    </w:rPr>
                  </w:pPr>
                  <w:r>
                    <w:rPr>
                      <w:rFonts w:hint="eastAsia"/>
                      <w:color w:val="auto"/>
                      <w:lang w:val="en-US" w:eastAsia="zh-CN"/>
                    </w:rPr>
                    <w:t>扬尘</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彩条布苫盖</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val="en-US" w:eastAsia="zh-CN"/>
                    </w:rPr>
                    <w:t>燃油废气</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lang w:val="en-US" w:eastAsia="zh-CN"/>
                    </w:rPr>
                    <w:t>对柴油发电机及运输车辆定期维护保养，使用正品燃油，减少尾气排放</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val="en-US" w:eastAsia="zh-CN"/>
                    </w:rPr>
                  </w:pPr>
                  <w:r>
                    <w:rPr>
                      <w:rFonts w:hint="eastAsia"/>
                      <w:color w:val="auto"/>
                      <w:lang w:val="en-US" w:eastAsia="zh-CN"/>
                    </w:rPr>
                    <w:t>噪声</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val="en-US" w:eastAsia="zh-CN"/>
                    </w:rPr>
                    <w:t>设备噪声</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对连续接触高噪声源的操作人员，采取防护措施</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rPr>
                    <w:t>废水</w:t>
                  </w:r>
                </w:p>
              </w:tc>
              <w:tc>
                <w:tcPr>
                  <w:tcW w:w="941" w:type="pct"/>
                  <w:noWrap w:val="0"/>
                  <w:vAlign w:val="center"/>
                </w:tcPr>
                <w:p>
                  <w:pPr>
                    <w:pStyle w:val="58"/>
                    <w:bidi w:val="0"/>
                    <w:rPr>
                      <w:rFonts w:hint="eastAsia"/>
                      <w:color w:val="auto"/>
                      <w:lang w:eastAsia="zh-CN"/>
                    </w:rPr>
                  </w:pPr>
                  <w:r>
                    <w:rPr>
                      <w:rFonts w:hint="default" w:ascii="Times New Roman" w:hAnsi="Times New Roman" w:eastAsia="宋体" w:cs="Times New Roman"/>
                      <w:color w:val="auto"/>
                      <w:sz w:val="21"/>
                      <w:szCs w:val="21"/>
                      <w:lang w:val="en-US" w:eastAsia="zh-CN"/>
                    </w:rPr>
                    <w:t>生活污水</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生活污水排入一体化污水处理设施处理达标后，用于洒水绿化，不外排</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p>
              </w:tc>
              <w:tc>
                <w:tcPr>
                  <w:tcW w:w="941" w:type="pct"/>
                  <w:noWrap w:val="0"/>
                  <w:vAlign w:val="center"/>
                </w:tcPr>
                <w:p>
                  <w:pPr>
                    <w:pStyle w:val="54"/>
                    <w:bidi w:val="0"/>
                    <w:rPr>
                      <w:color w:val="auto"/>
                    </w:rPr>
                  </w:pPr>
                  <w:r>
                    <w:rPr>
                      <w:rFonts w:hint="eastAsia"/>
                      <w:lang w:val="en-US" w:eastAsia="zh-CN"/>
                    </w:rPr>
                    <w:t>钻井</w:t>
                  </w:r>
                  <w:r>
                    <w:rPr>
                      <w:rFonts w:hint="default"/>
                      <w:lang w:eastAsia="zh-CN"/>
                    </w:rPr>
                    <w:t>设备冲洗水</w:t>
                  </w:r>
                </w:p>
              </w:tc>
              <w:tc>
                <w:tcPr>
                  <w:tcW w:w="2695" w:type="pct"/>
                  <w:noWrap w:val="0"/>
                  <w:vAlign w:val="center"/>
                </w:tcPr>
                <w:p>
                  <w:pPr>
                    <w:pStyle w:val="58"/>
                    <w:bidi w:val="0"/>
                    <w:rPr>
                      <w:rFonts w:hint="eastAsia"/>
                      <w:color w:val="auto"/>
                      <w:lang w:val="en-US" w:eastAsia="zh-CN"/>
                    </w:rPr>
                  </w:pPr>
                  <w:r>
                    <w:rPr>
                      <w:rFonts w:hint="eastAsia"/>
                      <w:lang w:val="en-US" w:eastAsia="zh-CN"/>
                    </w:rPr>
                    <w:t>防渗沉淀池收集后循环使用，不外排</w:t>
                  </w:r>
                </w:p>
              </w:tc>
              <w:tc>
                <w:tcPr>
                  <w:tcW w:w="584" w:type="dxa"/>
                  <w:noWrap w:val="0"/>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5"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p>
              </w:tc>
              <w:tc>
                <w:tcPr>
                  <w:tcW w:w="941" w:type="pct"/>
                  <w:tcBorders>
                    <w:bottom w:val="single" w:color="auto" w:sz="4" w:space="0"/>
                  </w:tcBorders>
                  <w:noWrap w:val="0"/>
                  <w:vAlign w:val="center"/>
                </w:tcPr>
                <w:p>
                  <w:pPr>
                    <w:pStyle w:val="54"/>
                    <w:bidi w:val="0"/>
                    <w:rPr>
                      <w:color w:val="auto"/>
                    </w:rPr>
                  </w:pPr>
                  <w:r>
                    <w:rPr>
                      <w:rFonts w:hint="eastAsia"/>
                      <w:lang w:val="en-US" w:eastAsia="zh-CN"/>
                    </w:rPr>
                    <w:t>泥浆废水</w:t>
                  </w:r>
                </w:p>
              </w:tc>
              <w:tc>
                <w:tcPr>
                  <w:tcW w:w="2695" w:type="pct"/>
                  <w:tcBorders>
                    <w:bottom w:val="single" w:color="auto" w:sz="4" w:space="0"/>
                  </w:tcBorders>
                  <w:noWrap w:val="0"/>
                  <w:vAlign w:val="center"/>
                </w:tcPr>
                <w:p>
                  <w:pPr>
                    <w:pStyle w:val="58"/>
                    <w:bidi w:val="0"/>
                    <w:rPr>
                      <w:rFonts w:hint="default"/>
                      <w:color w:val="auto"/>
                      <w:lang w:val="en-US"/>
                    </w:rPr>
                  </w:pPr>
                  <w:r>
                    <w:rPr>
                      <w:rFonts w:hint="eastAsia"/>
                      <w:lang w:val="en-US" w:eastAsia="zh-CN"/>
                    </w:rPr>
                    <w:t>排入移动式泥浆沉淀池处理后全部回用于泥浆配制，循环使用，不外排</w:t>
                  </w:r>
                </w:p>
              </w:tc>
              <w:tc>
                <w:tcPr>
                  <w:tcW w:w="584" w:type="dxa"/>
                  <w:tcBorders>
                    <w:bottom w:val="single" w:color="auto" w:sz="4" w:space="0"/>
                  </w:tcBorders>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color w:val="auto"/>
                    </w:rPr>
                    <w:t>固废</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eastAsia="宋体"/>
                      <w:color w:val="auto"/>
                      <w:lang w:val="en-US" w:eastAsia="zh-CN"/>
                    </w:rPr>
                  </w:pPr>
                  <w:r>
                    <w:rPr>
                      <w:color w:val="auto"/>
                    </w:rPr>
                    <w:t>生活垃圾</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施工营地内设置一定数量的垃圾桶，用于临时存放生活垃圾</w:t>
                  </w:r>
                  <w:r>
                    <w:rPr>
                      <w:rFonts w:hint="eastAsia"/>
                      <w:color w:val="auto"/>
                      <w:lang w:eastAsia="zh-CN"/>
                    </w:rPr>
                    <w:t>，</w:t>
                  </w:r>
                  <w:r>
                    <w:rPr>
                      <w:rFonts w:hint="eastAsia"/>
                      <w:color w:val="auto"/>
                    </w:rPr>
                    <w:t>统一收集后</w:t>
                  </w:r>
                  <w:r>
                    <w:rPr>
                      <w:rFonts w:hint="eastAsia"/>
                      <w:color w:val="auto"/>
                      <w:shd w:val="clear" w:color="auto" w:fill="auto"/>
                      <w:lang w:val="en-US" w:eastAsia="zh-CN"/>
                    </w:rPr>
                    <w:t>送至且末县垃圾填埋场</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钻井岩心、泥浆、岩屑及沉淀池沉渣</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eastAsia="zh-CN"/>
                    </w:rPr>
                  </w:pPr>
                  <w:r>
                    <w:rPr>
                      <w:rFonts w:hint="eastAsia"/>
                      <w:color w:val="auto"/>
                      <w:lang w:val="en-US" w:eastAsia="zh-CN"/>
                    </w:rPr>
                    <w:t>岩心</w:t>
                  </w:r>
                  <w:r>
                    <w:rPr>
                      <w:rFonts w:hint="eastAsia"/>
                      <w:color w:val="auto"/>
                    </w:rPr>
                    <w:t>交至单位岩心库统一保管</w:t>
                  </w:r>
                  <w:r>
                    <w:rPr>
                      <w:rFonts w:hint="eastAsia"/>
                      <w:color w:val="auto"/>
                      <w:lang w:eastAsia="zh-CN"/>
                    </w:rPr>
                    <w:t>，</w:t>
                  </w:r>
                  <w:r>
                    <w:rPr>
                      <w:rFonts w:hint="eastAsia"/>
                      <w:color w:val="auto"/>
                      <w:lang w:val="en-US" w:eastAsia="zh-CN"/>
                    </w:rPr>
                    <w:t>泥浆固化后就地填埋，岩屑用于回填封孔，沉淀池沉渣就地掩埋</w:t>
                  </w:r>
                </w:p>
              </w:tc>
              <w:tc>
                <w:tcPr>
                  <w:tcW w:w="584" w:type="dxa"/>
                  <w:noWrap w:val="0"/>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941" w:type="pct"/>
                  <w:noWrap w:val="0"/>
                  <w:vAlign w:val="center"/>
                </w:tcPr>
                <w:p>
                  <w:pPr>
                    <w:pStyle w:val="58"/>
                    <w:bidi w:val="0"/>
                    <w:rPr>
                      <w:color w:val="auto"/>
                    </w:rPr>
                  </w:pPr>
                  <w:r>
                    <w:rPr>
                      <w:rFonts w:hint="eastAsia"/>
                      <w:lang w:val="en-US" w:eastAsia="zh-CN"/>
                    </w:rPr>
                    <w:t>废润滑油、废油桶</w:t>
                  </w:r>
                </w:p>
              </w:tc>
              <w:tc>
                <w:tcPr>
                  <w:tcW w:w="2695" w:type="pct"/>
                  <w:noWrap w:val="0"/>
                  <w:vAlign w:val="center"/>
                </w:tcPr>
                <w:p>
                  <w:pPr>
                    <w:pStyle w:val="58"/>
                    <w:bidi w:val="0"/>
                    <w:rPr>
                      <w:rFonts w:hint="eastAsia"/>
                      <w:color w:val="auto"/>
                    </w:rPr>
                  </w:pPr>
                  <w:r>
                    <w:rPr>
                      <w:rFonts w:hint="eastAsia"/>
                      <w:lang w:val="en-US" w:eastAsia="zh-CN"/>
                    </w:rPr>
                    <w:t>集中收集交有资质单位处理</w:t>
                  </w:r>
                </w:p>
              </w:tc>
              <w:tc>
                <w:tcPr>
                  <w:tcW w:w="584" w:type="dxa"/>
                  <w:noWrap w:val="0"/>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1405" w:type="pct"/>
                  <w:gridSpan w:val="2"/>
                  <w:tcBorders>
                    <w:left w:val="single" w:color="auto" w:sz="4" w:space="0"/>
                    <w:righ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生态保护与恢复措施</w:t>
                  </w:r>
                </w:p>
              </w:tc>
              <w:tc>
                <w:tcPr>
                  <w:tcW w:w="2695" w:type="pct"/>
                  <w:tcBorders>
                    <w:lef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rPr>
                    <w:t>勘探工作完成后，拆除临时设施，及时回填并恢复原有地貌，后期采取自然恢复</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1916" w:type="pct"/>
                  <w:gridSpan w:val="3"/>
                  <w:tcBorders>
                    <w:righ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highlight w:val="none"/>
                      <w:lang w:val="en-US" w:eastAsia="zh-CN"/>
                    </w:rPr>
                    <w:t>环境风险防范工程</w:t>
                  </w:r>
                </w:p>
              </w:tc>
              <w:tc>
                <w:tcPr>
                  <w:tcW w:w="2695" w:type="pct"/>
                  <w:tcBorders>
                    <w:lef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highlight w:val="none"/>
                      <w:lang w:val="en-US" w:eastAsia="zh-CN"/>
                    </w:rPr>
                    <w:t>制定环境风险管理制度</w:t>
                  </w:r>
                  <w:r>
                    <w:rPr>
                      <w:rFonts w:hint="eastAsia"/>
                      <w:color w:val="auto"/>
                      <w:highlight w:val="none"/>
                      <w:lang w:val="en-US" w:eastAsia="zh-CN"/>
                    </w:rPr>
                    <w:t>、设置铺有防渗地膜的柴油贮存区</w:t>
                  </w:r>
                </w:p>
              </w:tc>
              <w:tc>
                <w:tcPr>
                  <w:tcW w:w="584" w:type="dxa"/>
                  <w:noWrap w:val="0"/>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jc w:val="center"/>
              </w:trPr>
              <w:tc>
                <w:tcPr>
                  <w:tcW w:w="4611" w:type="pct"/>
                  <w:gridSpan w:val="4"/>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ascii="Times New Roman" w:hAnsi="Times New Roman" w:eastAsia="宋体" w:cs="Times New Roman"/>
                      <w:color w:val="auto"/>
                      <w:kern w:val="2"/>
                      <w:sz w:val="21"/>
                      <w:szCs w:val="21"/>
                      <w:lang w:val="en-US" w:eastAsia="zh-CN" w:bidi="ar-SA"/>
                    </w:rPr>
                  </w:pPr>
                  <w:r>
                    <w:rPr>
                      <w:color w:val="auto"/>
                    </w:rPr>
                    <w:t>合计</w:t>
                  </w:r>
                </w:p>
              </w:tc>
              <w:tc>
                <w:tcPr>
                  <w:tcW w:w="38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48.5</w:t>
                  </w:r>
                </w:p>
              </w:tc>
            </w:tr>
          </w:tbl>
          <w:p>
            <w:pPr>
              <w:pStyle w:val="48"/>
              <w:keepNext w:val="0"/>
              <w:keepLines w:val="0"/>
              <w:pageBreakBefore w:val="0"/>
              <w:widowControl w:val="0"/>
              <w:kinsoku/>
              <w:overflowPunct/>
              <w:topLinePunct w:val="0"/>
              <w:autoSpaceDE/>
              <w:autoSpaceDN/>
              <w:bidi w:val="0"/>
              <w:adjustRightInd w:val="0"/>
              <w:snapToGrid w:val="0"/>
              <w:ind w:left="0" w:leftChars="0" w:firstLine="0" w:firstLineChars="0"/>
              <w:textAlignment w:val="auto"/>
              <w:rPr>
                <w:rFonts w:hint="default"/>
                <w:lang w:val="en-US" w:eastAsia="zh-CN"/>
              </w:rPr>
            </w:pPr>
          </w:p>
        </w:tc>
      </w:tr>
    </w:tbl>
    <w:p>
      <w:pPr>
        <w:sectPr>
          <w:pgSz w:w="11907" w:h="16840"/>
          <w:pgMar w:top="1440" w:right="1797" w:bottom="1440" w:left="1797" w:header="851" w:footer="1077" w:gutter="0"/>
          <w:pgBorders>
            <w:top w:val="none" w:sz="0" w:space="0"/>
            <w:left w:val="none" w:sz="0" w:space="0"/>
            <w:bottom w:val="none" w:sz="0" w:space="0"/>
            <w:right w:val="none" w:sz="0" w:space="0"/>
          </w:pgBorders>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85"/>
        <w:gridCol w:w="1510"/>
        <w:gridCol w:w="2195"/>
        <w:gridCol w:w="18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vMerge w:val="restart"/>
            <w:tcBorders>
              <w:tl2br w:val="single" w:color="auto" w:sz="4" w:space="0"/>
            </w:tcBorders>
            <w:noWrap w:val="0"/>
            <w:vAlign w:val="top"/>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rPr>
            </w:pPr>
          </w:p>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 xml:space="preserve">    内容</w:t>
            </w:r>
          </w:p>
          <w:p>
            <w:pPr>
              <w:pStyle w:val="58"/>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rPr>
              <w:t xml:space="preserve">  </w:t>
            </w:r>
          </w:p>
          <w:p>
            <w:pPr>
              <w:pStyle w:val="58"/>
              <w:keepNext w:val="0"/>
              <w:keepLines w:val="0"/>
              <w:pageBreakBefore w:val="0"/>
              <w:widowControl w:val="0"/>
              <w:kinsoku/>
              <w:wordWrap w:val="0"/>
              <w:overflowPunct/>
              <w:topLinePunct w:val="0"/>
              <w:autoSpaceDE/>
              <w:autoSpaceDN/>
              <w:bidi w:val="0"/>
              <w:adjustRightInd/>
              <w:snapToGrid/>
              <w:jc w:val="left"/>
              <w:textAlignment w:val="auto"/>
              <w:rPr>
                <w:rFonts w:hint="eastAsia"/>
              </w:rPr>
            </w:pPr>
            <w:r>
              <w:rPr>
                <w:rFonts w:hint="eastAsia"/>
              </w:rPr>
              <w:t>要素</w:t>
            </w:r>
          </w:p>
        </w:tc>
        <w:tc>
          <w:tcPr>
            <w:tcW w:w="1991" w:type="pct"/>
            <w:gridSpan w:val="2"/>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施工期</w:t>
            </w:r>
          </w:p>
        </w:tc>
        <w:tc>
          <w:tcPr>
            <w:tcW w:w="2360" w:type="pct"/>
            <w:gridSpan w:val="2"/>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lang w:eastAsia="zh-CN"/>
              </w:rPr>
            </w:pPr>
            <w:r>
              <w:rPr>
                <w:rFonts w:hint="eastAsia"/>
                <w:lang w:eastAsia="zh-CN"/>
              </w:rPr>
              <w:t>勘探期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vMerge w:val="continue"/>
            <w:noWrap w:val="0"/>
            <w:vAlign w:val="top"/>
          </w:tcPr>
          <w:p>
            <w:pPr>
              <w:pStyle w:val="58"/>
              <w:keepNext w:val="0"/>
              <w:keepLines w:val="0"/>
              <w:pageBreakBefore w:val="0"/>
              <w:widowControl w:val="0"/>
              <w:kinsoku/>
              <w:wordWrap w:val="0"/>
              <w:overflowPunct/>
              <w:topLinePunct w:val="0"/>
              <w:autoSpaceDE/>
              <w:autoSpaceDN/>
              <w:bidi w:val="0"/>
              <w:adjustRightInd/>
              <w:snapToGrid/>
              <w:textAlignment w:val="auto"/>
            </w:pP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环境保护措施</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验收要求</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环境保护措施</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陆生生态</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合理设置临时堆放场，减少临时占地</w:t>
            </w:r>
            <w:r>
              <w:rPr>
                <w:rFonts w:hint="default"/>
                <w:lang w:eastAsia="zh-CN"/>
              </w:rPr>
              <w:t>。</w:t>
            </w:r>
            <w:r>
              <w:rPr>
                <w:rFonts w:hint="default"/>
              </w:rPr>
              <w:t>减少对植被的破坏</w:t>
            </w:r>
            <w:r>
              <w:rPr>
                <w:rFonts w:hint="default"/>
                <w:lang w:eastAsia="zh-CN"/>
              </w:rPr>
              <w:t>。</w:t>
            </w:r>
            <w:r>
              <w:rPr>
                <w:rFonts w:hint="default"/>
              </w:rPr>
              <w:t>施工结束后土地应及时平整恢复</w:t>
            </w:r>
            <w:r>
              <w:rPr>
                <w:rFonts w:hint="default"/>
                <w:lang w:eastAsia="zh-CN"/>
              </w:rPr>
              <w:t>，尽可能恢复植被原貌</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eastAsia"/>
                <w:lang w:val="en-US" w:eastAsia="zh-CN"/>
              </w:rPr>
              <w:t>/</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合理设置临时堆放场，减少临时占地</w:t>
            </w:r>
            <w:r>
              <w:rPr>
                <w:rFonts w:hint="default"/>
                <w:lang w:eastAsia="zh-CN"/>
              </w:rPr>
              <w:t>。</w:t>
            </w:r>
            <w:r>
              <w:rPr>
                <w:rFonts w:hint="default"/>
              </w:rPr>
              <w:t>减少对植被的破坏</w:t>
            </w:r>
            <w:r>
              <w:rPr>
                <w:rFonts w:hint="default"/>
                <w:lang w:eastAsia="zh-CN"/>
              </w:rPr>
              <w:t>。</w:t>
            </w:r>
            <w:r>
              <w:rPr>
                <w:rFonts w:hint="default"/>
              </w:rPr>
              <w:t>施工结束后土地应及时平整恢复</w:t>
            </w:r>
            <w:r>
              <w:rPr>
                <w:rFonts w:hint="default"/>
                <w:lang w:eastAsia="zh-CN"/>
              </w:rPr>
              <w:t>，定期检查已回填恢复的探槽，尽可能恢复植被原貌</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水生生态</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地表水环境</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rPr>
            </w:pPr>
            <w:r>
              <w:rPr>
                <w:rFonts w:hint="eastAsia"/>
                <w:lang w:val="en-US" w:eastAsia="zh-CN"/>
              </w:rPr>
              <w:t>生活污水排入一体化污水处理设施处理达标后，用于洒水绿化，不外排</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2195" w:type="dxa"/>
            <w:noWrap w:val="0"/>
            <w:vAlign w:val="center"/>
          </w:tcPr>
          <w:p>
            <w:pPr>
              <w:pStyle w:val="54"/>
              <w:bidi w:val="0"/>
              <w:jc w:val="both"/>
              <w:rPr>
                <w:rFonts w:hint="default"/>
                <w:lang w:val="en-US"/>
              </w:rPr>
            </w:pPr>
            <w:r>
              <w:rPr>
                <w:rFonts w:hint="eastAsia"/>
                <w:lang w:val="en-US" w:eastAsia="zh-CN"/>
              </w:rPr>
              <w:t>生活污水排入一体化污水处理设施处理达标后，用于洒水绿化，不外排；钻井设备冲洗水和泥浆废水循环使用，不外排</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地下水及土壤环境</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声环境</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（2）施工单位应采用噪声水平满足国家相应标准的施工机械设备，加强施工机械的维修、管理，保证施工机械处于低噪声、高效率的良好工作状态</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eastAsia="宋体"/>
                <w:lang w:val="en-US" w:eastAsia="zh-CN"/>
              </w:rPr>
            </w:pPr>
            <w:r>
              <w:rPr>
                <w:rFonts w:hint="default"/>
              </w:rPr>
              <w:t>执行</w:t>
            </w:r>
            <w:r>
              <w:rPr>
                <w:rFonts w:hint="eastAsia"/>
                <w:lang w:eastAsia="zh-CN"/>
              </w:rPr>
              <w:t>《建筑施工噪声排放标准》（GB12523-2025）</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（2）施工单位应采用噪声水平满足国家相应标准的施工机械设备，加强施工机械的维修、管理，保证施工机械处于低噪声、高效率的良好工作状态</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eastAsia="zh-CN"/>
              </w:rPr>
              <w:t>执行《建筑施工噪声排放标准》（GB12523-2025）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振动</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大气环境</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开挖土</w:t>
            </w:r>
            <w:r>
              <w:rPr>
                <w:rFonts w:hint="eastAsia"/>
                <w:lang w:val="en-US" w:eastAsia="zh-CN"/>
              </w:rPr>
              <w:t>石</w:t>
            </w:r>
            <w:r>
              <w:rPr>
                <w:rFonts w:hint="default"/>
              </w:rPr>
              <w:t>方</w:t>
            </w:r>
            <w:r>
              <w:rPr>
                <w:rFonts w:hint="eastAsia"/>
                <w:lang w:val="en-US" w:eastAsia="zh-CN"/>
              </w:rPr>
              <w:t>堆放在临时堆场，</w:t>
            </w:r>
            <w:r>
              <w:rPr>
                <w:rFonts w:hint="default"/>
              </w:rPr>
              <w:t>使用</w:t>
            </w:r>
            <w:r>
              <w:rPr>
                <w:rFonts w:hint="eastAsia"/>
                <w:lang w:val="en-US" w:eastAsia="zh-CN"/>
              </w:rPr>
              <w:t>彩条布</w:t>
            </w:r>
            <w:r>
              <w:rPr>
                <w:rFonts w:hint="default"/>
                <w:lang w:val="en-US" w:eastAsia="zh-CN"/>
              </w:rPr>
              <w:t>苫盖</w:t>
            </w:r>
            <w:r>
              <w:rPr>
                <w:rFonts w:hint="eastAsia"/>
                <w:lang w:eastAsia="zh-CN"/>
              </w:rPr>
              <w:t>；</w:t>
            </w:r>
            <w:r>
              <w:rPr>
                <w:rFonts w:hint="eastAsia"/>
                <w:lang w:val="en-US" w:eastAsia="zh-CN"/>
              </w:rPr>
              <w:t>对柴油发电机及运输车辆定期维护保养，使用正品燃油，减少尾气排放</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eastAsia="zh-CN"/>
              </w:rPr>
              <w:t>满足</w:t>
            </w:r>
            <w:r>
              <w:rPr>
                <w:rFonts w:hint="default"/>
              </w:rPr>
              <w:t>《大气污染物综合排放标准》（GB16297-1996）表2中的无组织排放监控浓度限值</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开挖土</w:t>
            </w:r>
            <w:r>
              <w:rPr>
                <w:rFonts w:hint="eastAsia"/>
                <w:lang w:val="en-US" w:eastAsia="zh-CN"/>
              </w:rPr>
              <w:t>石</w:t>
            </w:r>
            <w:r>
              <w:rPr>
                <w:rFonts w:hint="default"/>
              </w:rPr>
              <w:t>方使用</w:t>
            </w:r>
            <w:r>
              <w:rPr>
                <w:rFonts w:hint="eastAsia"/>
                <w:lang w:val="en-US" w:eastAsia="zh-CN"/>
              </w:rPr>
              <w:t>彩条布</w:t>
            </w:r>
            <w:r>
              <w:rPr>
                <w:rFonts w:hint="default"/>
                <w:lang w:val="en-US" w:eastAsia="zh-CN"/>
              </w:rPr>
              <w:t>苫盖</w:t>
            </w:r>
            <w:r>
              <w:rPr>
                <w:rFonts w:hint="eastAsia"/>
                <w:lang w:eastAsia="zh-CN"/>
              </w:rPr>
              <w:t>；</w:t>
            </w:r>
            <w:r>
              <w:rPr>
                <w:rFonts w:hint="eastAsia"/>
                <w:lang w:val="en-US" w:eastAsia="zh-CN"/>
              </w:rPr>
              <w:t>对柴油发电机及运输车辆定期维护保养，使用正品燃油，减少尾气排放</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lang w:val="en-US" w:eastAsia="zh-CN"/>
              </w:rPr>
              <w:t>粉尘排放满足《大气污染物综合排放标准》（GB16297-1996）表2中的无组织排放监控浓度限值</w:t>
            </w:r>
            <w:r>
              <w:rPr>
                <w:rFonts w:hint="eastAsia"/>
                <w:lang w:val="en-US" w:eastAsia="zh-CN"/>
              </w:rPr>
              <w:t>，柴油发电机烟气参照执行《非道路移动机械用柴油机排气污染物排放限值及测量方法（中国第三、四阶段）》（GB20891-2014）修改单以及《非道路柴油移动机械污染物排放控制技术要求》（HJ1014-2020）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固体废物</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施工期固体废物来自施工过程中</w:t>
            </w:r>
            <w:r>
              <w:rPr>
                <w:rFonts w:hint="default"/>
                <w:lang w:val="en-US" w:eastAsia="zh-CN"/>
              </w:rPr>
              <w:t>土地平整所开挖</w:t>
            </w:r>
            <w:r>
              <w:rPr>
                <w:rFonts w:hint="default"/>
              </w:rPr>
              <w:t>的</w:t>
            </w:r>
            <w:r>
              <w:rPr>
                <w:rFonts w:hint="default"/>
                <w:lang w:val="en-US" w:eastAsia="zh-CN"/>
              </w:rPr>
              <w:t>土石方，全部堆放在临时堆场内，待项目</w:t>
            </w:r>
            <w:r>
              <w:rPr>
                <w:rFonts w:hint="eastAsia"/>
                <w:lang w:val="en-US" w:eastAsia="zh-CN"/>
              </w:rPr>
              <w:t>勘探期</w:t>
            </w:r>
            <w:r>
              <w:rPr>
                <w:rFonts w:hint="default"/>
                <w:lang w:val="en-US" w:eastAsia="zh-CN"/>
              </w:rPr>
              <w:t>结束后，全部回填，恢复原有地貌</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eastAsia="zh-CN"/>
              </w:rPr>
              <w:t>工业</w:t>
            </w:r>
            <w:r>
              <w:rPr>
                <w:rFonts w:hint="eastAsia"/>
                <w:lang w:val="en-US" w:eastAsia="zh-CN"/>
              </w:rPr>
              <w:t>固体废物应</w:t>
            </w:r>
            <w:r>
              <w:rPr>
                <w:rFonts w:hint="default"/>
                <w:lang w:val="en-US" w:eastAsia="zh-CN"/>
              </w:rPr>
              <w:t>符合</w:t>
            </w:r>
            <w:r>
              <w:rPr>
                <w:rFonts w:hint="eastAsia"/>
                <w:lang w:val="en-US" w:eastAsia="zh-CN"/>
              </w:rPr>
              <w:t>《一般工业固体废弃物贮存和填埋污染控制标准》（GB18599-2020）</w:t>
            </w:r>
            <w:r>
              <w:rPr>
                <w:rFonts w:hint="default"/>
                <w:lang w:val="en-US" w:eastAsia="zh-CN"/>
              </w:rPr>
              <w:t>要求</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eastAsia="宋体"/>
                <w:lang w:val="en-US" w:eastAsia="zh-CN"/>
              </w:rPr>
            </w:pPr>
            <w:r>
              <w:rPr>
                <w:rFonts w:hint="default"/>
              </w:rPr>
              <w:t>槽探开挖产生的土石方在勘探期结束后全部回填至开挖地</w:t>
            </w:r>
            <w:r>
              <w:rPr>
                <w:rFonts w:hint="default"/>
                <w:lang w:eastAsia="zh-CN"/>
              </w:rPr>
              <w:t>，</w:t>
            </w:r>
            <w:r>
              <w:rPr>
                <w:rFonts w:hint="default"/>
                <w:lang w:val="en-US" w:eastAsia="zh-CN"/>
              </w:rPr>
              <w:t>临时占地应及时恢复</w:t>
            </w:r>
            <w:r>
              <w:rPr>
                <w:rFonts w:hint="eastAsia"/>
                <w:lang w:val="en-US" w:eastAsia="zh-CN"/>
              </w:rPr>
              <w:t>；岩心交至单位岩心库统一保管，泥浆固化后就地填埋，岩屑用于回填封孔，沉淀池沉渣就地掩埋；</w:t>
            </w:r>
            <w:r>
              <w:rPr>
                <w:rFonts w:hint="default"/>
              </w:rPr>
              <w:t>施工营地内设置一定数量的垃圾桶，用于临时存放生活垃圾，统一收集后</w:t>
            </w:r>
            <w:r>
              <w:rPr>
                <w:rFonts w:hint="default"/>
                <w:lang w:val="en-US" w:eastAsia="zh-CN"/>
              </w:rPr>
              <w:t>送至</w:t>
            </w:r>
            <w:r>
              <w:rPr>
                <w:rFonts w:hint="eastAsia"/>
                <w:lang w:val="en-US" w:eastAsia="zh-CN"/>
              </w:rPr>
              <w:t>且末县</w:t>
            </w:r>
            <w:r>
              <w:rPr>
                <w:rFonts w:hint="default"/>
                <w:lang w:val="en-US" w:eastAsia="zh-CN"/>
              </w:rPr>
              <w:t>垃圾填埋场</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一般固废执行《中华人民共和国固体废物污染环境防治法》（2020年9月1日起施行）要求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电磁环境</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环境风险</w:t>
            </w:r>
          </w:p>
        </w:tc>
        <w:tc>
          <w:tcPr>
            <w:tcW w:w="1885" w:type="dxa"/>
            <w:noWrap w:val="0"/>
            <w:vAlign w:val="center"/>
          </w:tcPr>
          <w:p>
            <w:pPr>
              <w:pStyle w:val="58"/>
              <w:bidi w:val="0"/>
              <w:jc w:val="center"/>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p>
        </w:tc>
        <w:tc>
          <w:tcPr>
            <w:tcW w:w="1510" w:type="dxa"/>
            <w:noWrap w:val="0"/>
            <w:vAlign w:val="center"/>
          </w:tcPr>
          <w:p>
            <w:pPr>
              <w:pStyle w:val="58"/>
              <w:bidi w:val="0"/>
              <w:jc w:val="cente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w:t>
            </w:r>
          </w:p>
        </w:tc>
        <w:tc>
          <w:tcPr>
            <w:tcW w:w="2195" w:type="dxa"/>
            <w:noWrap w:val="0"/>
            <w:vAlign w:val="center"/>
          </w:tcPr>
          <w:p>
            <w:pPr>
              <w:pStyle w:val="58"/>
              <w:bidi w:val="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建立健全突发环境事件应急预案；加强设备保养，保证设备设施的正常运行</w:t>
            </w:r>
          </w:p>
        </w:tc>
        <w:tc>
          <w:tcPr>
            <w:tcW w:w="1828" w:type="dxa"/>
            <w:noWrap w:val="0"/>
            <w:vAlign w:val="center"/>
          </w:tcPr>
          <w:p>
            <w:pPr>
              <w:pStyle w:val="58"/>
              <w:bidi w:val="0"/>
              <w:jc w:val="cente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环境监测</w:t>
            </w:r>
          </w:p>
        </w:tc>
        <w:tc>
          <w:tcPr>
            <w:tcW w:w="1885" w:type="dxa"/>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c>
          <w:tcPr>
            <w:tcW w:w="1510" w:type="dxa"/>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c>
          <w:tcPr>
            <w:tcW w:w="2195" w:type="dxa"/>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c>
          <w:tcPr>
            <w:tcW w:w="1828" w:type="dxa"/>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kern w:val="2"/>
                <w:sz w:val="21"/>
                <w:szCs w:val="21"/>
                <w:lang w:val="en-US" w:eastAsia="zh-CN" w:bidi="ar-SA"/>
              </w:rPr>
            </w:pPr>
            <w:r>
              <w:rPr>
                <w:rFonts w:hint="eastAsia"/>
              </w:rPr>
              <w:t>其他</w:t>
            </w:r>
          </w:p>
        </w:tc>
        <w:tc>
          <w:tcPr>
            <w:tcW w:w="1885" w:type="dxa"/>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c>
          <w:tcPr>
            <w:tcW w:w="1510" w:type="dxa"/>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2195" w:type="dxa"/>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c>
          <w:tcPr>
            <w:tcW w:w="1828" w:type="dxa"/>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r>
    </w:tbl>
    <w:p>
      <w:pPr>
        <w:rPr>
          <w:rFonts w:hint="eastAsia" w:ascii="黑体" w:hAnsi="黑体" w:eastAsia="黑体"/>
          <w:snapToGrid w:val="0"/>
          <w:sz w:val="30"/>
          <w:szCs w:val="30"/>
        </w:rPr>
      </w:pPr>
      <w:r>
        <w:rPr>
          <w:rFonts w:hint="eastAsia" w:ascii="黑体" w:hAnsi="黑体" w:eastAsia="黑体"/>
          <w:snapToGrid w:val="0"/>
          <w:sz w:val="30"/>
          <w:szCs w:val="30"/>
        </w:rPr>
        <w:br w:type="page"/>
      </w: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七、结论</w:t>
      </w:r>
    </w:p>
    <w:tbl>
      <w:tblPr>
        <w:tblStyle w:val="2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4" w:hRule="atLeast"/>
          <w:jc w:val="center"/>
        </w:trPr>
        <w:tc>
          <w:tcPr>
            <w:tcW w:w="9289" w:type="dxa"/>
            <w:noWrap w:val="0"/>
            <w:vAlign w:val="top"/>
          </w:tcPr>
          <w:p>
            <w:pPr>
              <w:pStyle w:val="48"/>
              <w:bidi w:val="0"/>
              <w:jc w:val="left"/>
              <w:rPr>
                <w:rFonts w:ascii="宋体" w:hAnsi="宋体" w:cs="宋体"/>
                <w:szCs w:val="21"/>
              </w:rPr>
            </w:pPr>
            <w:r>
              <w:t>综合上述，项目方应严格实施本环评报告提出的各项环保措施和建议，做到污染物达标排放，做好生态环境的保护与恢复。在严格落实本环评提出的各项污染物治理和生态保护措施的前提下，该项目的建设不会对区域环境质量及生态</w:t>
            </w:r>
            <w:r>
              <w:rPr>
                <w:rFonts w:hint="eastAsia"/>
              </w:rPr>
              <w:t>环境</w:t>
            </w:r>
            <w:r>
              <w:t>产生大的影响，从环境保护角度分析，本项</w:t>
            </w:r>
            <w:r>
              <w:rPr>
                <w:rFonts w:hint="eastAsia"/>
                <w:lang w:eastAsia="zh-CN"/>
              </w:rPr>
              <w:t>目环境影响</w:t>
            </w:r>
            <w:r>
              <w:t>可行。</w:t>
            </w:r>
          </w:p>
        </w:tc>
      </w:tr>
    </w:tbl>
    <w:p>
      <w:pPr>
        <w:adjustRightInd w:val="0"/>
        <w:snapToGrid w:val="0"/>
        <w:spacing w:before="192" w:beforeLines="80"/>
        <w:rPr>
          <w:rFonts w:ascii="宋体"/>
        </w:rPr>
      </w:pPr>
    </w:p>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40582E5-E616-42E3-9292-B35210AC8B97}"/>
  </w:font>
  <w:font w:name="黑体">
    <w:panose1 w:val="02010609060101010101"/>
    <w:charset w:val="86"/>
    <w:family w:val="auto"/>
    <w:pitch w:val="default"/>
    <w:sig w:usb0="800002BF" w:usb1="38CF7CFA" w:usb2="00000016" w:usb3="00000000" w:csb0="00040001" w:csb1="00000000"/>
    <w:embedRegular r:id="rId2" w:fontKey="{B876F483-426D-4D25-A6DD-B193EB320F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21063C87-1046-4BC8-B573-0BF8594496A5}"/>
  </w:font>
  <w:font w:name="方正黑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4" w:fontKey="{7781107A-F84B-4E4C-BD5A-0A382DF3ECAF}"/>
  </w:font>
  <w:font w:name="仿宋">
    <w:panose1 w:val="02010609060101010101"/>
    <w:charset w:val="86"/>
    <w:family w:val="auto"/>
    <w:pitch w:val="default"/>
    <w:sig w:usb0="800002BF" w:usb1="38CF7CFA" w:usb2="00000016" w:usb3="00000000" w:csb0="00040001" w:csb1="00000000"/>
    <w:embedRegular r:id="rId5" w:fontKey="{110EC7B7-2CD9-48A0-8448-EDD4FBA42BA0}"/>
  </w:font>
  <w:font w:name="仿宋_GB2312">
    <w:panose1 w:val="02010609030101010101"/>
    <w:charset w:val="86"/>
    <w:family w:val="modern"/>
    <w:pitch w:val="default"/>
    <w:sig w:usb0="00000001" w:usb1="080E0000" w:usb2="00000000" w:usb3="00000000" w:csb0="00040000" w:csb1="00000000"/>
    <w:embedRegular r:id="rId6" w:fontKey="{191B0D77-B10D-4885-A683-542908B0C056}"/>
  </w:font>
  <w:font w:name="华文仿宋">
    <w:panose1 w:val="02010600040101010101"/>
    <w:charset w:val="86"/>
    <w:family w:val="auto"/>
    <w:pitch w:val="default"/>
    <w:sig w:usb0="00000287" w:usb1="080F0000" w:usb2="00000000" w:usb3="00000000" w:csb0="0004009F" w:csb1="DFD70000"/>
    <w:embedRegular r:id="rId7" w:fontKey="{F79C44CA-E770-4007-8468-12BEA048E8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szCs w:val="20"/>
      </w:rPr>
      <w:t xml:space="preserve">  </w:t>
    </w:r>
    <w:r>
      <w:rPr>
        <w:rStyle w:val="27"/>
        <w:rFonts w:ascii="宋体" w:hAnsi="宋体"/>
        <w:sz w:val="26"/>
        <w:szCs w:val="26"/>
      </w:rPr>
      <w:fldChar w:fldCharType="begin"/>
    </w:r>
    <w:r>
      <w:rPr>
        <w:rStyle w:val="27"/>
        <w:rFonts w:ascii="宋体" w:hAnsi="宋体"/>
        <w:sz w:val="26"/>
        <w:szCs w:val="26"/>
      </w:rPr>
      <w:instrText xml:space="preserve">PAGE  </w:instrText>
    </w:r>
    <w:r>
      <w:rPr>
        <w:rStyle w:val="27"/>
        <w:rFonts w:ascii="宋体" w:hAnsi="宋体"/>
        <w:sz w:val="26"/>
        <w:szCs w:val="26"/>
      </w:rPr>
      <w:fldChar w:fldCharType="separate"/>
    </w:r>
    <w:r>
      <w:rPr>
        <w:rStyle w:val="27"/>
        <w:rFonts w:ascii="宋体" w:hAnsi="宋体"/>
        <w:sz w:val="26"/>
        <w:szCs w:val="26"/>
      </w:rPr>
      <w:t>22</w:t>
    </w:r>
    <w:r>
      <w:rPr>
        <w:rStyle w:val="27"/>
        <w:rFonts w:ascii="宋体" w:hAnsi="宋体"/>
        <w:sz w:val="26"/>
        <w:szCs w:val="26"/>
      </w:rPr>
      <w:fldChar w:fldCharType="end"/>
    </w:r>
    <w:r>
      <w:rPr>
        <w:rStyle w:val="27"/>
        <w:rFonts w:hint="eastAsia" w:ascii="宋体" w:hAnsi="宋体"/>
        <w:sz w:val="20"/>
        <w:szCs w:val="20"/>
      </w:rPr>
      <w:t xml:space="preserve">  </w:t>
    </w:r>
    <w:r>
      <w:rPr>
        <w:rStyle w:val="27"/>
        <w:rFonts w:hint="eastAsia" w:ascii="宋体" w:hAnsi="宋体"/>
        <w:sz w:val="28"/>
        <w:szCs w:val="28"/>
      </w:rPr>
      <w:t>—</w:t>
    </w:r>
  </w:p>
  <w:p>
    <w:pPr>
      <w:pStyle w:val="1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25AD"/>
    <w:multiLevelType w:val="singleLevel"/>
    <w:tmpl w:val="852925AD"/>
    <w:lvl w:ilvl="0" w:tentative="0">
      <w:start w:val="2"/>
      <w:numFmt w:val="decimal"/>
      <w:suff w:val="nothing"/>
      <w:lvlText w:val="（%1）"/>
      <w:lvlJc w:val="left"/>
    </w:lvl>
  </w:abstractNum>
  <w:abstractNum w:abstractNumId="1">
    <w:nsid w:val="A806479E"/>
    <w:multiLevelType w:val="singleLevel"/>
    <w:tmpl w:val="A806479E"/>
    <w:lvl w:ilvl="0" w:tentative="0">
      <w:start w:val="2"/>
      <w:numFmt w:val="decimal"/>
      <w:suff w:val="nothing"/>
      <w:lvlText w:val="（%1）"/>
      <w:lvlJc w:val="left"/>
    </w:lvl>
  </w:abstractNum>
  <w:abstractNum w:abstractNumId="2">
    <w:nsid w:val="5BA5D222"/>
    <w:multiLevelType w:val="singleLevel"/>
    <w:tmpl w:val="5BA5D22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TNhOWMzNThmMTgxMjhlYmYwYmRlODczZGZjNDk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002E"/>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29AF"/>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01EC"/>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5FBE"/>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19DE"/>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65C66"/>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0D427B"/>
    <w:rsid w:val="010F53D5"/>
    <w:rsid w:val="01101675"/>
    <w:rsid w:val="01196E52"/>
    <w:rsid w:val="011D7843"/>
    <w:rsid w:val="01220F42"/>
    <w:rsid w:val="012C1A19"/>
    <w:rsid w:val="01320EC9"/>
    <w:rsid w:val="015C1523"/>
    <w:rsid w:val="015E6B1D"/>
    <w:rsid w:val="01655E65"/>
    <w:rsid w:val="017417EB"/>
    <w:rsid w:val="01857C73"/>
    <w:rsid w:val="018759AC"/>
    <w:rsid w:val="018B21C1"/>
    <w:rsid w:val="019978BC"/>
    <w:rsid w:val="01B140BF"/>
    <w:rsid w:val="01B42207"/>
    <w:rsid w:val="01BA61B0"/>
    <w:rsid w:val="01C16C2C"/>
    <w:rsid w:val="01C66596"/>
    <w:rsid w:val="01D6466C"/>
    <w:rsid w:val="01D82621"/>
    <w:rsid w:val="01E27A17"/>
    <w:rsid w:val="01FD7E4B"/>
    <w:rsid w:val="02110AC4"/>
    <w:rsid w:val="021653B1"/>
    <w:rsid w:val="021C128D"/>
    <w:rsid w:val="022E14F7"/>
    <w:rsid w:val="02323E22"/>
    <w:rsid w:val="02490F73"/>
    <w:rsid w:val="025905B8"/>
    <w:rsid w:val="025E2CEB"/>
    <w:rsid w:val="02671768"/>
    <w:rsid w:val="02737AF6"/>
    <w:rsid w:val="02786C45"/>
    <w:rsid w:val="02973D5F"/>
    <w:rsid w:val="02973F5D"/>
    <w:rsid w:val="02A4476B"/>
    <w:rsid w:val="02A8142E"/>
    <w:rsid w:val="02B66AA6"/>
    <w:rsid w:val="02D44580"/>
    <w:rsid w:val="02E244D2"/>
    <w:rsid w:val="02E52166"/>
    <w:rsid w:val="02FB6862"/>
    <w:rsid w:val="030516AD"/>
    <w:rsid w:val="030C3E9B"/>
    <w:rsid w:val="03173601"/>
    <w:rsid w:val="03256780"/>
    <w:rsid w:val="03517621"/>
    <w:rsid w:val="035A31DA"/>
    <w:rsid w:val="036C4379"/>
    <w:rsid w:val="03773579"/>
    <w:rsid w:val="037B760F"/>
    <w:rsid w:val="039105B6"/>
    <w:rsid w:val="039849B2"/>
    <w:rsid w:val="03AC4D56"/>
    <w:rsid w:val="03C04774"/>
    <w:rsid w:val="03C17E7E"/>
    <w:rsid w:val="03DE5A5A"/>
    <w:rsid w:val="03E73206"/>
    <w:rsid w:val="04026C8D"/>
    <w:rsid w:val="042371AE"/>
    <w:rsid w:val="042F3D71"/>
    <w:rsid w:val="04432C66"/>
    <w:rsid w:val="044E7D8A"/>
    <w:rsid w:val="04513BA5"/>
    <w:rsid w:val="04584E73"/>
    <w:rsid w:val="04632D76"/>
    <w:rsid w:val="046C750A"/>
    <w:rsid w:val="049F4F72"/>
    <w:rsid w:val="04A02746"/>
    <w:rsid w:val="04F14D2A"/>
    <w:rsid w:val="050E75A9"/>
    <w:rsid w:val="05104806"/>
    <w:rsid w:val="051847BF"/>
    <w:rsid w:val="051B38A9"/>
    <w:rsid w:val="051F41C0"/>
    <w:rsid w:val="051F7A75"/>
    <w:rsid w:val="05337791"/>
    <w:rsid w:val="053E7690"/>
    <w:rsid w:val="05447C28"/>
    <w:rsid w:val="05605B0F"/>
    <w:rsid w:val="05742AC8"/>
    <w:rsid w:val="058E0B21"/>
    <w:rsid w:val="05926C4E"/>
    <w:rsid w:val="05964489"/>
    <w:rsid w:val="05BB42A5"/>
    <w:rsid w:val="05C55E8E"/>
    <w:rsid w:val="05D642CE"/>
    <w:rsid w:val="05EC0669"/>
    <w:rsid w:val="0603741A"/>
    <w:rsid w:val="0619728A"/>
    <w:rsid w:val="062C6F51"/>
    <w:rsid w:val="06352F05"/>
    <w:rsid w:val="063A0FE6"/>
    <w:rsid w:val="063C333F"/>
    <w:rsid w:val="063E7D85"/>
    <w:rsid w:val="06411B4C"/>
    <w:rsid w:val="06683799"/>
    <w:rsid w:val="069409F0"/>
    <w:rsid w:val="06A179B5"/>
    <w:rsid w:val="06B536D7"/>
    <w:rsid w:val="06CA61A3"/>
    <w:rsid w:val="06CC2DD0"/>
    <w:rsid w:val="06F22278"/>
    <w:rsid w:val="070875E0"/>
    <w:rsid w:val="071252CD"/>
    <w:rsid w:val="0716462A"/>
    <w:rsid w:val="07240D7C"/>
    <w:rsid w:val="07293586"/>
    <w:rsid w:val="07295285"/>
    <w:rsid w:val="075208D7"/>
    <w:rsid w:val="076444C8"/>
    <w:rsid w:val="076B3AA9"/>
    <w:rsid w:val="076E638B"/>
    <w:rsid w:val="0775691E"/>
    <w:rsid w:val="07770C56"/>
    <w:rsid w:val="077E558A"/>
    <w:rsid w:val="07994C79"/>
    <w:rsid w:val="07A5586E"/>
    <w:rsid w:val="07C76659"/>
    <w:rsid w:val="07F65C31"/>
    <w:rsid w:val="08002443"/>
    <w:rsid w:val="08065580"/>
    <w:rsid w:val="081E0B1B"/>
    <w:rsid w:val="082D5987"/>
    <w:rsid w:val="082E17EA"/>
    <w:rsid w:val="082E4AA0"/>
    <w:rsid w:val="08377FAD"/>
    <w:rsid w:val="08387E2F"/>
    <w:rsid w:val="084B2F0B"/>
    <w:rsid w:val="084F33CB"/>
    <w:rsid w:val="086A00E6"/>
    <w:rsid w:val="088B4C81"/>
    <w:rsid w:val="08A61E87"/>
    <w:rsid w:val="08AE049D"/>
    <w:rsid w:val="08C401C2"/>
    <w:rsid w:val="08CF48B6"/>
    <w:rsid w:val="08D97D1B"/>
    <w:rsid w:val="08DA0EE6"/>
    <w:rsid w:val="08EC107E"/>
    <w:rsid w:val="08EF10FC"/>
    <w:rsid w:val="08F63846"/>
    <w:rsid w:val="091457BC"/>
    <w:rsid w:val="091D7619"/>
    <w:rsid w:val="092217DD"/>
    <w:rsid w:val="093A7294"/>
    <w:rsid w:val="093D20B4"/>
    <w:rsid w:val="094D790A"/>
    <w:rsid w:val="094E63E5"/>
    <w:rsid w:val="094F10C7"/>
    <w:rsid w:val="09523CDC"/>
    <w:rsid w:val="09561A6E"/>
    <w:rsid w:val="09607FAA"/>
    <w:rsid w:val="096A6D08"/>
    <w:rsid w:val="097B5CAC"/>
    <w:rsid w:val="09A314F6"/>
    <w:rsid w:val="09D879EF"/>
    <w:rsid w:val="09F4070E"/>
    <w:rsid w:val="0A073817"/>
    <w:rsid w:val="0A147B34"/>
    <w:rsid w:val="0A1F4703"/>
    <w:rsid w:val="0A231EDD"/>
    <w:rsid w:val="0A6E0464"/>
    <w:rsid w:val="0A721F4B"/>
    <w:rsid w:val="0A9A7AEB"/>
    <w:rsid w:val="0AE73511"/>
    <w:rsid w:val="0B1A18FA"/>
    <w:rsid w:val="0B4A156F"/>
    <w:rsid w:val="0B8C2821"/>
    <w:rsid w:val="0B9B2926"/>
    <w:rsid w:val="0BB166B1"/>
    <w:rsid w:val="0BC55E7E"/>
    <w:rsid w:val="0BC95F15"/>
    <w:rsid w:val="0BD04096"/>
    <w:rsid w:val="0BD27BF6"/>
    <w:rsid w:val="0BE90AC2"/>
    <w:rsid w:val="0BEF62B7"/>
    <w:rsid w:val="0BFD6797"/>
    <w:rsid w:val="0C0221CB"/>
    <w:rsid w:val="0C032AB2"/>
    <w:rsid w:val="0C037555"/>
    <w:rsid w:val="0C1734E6"/>
    <w:rsid w:val="0C3A0244"/>
    <w:rsid w:val="0C452B1A"/>
    <w:rsid w:val="0C581A09"/>
    <w:rsid w:val="0C601A20"/>
    <w:rsid w:val="0C676F35"/>
    <w:rsid w:val="0C820FC8"/>
    <w:rsid w:val="0C9308B1"/>
    <w:rsid w:val="0CB34CF4"/>
    <w:rsid w:val="0CD62D8F"/>
    <w:rsid w:val="0CDD691A"/>
    <w:rsid w:val="0CF109A7"/>
    <w:rsid w:val="0D04290B"/>
    <w:rsid w:val="0D1169EC"/>
    <w:rsid w:val="0D301348"/>
    <w:rsid w:val="0D3B62E5"/>
    <w:rsid w:val="0D3C2711"/>
    <w:rsid w:val="0D405695"/>
    <w:rsid w:val="0D471D25"/>
    <w:rsid w:val="0D5C4BD0"/>
    <w:rsid w:val="0D646FD0"/>
    <w:rsid w:val="0D7F3E0A"/>
    <w:rsid w:val="0D8C6527"/>
    <w:rsid w:val="0DB07359"/>
    <w:rsid w:val="0DB96E36"/>
    <w:rsid w:val="0DBA0A0C"/>
    <w:rsid w:val="0DC33C85"/>
    <w:rsid w:val="0DCA3C27"/>
    <w:rsid w:val="0DD11376"/>
    <w:rsid w:val="0DE03144"/>
    <w:rsid w:val="0DED3F7D"/>
    <w:rsid w:val="0DF149A6"/>
    <w:rsid w:val="0DFE1D1F"/>
    <w:rsid w:val="0E110D06"/>
    <w:rsid w:val="0E130311"/>
    <w:rsid w:val="0E266AC3"/>
    <w:rsid w:val="0E2A1FC8"/>
    <w:rsid w:val="0E492AD6"/>
    <w:rsid w:val="0E4E1A06"/>
    <w:rsid w:val="0E565112"/>
    <w:rsid w:val="0E572FD9"/>
    <w:rsid w:val="0E62253D"/>
    <w:rsid w:val="0EA55AF2"/>
    <w:rsid w:val="0EAA2B43"/>
    <w:rsid w:val="0EAE684C"/>
    <w:rsid w:val="0EC92C77"/>
    <w:rsid w:val="0EDD0135"/>
    <w:rsid w:val="0EF36439"/>
    <w:rsid w:val="0EF949B1"/>
    <w:rsid w:val="0EFA4090"/>
    <w:rsid w:val="0F04114C"/>
    <w:rsid w:val="0F13775A"/>
    <w:rsid w:val="0F607C6B"/>
    <w:rsid w:val="0F7428EE"/>
    <w:rsid w:val="0F791001"/>
    <w:rsid w:val="0F9A112B"/>
    <w:rsid w:val="0FDE2D02"/>
    <w:rsid w:val="0FFA6753"/>
    <w:rsid w:val="10164837"/>
    <w:rsid w:val="10390BE8"/>
    <w:rsid w:val="103B55CC"/>
    <w:rsid w:val="1058689E"/>
    <w:rsid w:val="10620F29"/>
    <w:rsid w:val="106D2F64"/>
    <w:rsid w:val="107439CE"/>
    <w:rsid w:val="10757746"/>
    <w:rsid w:val="107F689D"/>
    <w:rsid w:val="108A7467"/>
    <w:rsid w:val="10B244F7"/>
    <w:rsid w:val="10B63710"/>
    <w:rsid w:val="10CF4CD1"/>
    <w:rsid w:val="10D23005"/>
    <w:rsid w:val="10E130BF"/>
    <w:rsid w:val="10E20B40"/>
    <w:rsid w:val="11072A94"/>
    <w:rsid w:val="11182474"/>
    <w:rsid w:val="111C2F7A"/>
    <w:rsid w:val="112002C2"/>
    <w:rsid w:val="112924B4"/>
    <w:rsid w:val="112A6783"/>
    <w:rsid w:val="113013DE"/>
    <w:rsid w:val="11350618"/>
    <w:rsid w:val="11385BBB"/>
    <w:rsid w:val="11446485"/>
    <w:rsid w:val="114678B8"/>
    <w:rsid w:val="116427AF"/>
    <w:rsid w:val="11716160"/>
    <w:rsid w:val="118F65E6"/>
    <w:rsid w:val="11A7236D"/>
    <w:rsid w:val="11AB65BF"/>
    <w:rsid w:val="11B8015A"/>
    <w:rsid w:val="11C46F35"/>
    <w:rsid w:val="11C743A6"/>
    <w:rsid w:val="11CC3D75"/>
    <w:rsid w:val="11D93DA0"/>
    <w:rsid w:val="11DB3FFF"/>
    <w:rsid w:val="11E15093"/>
    <w:rsid w:val="11E84674"/>
    <w:rsid w:val="11EA051C"/>
    <w:rsid w:val="11EA29C0"/>
    <w:rsid w:val="11EF5056"/>
    <w:rsid w:val="11FC011F"/>
    <w:rsid w:val="12023727"/>
    <w:rsid w:val="122072AA"/>
    <w:rsid w:val="12267B49"/>
    <w:rsid w:val="122B06C2"/>
    <w:rsid w:val="123D74D6"/>
    <w:rsid w:val="12445229"/>
    <w:rsid w:val="124E4E5A"/>
    <w:rsid w:val="124E53FA"/>
    <w:rsid w:val="124F51D5"/>
    <w:rsid w:val="12502C70"/>
    <w:rsid w:val="12605BA3"/>
    <w:rsid w:val="12613C54"/>
    <w:rsid w:val="126B3B83"/>
    <w:rsid w:val="12736E94"/>
    <w:rsid w:val="1279351E"/>
    <w:rsid w:val="128F2D41"/>
    <w:rsid w:val="129077DE"/>
    <w:rsid w:val="12960DCE"/>
    <w:rsid w:val="12A2059C"/>
    <w:rsid w:val="12BE1260"/>
    <w:rsid w:val="12C60256"/>
    <w:rsid w:val="12CE4E68"/>
    <w:rsid w:val="12D3750A"/>
    <w:rsid w:val="12EF6AB8"/>
    <w:rsid w:val="13286CF2"/>
    <w:rsid w:val="134E5C22"/>
    <w:rsid w:val="136441CE"/>
    <w:rsid w:val="138A1793"/>
    <w:rsid w:val="138B18F3"/>
    <w:rsid w:val="13951726"/>
    <w:rsid w:val="13A15444"/>
    <w:rsid w:val="13BC5A7B"/>
    <w:rsid w:val="13C609E5"/>
    <w:rsid w:val="13D628C0"/>
    <w:rsid w:val="13EB044B"/>
    <w:rsid w:val="13ED5118"/>
    <w:rsid w:val="13F16624"/>
    <w:rsid w:val="13F50E66"/>
    <w:rsid w:val="13F6014E"/>
    <w:rsid w:val="14060550"/>
    <w:rsid w:val="141A01E7"/>
    <w:rsid w:val="142E20E6"/>
    <w:rsid w:val="14353475"/>
    <w:rsid w:val="14377E57"/>
    <w:rsid w:val="14396509"/>
    <w:rsid w:val="14397409"/>
    <w:rsid w:val="143E60BA"/>
    <w:rsid w:val="1447165C"/>
    <w:rsid w:val="14475755"/>
    <w:rsid w:val="144B092E"/>
    <w:rsid w:val="145255D4"/>
    <w:rsid w:val="14556DB3"/>
    <w:rsid w:val="145E70D4"/>
    <w:rsid w:val="146B50E8"/>
    <w:rsid w:val="14750D5A"/>
    <w:rsid w:val="147E33C3"/>
    <w:rsid w:val="14870A36"/>
    <w:rsid w:val="14881E66"/>
    <w:rsid w:val="148F7029"/>
    <w:rsid w:val="149A2AF2"/>
    <w:rsid w:val="14B20F8C"/>
    <w:rsid w:val="14DC1BA5"/>
    <w:rsid w:val="14E86BD0"/>
    <w:rsid w:val="14F52C04"/>
    <w:rsid w:val="14FC21E4"/>
    <w:rsid w:val="150A42DA"/>
    <w:rsid w:val="150E0609"/>
    <w:rsid w:val="15205755"/>
    <w:rsid w:val="152B3BAE"/>
    <w:rsid w:val="152C7305"/>
    <w:rsid w:val="154701F2"/>
    <w:rsid w:val="154D1CD8"/>
    <w:rsid w:val="15581F72"/>
    <w:rsid w:val="155B0F75"/>
    <w:rsid w:val="15604521"/>
    <w:rsid w:val="156100F4"/>
    <w:rsid w:val="15646E47"/>
    <w:rsid w:val="156B7CCE"/>
    <w:rsid w:val="15AC4A14"/>
    <w:rsid w:val="15CE4223"/>
    <w:rsid w:val="15CE5420"/>
    <w:rsid w:val="15DA4676"/>
    <w:rsid w:val="161B6867"/>
    <w:rsid w:val="16220563"/>
    <w:rsid w:val="162623BA"/>
    <w:rsid w:val="162952E3"/>
    <w:rsid w:val="162C3809"/>
    <w:rsid w:val="16361310"/>
    <w:rsid w:val="1691733D"/>
    <w:rsid w:val="1695644C"/>
    <w:rsid w:val="16C17BF4"/>
    <w:rsid w:val="16D108B7"/>
    <w:rsid w:val="16DF4ABA"/>
    <w:rsid w:val="16F65FFD"/>
    <w:rsid w:val="170D06D9"/>
    <w:rsid w:val="170F179D"/>
    <w:rsid w:val="171A0D87"/>
    <w:rsid w:val="172345B4"/>
    <w:rsid w:val="1724463E"/>
    <w:rsid w:val="17277927"/>
    <w:rsid w:val="173D173B"/>
    <w:rsid w:val="1759533F"/>
    <w:rsid w:val="17625724"/>
    <w:rsid w:val="1764623E"/>
    <w:rsid w:val="176B1EA6"/>
    <w:rsid w:val="17735226"/>
    <w:rsid w:val="17754F34"/>
    <w:rsid w:val="177C3206"/>
    <w:rsid w:val="178611DC"/>
    <w:rsid w:val="17902473"/>
    <w:rsid w:val="17975542"/>
    <w:rsid w:val="17991C3C"/>
    <w:rsid w:val="17A806BC"/>
    <w:rsid w:val="17C11909"/>
    <w:rsid w:val="17C20E89"/>
    <w:rsid w:val="17C528EE"/>
    <w:rsid w:val="17CE1006"/>
    <w:rsid w:val="17D3708B"/>
    <w:rsid w:val="17D77582"/>
    <w:rsid w:val="17E41539"/>
    <w:rsid w:val="17E80B02"/>
    <w:rsid w:val="18112FB1"/>
    <w:rsid w:val="181459D7"/>
    <w:rsid w:val="181F1822"/>
    <w:rsid w:val="18214C5F"/>
    <w:rsid w:val="182B50F3"/>
    <w:rsid w:val="183A374F"/>
    <w:rsid w:val="18420856"/>
    <w:rsid w:val="1853036D"/>
    <w:rsid w:val="18666832"/>
    <w:rsid w:val="18832596"/>
    <w:rsid w:val="1890511D"/>
    <w:rsid w:val="18955D8E"/>
    <w:rsid w:val="18A36F6F"/>
    <w:rsid w:val="18C15C1F"/>
    <w:rsid w:val="18C96881"/>
    <w:rsid w:val="18DA672E"/>
    <w:rsid w:val="18FD3358"/>
    <w:rsid w:val="1906512C"/>
    <w:rsid w:val="190A44F3"/>
    <w:rsid w:val="191653D9"/>
    <w:rsid w:val="19431B6D"/>
    <w:rsid w:val="19481E9C"/>
    <w:rsid w:val="19616ABA"/>
    <w:rsid w:val="196216A7"/>
    <w:rsid w:val="198549D1"/>
    <w:rsid w:val="199454D6"/>
    <w:rsid w:val="199B021E"/>
    <w:rsid w:val="199E4403"/>
    <w:rsid w:val="19A12E37"/>
    <w:rsid w:val="19A35684"/>
    <w:rsid w:val="19B173EC"/>
    <w:rsid w:val="19BB08C0"/>
    <w:rsid w:val="19C534ED"/>
    <w:rsid w:val="19DD2CB2"/>
    <w:rsid w:val="19F62B74"/>
    <w:rsid w:val="1A127842"/>
    <w:rsid w:val="1A1C66C0"/>
    <w:rsid w:val="1A220073"/>
    <w:rsid w:val="1A307DAC"/>
    <w:rsid w:val="1A3B145C"/>
    <w:rsid w:val="1A407E0C"/>
    <w:rsid w:val="1A42393B"/>
    <w:rsid w:val="1A4C59BC"/>
    <w:rsid w:val="1A524411"/>
    <w:rsid w:val="1A5550F6"/>
    <w:rsid w:val="1A7570AC"/>
    <w:rsid w:val="1A8245D6"/>
    <w:rsid w:val="1A9952ED"/>
    <w:rsid w:val="1ABA7CDE"/>
    <w:rsid w:val="1AD72F6D"/>
    <w:rsid w:val="1AE25F5A"/>
    <w:rsid w:val="1AEF014E"/>
    <w:rsid w:val="1AFE39A3"/>
    <w:rsid w:val="1B000BBA"/>
    <w:rsid w:val="1B046F80"/>
    <w:rsid w:val="1B3267B5"/>
    <w:rsid w:val="1B3430F7"/>
    <w:rsid w:val="1B485930"/>
    <w:rsid w:val="1B59213E"/>
    <w:rsid w:val="1B815128"/>
    <w:rsid w:val="1B825A10"/>
    <w:rsid w:val="1B8B7B95"/>
    <w:rsid w:val="1B8C4D6B"/>
    <w:rsid w:val="1B9E5B74"/>
    <w:rsid w:val="1BAE33B0"/>
    <w:rsid w:val="1BB13F6D"/>
    <w:rsid w:val="1BC10824"/>
    <w:rsid w:val="1BC25DC8"/>
    <w:rsid w:val="1BC4107F"/>
    <w:rsid w:val="1BD935D1"/>
    <w:rsid w:val="1BF133BC"/>
    <w:rsid w:val="1BF51C89"/>
    <w:rsid w:val="1BF52CF8"/>
    <w:rsid w:val="1C197B20"/>
    <w:rsid w:val="1C1F5136"/>
    <w:rsid w:val="1C2C2182"/>
    <w:rsid w:val="1C2C7A15"/>
    <w:rsid w:val="1C574168"/>
    <w:rsid w:val="1C5E7925"/>
    <w:rsid w:val="1C765C9F"/>
    <w:rsid w:val="1C7669CC"/>
    <w:rsid w:val="1C864762"/>
    <w:rsid w:val="1C887FC8"/>
    <w:rsid w:val="1C8A55DB"/>
    <w:rsid w:val="1CA777C8"/>
    <w:rsid w:val="1CB514A9"/>
    <w:rsid w:val="1CC161ED"/>
    <w:rsid w:val="1CC61FCF"/>
    <w:rsid w:val="1CCD3268"/>
    <w:rsid w:val="1CE05A16"/>
    <w:rsid w:val="1CF218F5"/>
    <w:rsid w:val="1D081FED"/>
    <w:rsid w:val="1D1E5089"/>
    <w:rsid w:val="1D2A3FA0"/>
    <w:rsid w:val="1D5F6196"/>
    <w:rsid w:val="1D6132A5"/>
    <w:rsid w:val="1D63465A"/>
    <w:rsid w:val="1D6A43DB"/>
    <w:rsid w:val="1D8E56D5"/>
    <w:rsid w:val="1DA46927"/>
    <w:rsid w:val="1DC63DF7"/>
    <w:rsid w:val="1DD145C1"/>
    <w:rsid w:val="1DEF48B1"/>
    <w:rsid w:val="1E053DEB"/>
    <w:rsid w:val="1E1E2F7C"/>
    <w:rsid w:val="1E1E766F"/>
    <w:rsid w:val="1E2644A4"/>
    <w:rsid w:val="1E473B8F"/>
    <w:rsid w:val="1E5168F6"/>
    <w:rsid w:val="1E5915BE"/>
    <w:rsid w:val="1E635082"/>
    <w:rsid w:val="1E6432D4"/>
    <w:rsid w:val="1E732AF6"/>
    <w:rsid w:val="1E7847F7"/>
    <w:rsid w:val="1E7A43DA"/>
    <w:rsid w:val="1E932132"/>
    <w:rsid w:val="1E9828AC"/>
    <w:rsid w:val="1EA35913"/>
    <w:rsid w:val="1EA731C1"/>
    <w:rsid w:val="1EB26E5D"/>
    <w:rsid w:val="1EB277FE"/>
    <w:rsid w:val="1ED15AF8"/>
    <w:rsid w:val="1ED85DBC"/>
    <w:rsid w:val="1F046673"/>
    <w:rsid w:val="1F05338C"/>
    <w:rsid w:val="1F1419B3"/>
    <w:rsid w:val="1F246799"/>
    <w:rsid w:val="1F26796B"/>
    <w:rsid w:val="1F3E1885"/>
    <w:rsid w:val="1F606B81"/>
    <w:rsid w:val="1F64759C"/>
    <w:rsid w:val="1F7832BB"/>
    <w:rsid w:val="1F882B80"/>
    <w:rsid w:val="1F9F1DE5"/>
    <w:rsid w:val="1FBD6E1F"/>
    <w:rsid w:val="1FC2787D"/>
    <w:rsid w:val="1FE7539E"/>
    <w:rsid w:val="1FFB37C4"/>
    <w:rsid w:val="1FFB7C68"/>
    <w:rsid w:val="200A38BF"/>
    <w:rsid w:val="200F56D3"/>
    <w:rsid w:val="20105ECA"/>
    <w:rsid w:val="202F1927"/>
    <w:rsid w:val="203F2581"/>
    <w:rsid w:val="20611216"/>
    <w:rsid w:val="20825115"/>
    <w:rsid w:val="20883E97"/>
    <w:rsid w:val="20895274"/>
    <w:rsid w:val="20963CB8"/>
    <w:rsid w:val="20A7394C"/>
    <w:rsid w:val="20AA62AC"/>
    <w:rsid w:val="20B07FB6"/>
    <w:rsid w:val="20B63B8F"/>
    <w:rsid w:val="20D02EA3"/>
    <w:rsid w:val="20D45886"/>
    <w:rsid w:val="20E5555B"/>
    <w:rsid w:val="20EC77BF"/>
    <w:rsid w:val="21063FC7"/>
    <w:rsid w:val="2113307A"/>
    <w:rsid w:val="21360DC6"/>
    <w:rsid w:val="213B74B1"/>
    <w:rsid w:val="213D4223"/>
    <w:rsid w:val="214073EF"/>
    <w:rsid w:val="215A2310"/>
    <w:rsid w:val="216658D2"/>
    <w:rsid w:val="216830DB"/>
    <w:rsid w:val="216D248C"/>
    <w:rsid w:val="21897DBB"/>
    <w:rsid w:val="21976550"/>
    <w:rsid w:val="21A25DD1"/>
    <w:rsid w:val="21C22E7F"/>
    <w:rsid w:val="21D45DE6"/>
    <w:rsid w:val="21DE318A"/>
    <w:rsid w:val="21EF5B80"/>
    <w:rsid w:val="21F93BC8"/>
    <w:rsid w:val="22010FDF"/>
    <w:rsid w:val="220A4192"/>
    <w:rsid w:val="22274D44"/>
    <w:rsid w:val="223B60CC"/>
    <w:rsid w:val="22576990"/>
    <w:rsid w:val="2266602C"/>
    <w:rsid w:val="226F4570"/>
    <w:rsid w:val="22757749"/>
    <w:rsid w:val="22794E74"/>
    <w:rsid w:val="229C4EAB"/>
    <w:rsid w:val="22AE0C5F"/>
    <w:rsid w:val="22B23823"/>
    <w:rsid w:val="22B3038A"/>
    <w:rsid w:val="22C51B6E"/>
    <w:rsid w:val="22CF718A"/>
    <w:rsid w:val="22DA23E2"/>
    <w:rsid w:val="22F610D4"/>
    <w:rsid w:val="23035EA9"/>
    <w:rsid w:val="2309444A"/>
    <w:rsid w:val="23166730"/>
    <w:rsid w:val="23203542"/>
    <w:rsid w:val="236D2C2B"/>
    <w:rsid w:val="236D4403"/>
    <w:rsid w:val="23722241"/>
    <w:rsid w:val="23737D01"/>
    <w:rsid w:val="23827156"/>
    <w:rsid w:val="238D46E4"/>
    <w:rsid w:val="238F1D10"/>
    <w:rsid w:val="23953573"/>
    <w:rsid w:val="23970AF1"/>
    <w:rsid w:val="23C14D25"/>
    <w:rsid w:val="23C46D54"/>
    <w:rsid w:val="23C47A74"/>
    <w:rsid w:val="23C73B1B"/>
    <w:rsid w:val="23F15571"/>
    <w:rsid w:val="24014120"/>
    <w:rsid w:val="240F73B9"/>
    <w:rsid w:val="24134F0B"/>
    <w:rsid w:val="241A7F42"/>
    <w:rsid w:val="2424436B"/>
    <w:rsid w:val="243C0204"/>
    <w:rsid w:val="24486D5C"/>
    <w:rsid w:val="24586973"/>
    <w:rsid w:val="245D1BD9"/>
    <w:rsid w:val="246D6C5B"/>
    <w:rsid w:val="247A6A25"/>
    <w:rsid w:val="24804B18"/>
    <w:rsid w:val="248975AD"/>
    <w:rsid w:val="24A878BD"/>
    <w:rsid w:val="24B1044B"/>
    <w:rsid w:val="24B12ABC"/>
    <w:rsid w:val="24BA341D"/>
    <w:rsid w:val="24E54A43"/>
    <w:rsid w:val="24ED7441"/>
    <w:rsid w:val="24EE7D9B"/>
    <w:rsid w:val="24FE78B3"/>
    <w:rsid w:val="250A27B1"/>
    <w:rsid w:val="252830C1"/>
    <w:rsid w:val="252D53FE"/>
    <w:rsid w:val="25483FFD"/>
    <w:rsid w:val="254F125D"/>
    <w:rsid w:val="255F0C6E"/>
    <w:rsid w:val="256E1EA7"/>
    <w:rsid w:val="257F27A2"/>
    <w:rsid w:val="258C4EBE"/>
    <w:rsid w:val="2592441B"/>
    <w:rsid w:val="25B606E4"/>
    <w:rsid w:val="25B81091"/>
    <w:rsid w:val="25BA1039"/>
    <w:rsid w:val="25C15374"/>
    <w:rsid w:val="25EC2D81"/>
    <w:rsid w:val="25EE4EC1"/>
    <w:rsid w:val="25F17E48"/>
    <w:rsid w:val="26032D97"/>
    <w:rsid w:val="260D3D3C"/>
    <w:rsid w:val="26357304"/>
    <w:rsid w:val="263A6EE2"/>
    <w:rsid w:val="263B7010"/>
    <w:rsid w:val="264528BD"/>
    <w:rsid w:val="265C0D35"/>
    <w:rsid w:val="265E4AAD"/>
    <w:rsid w:val="265F14A3"/>
    <w:rsid w:val="266417B3"/>
    <w:rsid w:val="266D6C98"/>
    <w:rsid w:val="26721FBD"/>
    <w:rsid w:val="26A56238"/>
    <w:rsid w:val="26CC6975"/>
    <w:rsid w:val="26DB5FC7"/>
    <w:rsid w:val="26EE19AF"/>
    <w:rsid w:val="26EE562D"/>
    <w:rsid w:val="26F80972"/>
    <w:rsid w:val="26FF2C9C"/>
    <w:rsid w:val="271E159B"/>
    <w:rsid w:val="272343DC"/>
    <w:rsid w:val="27335FDD"/>
    <w:rsid w:val="27340FD7"/>
    <w:rsid w:val="27661C4E"/>
    <w:rsid w:val="27695881"/>
    <w:rsid w:val="277F2F2D"/>
    <w:rsid w:val="27821EC9"/>
    <w:rsid w:val="2785219A"/>
    <w:rsid w:val="279B2689"/>
    <w:rsid w:val="27AC1848"/>
    <w:rsid w:val="27B0569E"/>
    <w:rsid w:val="27B77C28"/>
    <w:rsid w:val="27C3506D"/>
    <w:rsid w:val="27D15DD1"/>
    <w:rsid w:val="27DB76F9"/>
    <w:rsid w:val="27E47B16"/>
    <w:rsid w:val="27EA0853"/>
    <w:rsid w:val="280107B4"/>
    <w:rsid w:val="280F3966"/>
    <w:rsid w:val="280F4E65"/>
    <w:rsid w:val="28120712"/>
    <w:rsid w:val="2816159A"/>
    <w:rsid w:val="282E405C"/>
    <w:rsid w:val="283A6E54"/>
    <w:rsid w:val="283D58BA"/>
    <w:rsid w:val="283E5C4B"/>
    <w:rsid w:val="284967A8"/>
    <w:rsid w:val="287556F2"/>
    <w:rsid w:val="28924926"/>
    <w:rsid w:val="28944720"/>
    <w:rsid w:val="28984110"/>
    <w:rsid w:val="28A76295"/>
    <w:rsid w:val="28B704A4"/>
    <w:rsid w:val="28D155C8"/>
    <w:rsid w:val="2916341D"/>
    <w:rsid w:val="29206EB8"/>
    <w:rsid w:val="29223BD4"/>
    <w:rsid w:val="29230EE1"/>
    <w:rsid w:val="292E4C0A"/>
    <w:rsid w:val="296044D3"/>
    <w:rsid w:val="296E1FD7"/>
    <w:rsid w:val="297C2A05"/>
    <w:rsid w:val="297C2B4D"/>
    <w:rsid w:val="298E19E8"/>
    <w:rsid w:val="29A6389C"/>
    <w:rsid w:val="29C54E43"/>
    <w:rsid w:val="29C7422F"/>
    <w:rsid w:val="29CA4B8D"/>
    <w:rsid w:val="29D273F6"/>
    <w:rsid w:val="29E325E0"/>
    <w:rsid w:val="2A0F0A83"/>
    <w:rsid w:val="2A111BBA"/>
    <w:rsid w:val="2A156FFA"/>
    <w:rsid w:val="2A1927CF"/>
    <w:rsid w:val="2A452503"/>
    <w:rsid w:val="2A461F23"/>
    <w:rsid w:val="2A4C4BE5"/>
    <w:rsid w:val="2A4E643C"/>
    <w:rsid w:val="2A506E02"/>
    <w:rsid w:val="2A5C7555"/>
    <w:rsid w:val="2A73719B"/>
    <w:rsid w:val="2A9F6E40"/>
    <w:rsid w:val="2AA03D05"/>
    <w:rsid w:val="2AAD6003"/>
    <w:rsid w:val="2AB50F6F"/>
    <w:rsid w:val="2ABB0A6C"/>
    <w:rsid w:val="2AD217A2"/>
    <w:rsid w:val="2AE055CA"/>
    <w:rsid w:val="2AE2772E"/>
    <w:rsid w:val="2AEA7171"/>
    <w:rsid w:val="2B035C23"/>
    <w:rsid w:val="2B1240B8"/>
    <w:rsid w:val="2B165705"/>
    <w:rsid w:val="2B397896"/>
    <w:rsid w:val="2B465B0F"/>
    <w:rsid w:val="2B604E23"/>
    <w:rsid w:val="2B944ACD"/>
    <w:rsid w:val="2B981596"/>
    <w:rsid w:val="2B9944E0"/>
    <w:rsid w:val="2BA57E24"/>
    <w:rsid w:val="2BA85397"/>
    <w:rsid w:val="2BA936A8"/>
    <w:rsid w:val="2BAC1F2C"/>
    <w:rsid w:val="2BBB4072"/>
    <w:rsid w:val="2BC37404"/>
    <w:rsid w:val="2BCE6522"/>
    <w:rsid w:val="2BDF3F0E"/>
    <w:rsid w:val="2BFE2949"/>
    <w:rsid w:val="2C0B3B29"/>
    <w:rsid w:val="2C113CE1"/>
    <w:rsid w:val="2C23290B"/>
    <w:rsid w:val="2C2D1D71"/>
    <w:rsid w:val="2C2F1949"/>
    <w:rsid w:val="2C315A5A"/>
    <w:rsid w:val="2C3165D7"/>
    <w:rsid w:val="2C3F5C19"/>
    <w:rsid w:val="2C6C7279"/>
    <w:rsid w:val="2C7B2222"/>
    <w:rsid w:val="2C801934"/>
    <w:rsid w:val="2C813804"/>
    <w:rsid w:val="2C8C35AA"/>
    <w:rsid w:val="2C903593"/>
    <w:rsid w:val="2C907B46"/>
    <w:rsid w:val="2C923C0C"/>
    <w:rsid w:val="2CA07176"/>
    <w:rsid w:val="2CA84CAA"/>
    <w:rsid w:val="2CB561BD"/>
    <w:rsid w:val="2CC53720"/>
    <w:rsid w:val="2CE46656"/>
    <w:rsid w:val="2D031F0A"/>
    <w:rsid w:val="2D0461FE"/>
    <w:rsid w:val="2D1C2904"/>
    <w:rsid w:val="2D214A86"/>
    <w:rsid w:val="2D573FF2"/>
    <w:rsid w:val="2D5C59D6"/>
    <w:rsid w:val="2D6D5C98"/>
    <w:rsid w:val="2D7638ED"/>
    <w:rsid w:val="2D842796"/>
    <w:rsid w:val="2D921791"/>
    <w:rsid w:val="2D981A9F"/>
    <w:rsid w:val="2D9E56F5"/>
    <w:rsid w:val="2D9E60D7"/>
    <w:rsid w:val="2DA10DD0"/>
    <w:rsid w:val="2DCA0C7A"/>
    <w:rsid w:val="2DD02CED"/>
    <w:rsid w:val="2DEB19C0"/>
    <w:rsid w:val="2E073308"/>
    <w:rsid w:val="2E0903C4"/>
    <w:rsid w:val="2E163DF8"/>
    <w:rsid w:val="2E482E0D"/>
    <w:rsid w:val="2E59496A"/>
    <w:rsid w:val="2E667F96"/>
    <w:rsid w:val="2E6F11C8"/>
    <w:rsid w:val="2E716C3A"/>
    <w:rsid w:val="2E813A2E"/>
    <w:rsid w:val="2E8226AB"/>
    <w:rsid w:val="2EA97C9B"/>
    <w:rsid w:val="2EC45323"/>
    <w:rsid w:val="2ED66A29"/>
    <w:rsid w:val="2EF34C4B"/>
    <w:rsid w:val="2EF37171"/>
    <w:rsid w:val="2F1048FF"/>
    <w:rsid w:val="2F444C9A"/>
    <w:rsid w:val="2F4B1213"/>
    <w:rsid w:val="2F4F2BF6"/>
    <w:rsid w:val="2F6056DE"/>
    <w:rsid w:val="2F677BD1"/>
    <w:rsid w:val="2F6916AA"/>
    <w:rsid w:val="2F6A6F3F"/>
    <w:rsid w:val="2F832C79"/>
    <w:rsid w:val="2FC53389"/>
    <w:rsid w:val="2FE20ECB"/>
    <w:rsid w:val="2FEF2D58"/>
    <w:rsid w:val="2FF25082"/>
    <w:rsid w:val="30103067"/>
    <w:rsid w:val="3016316E"/>
    <w:rsid w:val="301914A6"/>
    <w:rsid w:val="303B1D8C"/>
    <w:rsid w:val="303E14AB"/>
    <w:rsid w:val="30580BC9"/>
    <w:rsid w:val="306236DA"/>
    <w:rsid w:val="30662EDC"/>
    <w:rsid w:val="306E2476"/>
    <w:rsid w:val="307775C1"/>
    <w:rsid w:val="309E6346"/>
    <w:rsid w:val="30D83E02"/>
    <w:rsid w:val="30DF62C7"/>
    <w:rsid w:val="30F77C75"/>
    <w:rsid w:val="31083F93"/>
    <w:rsid w:val="31184CE2"/>
    <w:rsid w:val="311E2ED7"/>
    <w:rsid w:val="313558AC"/>
    <w:rsid w:val="313855F1"/>
    <w:rsid w:val="31490EED"/>
    <w:rsid w:val="315C449C"/>
    <w:rsid w:val="31602870"/>
    <w:rsid w:val="31794357"/>
    <w:rsid w:val="318416EF"/>
    <w:rsid w:val="31850E90"/>
    <w:rsid w:val="31966E80"/>
    <w:rsid w:val="3197127B"/>
    <w:rsid w:val="319C0B7F"/>
    <w:rsid w:val="31B82709"/>
    <w:rsid w:val="31BD4A2C"/>
    <w:rsid w:val="31CE10C4"/>
    <w:rsid w:val="31D2535D"/>
    <w:rsid w:val="31FB713A"/>
    <w:rsid w:val="31FC6025"/>
    <w:rsid w:val="31FD48C6"/>
    <w:rsid w:val="32056A82"/>
    <w:rsid w:val="321E639F"/>
    <w:rsid w:val="32242987"/>
    <w:rsid w:val="323F30EA"/>
    <w:rsid w:val="32400B34"/>
    <w:rsid w:val="3277593D"/>
    <w:rsid w:val="327C2D11"/>
    <w:rsid w:val="329217C9"/>
    <w:rsid w:val="32953A89"/>
    <w:rsid w:val="329E6876"/>
    <w:rsid w:val="32A852AA"/>
    <w:rsid w:val="32B16170"/>
    <w:rsid w:val="32BA5629"/>
    <w:rsid w:val="32E479AB"/>
    <w:rsid w:val="332130EA"/>
    <w:rsid w:val="333C7D1C"/>
    <w:rsid w:val="334100E2"/>
    <w:rsid w:val="336057C5"/>
    <w:rsid w:val="336A1A14"/>
    <w:rsid w:val="336D2901"/>
    <w:rsid w:val="336F4286"/>
    <w:rsid w:val="338213DC"/>
    <w:rsid w:val="33923D3D"/>
    <w:rsid w:val="3396053C"/>
    <w:rsid w:val="339731A0"/>
    <w:rsid w:val="339C6C14"/>
    <w:rsid w:val="33AC63B4"/>
    <w:rsid w:val="33B26FA6"/>
    <w:rsid w:val="33B645E2"/>
    <w:rsid w:val="33B7001B"/>
    <w:rsid w:val="33D53B72"/>
    <w:rsid w:val="33D934D4"/>
    <w:rsid w:val="33E472C3"/>
    <w:rsid w:val="33E52FA1"/>
    <w:rsid w:val="33EE2197"/>
    <w:rsid w:val="33F013E9"/>
    <w:rsid w:val="33F209AC"/>
    <w:rsid w:val="33F660E8"/>
    <w:rsid w:val="33F8502F"/>
    <w:rsid w:val="33FE2F6A"/>
    <w:rsid w:val="34117416"/>
    <w:rsid w:val="34197824"/>
    <w:rsid w:val="34216F41"/>
    <w:rsid w:val="342713F4"/>
    <w:rsid w:val="342A2472"/>
    <w:rsid w:val="342E7216"/>
    <w:rsid w:val="34563CE3"/>
    <w:rsid w:val="34691A70"/>
    <w:rsid w:val="348F1BDE"/>
    <w:rsid w:val="34974931"/>
    <w:rsid w:val="349E333C"/>
    <w:rsid w:val="34A118FF"/>
    <w:rsid w:val="34B8182C"/>
    <w:rsid w:val="34D81ECE"/>
    <w:rsid w:val="350967BD"/>
    <w:rsid w:val="350B691C"/>
    <w:rsid w:val="35491BD9"/>
    <w:rsid w:val="35504103"/>
    <w:rsid w:val="35614940"/>
    <w:rsid w:val="35831767"/>
    <w:rsid w:val="358374A7"/>
    <w:rsid w:val="359F5039"/>
    <w:rsid w:val="359F6611"/>
    <w:rsid w:val="35A22AB8"/>
    <w:rsid w:val="35AE5DEE"/>
    <w:rsid w:val="35B355F7"/>
    <w:rsid w:val="35E949AD"/>
    <w:rsid w:val="36064819"/>
    <w:rsid w:val="36074A7F"/>
    <w:rsid w:val="360945A4"/>
    <w:rsid w:val="36107446"/>
    <w:rsid w:val="361D5769"/>
    <w:rsid w:val="362F3A4D"/>
    <w:rsid w:val="36361FEC"/>
    <w:rsid w:val="366074F2"/>
    <w:rsid w:val="3667350A"/>
    <w:rsid w:val="366D0D29"/>
    <w:rsid w:val="36923549"/>
    <w:rsid w:val="36B75FBF"/>
    <w:rsid w:val="36B77CE8"/>
    <w:rsid w:val="36BE7876"/>
    <w:rsid w:val="36E030CE"/>
    <w:rsid w:val="36FB4891"/>
    <w:rsid w:val="370D15D3"/>
    <w:rsid w:val="37162CA1"/>
    <w:rsid w:val="37166CDE"/>
    <w:rsid w:val="37177E1B"/>
    <w:rsid w:val="37227D0E"/>
    <w:rsid w:val="3723490B"/>
    <w:rsid w:val="37346E22"/>
    <w:rsid w:val="3737640B"/>
    <w:rsid w:val="37482E8A"/>
    <w:rsid w:val="374A3AED"/>
    <w:rsid w:val="374B4BD9"/>
    <w:rsid w:val="37615898"/>
    <w:rsid w:val="37676698"/>
    <w:rsid w:val="3774310E"/>
    <w:rsid w:val="378749FA"/>
    <w:rsid w:val="378E0F6A"/>
    <w:rsid w:val="37916E18"/>
    <w:rsid w:val="37923DC9"/>
    <w:rsid w:val="37961A4D"/>
    <w:rsid w:val="37AF5632"/>
    <w:rsid w:val="37B947E7"/>
    <w:rsid w:val="37BE6B2A"/>
    <w:rsid w:val="37D800AA"/>
    <w:rsid w:val="37EA6EBE"/>
    <w:rsid w:val="37F36451"/>
    <w:rsid w:val="37F9032E"/>
    <w:rsid w:val="38042FD6"/>
    <w:rsid w:val="382A2218"/>
    <w:rsid w:val="382B0567"/>
    <w:rsid w:val="383E6B55"/>
    <w:rsid w:val="38571D22"/>
    <w:rsid w:val="385F45BE"/>
    <w:rsid w:val="386878A2"/>
    <w:rsid w:val="387A7301"/>
    <w:rsid w:val="38912AC0"/>
    <w:rsid w:val="3894603B"/>
    <w:rsid w:val="38A43AD0"/>
    <w:rsid w:val="38A91071"/>
    <w:rsid w:val="38C868F6"/>
    <w:rsid w:val="38CF6F69"/>
    <w:rsid w:val="38DA751E"/>
    <w:rsid w:val="38E54BBA"/>
    <w:rsid w:val="38F12CD3"/>
    <w:rsid w:val="38F47066"/>
    <w:rsid w:val="38F94775"/>
    <w:rsid w:val="39020A10"/>
    <w:rsid w:val="390A6409"/>
    <w:rsid w:val="390C55B1"/>
    <w:rsid w:val="391A6EAA"/>
    <w:rsid w:val="392971ED"/>
    <w:rsid w:val="392C6831"/>
    <w:rsid w:val="392D6269"/>
    <w:rsid w:val="39316051"/>
    <w:rsid w:val="394332ED"/>
    <w:rsid w:val="39482A81"/>
    <w:rsid w:val="395960C9"/>
    <w:rsid w:val="398A32F4"/>
    <w:rsid w:val="399436D2"/>
    <w:rsid w:val="399C4100"/>
    <w:rsid w:val="39A7241F"/>
    <w:rsid w:val="39BC1DBE"/>
    <w:rsid w:val="39BD4334"/>
    <w:rsid w:val="39C24EFB"/>
    <w:rsid w:val="39D30EB6"/>
    <w:rsid w:val="39DB4EEB"/>
    <w:rsid w:val="39DE2DAD"/>
    <w:rsid w:val="39E61106"/>
    <w:rsid w:val="39F02433"/>
    <w:rsid w:val="39FC6C85"/>
    <w:rsid w:val="3A033549"/>
    <w:rsid w:val="3A121975"/>
    <w:rsid w:val="3A253B5C"/>
    <w:rsid w:val="3A2F2EE2"/>
    <w:rsid w:val="3A2F6E47"/>
    <w:rsid w:val="3A655FB2"/>
    <w:rsid w:val="3A6A767D"/>
    <w:rsid w:val="3A7523E6"/>
    <w:rsid w:val="3A792D38"/>
    <w:rsid w:val="3AAF7B70"/>
    <w:rsid w:val="3AB42A96"/>
    <w:rsid w:val="3ABE0A76"/>
    <w:rsid w:val="3AE10AFA"/>
    <w:rsid w:val="3AE3204D"/>
    <w:rsid w:val="3B014A93"/>
    <w:rsid w:val="3B320E8D"/>
    <w:rsid w:val="3B3616FD"/>
    <w:rsid w:val="3B3763D1"/>
    <w:rsid w:val="3B401F03"/>
    <w:rsid w:val="3B491DD3"/>
    <w:rsid w:val="3B582E1E"/>
    <w:rsid w:val="3B5B576D"/>
    <w:rsid w:val="3B5D58D4"/>
    <w:rsid w:val="3B6816D8"/>
    <w:rsid w:val="3B697CF5"/>
    <w:rsid w:val="3B783AC3"/>
    <w:rsid w:val="3B7848F3"/>
    <w:rsid w:val="3B853517"/>
    <w:rsid w:val="3B8E31E3"/>
    <w:rsid w:val="3B935CDD"/>
    <w:rsid w:val="3B971BE6"/>
    <w:rsid w:val="3B9755D7"/>
    <w:rsid w:val="3BA23004"/>
    <w:rsid w:val="3BA47BA1"/>
    <w:rsid w:val="3BDD4151"/>
    <w:rsid w:val="3C0C4329"/>
    <w:rsid w:val="3C0E030A"/>
    <w:rsid w:val="3C16040A"/>
    <w:rsid w:val="3C2F1D1B"/>
    <w:rsid w:val="3C763519"/>
    <w:rsid w:val="3C8041A7"/>
    <w:rsid w:val="3C9031B9"/>
    <w:rsid w:val="3CAB099C"/>
    <w:rsid w:val="3CAF17E7"/>
    <w:rsid w:val="3CB23BBC"/>
    <w:rsid w:val="3CB52AF5"/>
    <w:rsid w:val="3CC01BC6"/>
    <w:rsid w:val="3CDA245A"/>
    <w:rsid w:val="3CEE0A37"/>
    <w:rsid w:val="3CF1603F"/>
    <w:rsid w:val="3CF950D8"/>
    <w:rsid w:val="3D0B619B"/>
    <w:rsid w:val="3D0C6BB9"/>
    <w:rsid w:val="3D164CBE"/>
    <w:rsid w:val="3D1D0DC6"/>
    <w:rsid w:val="3D295850"/>
    <w:rsid w:val="3D343A76"/>
    <w:rsid w:val="3D3703C7"/>
    <w:rsid w:val="3D371198"/>
    <w:rsid w:val="3D3C05D3"/>
    <w:rsid w:val="3D483969"/>
    <w:rsid w:val="3D4E66AD"/>
    <w:rsid w:val="3D5E72E1"/>
    <w:rsid w:val="3D6562C9"/>
    <w:rsid w:val="3D6E3062"/>
    <w:rsid w:val="3D7F21CE"/>
    <w:rsid w:val="3D845004"/>
    <w:rsid w:val="3D8517BA"/>
    <w:rsid w:val="3D883510"/>
    <w:rsid w:val="3D8C3369"/>
    <w:rsid w:val="3D950CBD"/>
    <w:rsid w:val="3D9F76BF"/>
    <w:rsid w:val="3DAA0180"/>
    <w:rsid w:val="3DB23AF4"/>
    <w:rsid w:val="3DD340EC"/>
    <w:rsid w:val="3DE50E6C"/>
    <w:rsid w:val="3DF0662A"/>
    <w:rsid w:val="3E0E5BB0"/>
    <w:rsid w:val="3E1C3B38"/>
    <w:rsid w:val="3E3A750F"/>
    <w:rsid w:val="3E491824"/>
    <w:rsid w:val="3E4C4F04"/>
    <w:rsid w:val="3E5D51F2"/>
    <w:rsid w:val="3E615292"/>
    <w:rsid w:val="3E780225"/>
    <w:rsid w:val="3E840A3D"/>
    <w:rsid w:val="3E923FE9"/>
    <w:rsid w:val="3EAA270B"/>
    <w:rsid w:val="3EB05EF1"/>
    <w:rsid w:val="3ECD05CA"/>
    <w:rsid w:val="3EE55913"/>
    <w:rsid w:val="3EED6196"/>
    <w:rsid w:val="3EF75647"/>
    <w:rsid w:val="3EFB6EE5"/>
    <w:rsid w:val="3EFD2AC1"/>
    <w:rsid w:val="3EFE6A8B"/>
    <w:rsid w:val="3F10435E"/>
    <w:rsid w:val="3F29225B"/>
    <w:rsid w:val="3F3372C6"/>
    <w:rsid w:val="3F3D7BE8"/>
    <w:rsid w:val="3F5209D1"/>
    <w:rsid w:val="3F660E74"/>
    <w:rsid w:val="3F71488F"/>
    <w:rsid w:val="3F86087E"/>
    <w:rsid w:val="3FA07A8C"/>
    <w:rsid w:val="3FE673A7"/>
    <w:rsid w:val="3FFC248D"/>
    <w:rsid w:val="400A2F55"/>
    <w:rsid w:val="40307C5E"/>
    <w:rsid w:val="405465FD"/>
    <w:rsid w:val="40647F06"/>
    <w:rsid w:val="4070745F"/>
    <w:rsid w:val="40713C8B"/>
    <w:rsid w:val="4079618D"/>
    <w:rsid w:val="407A6407"/>
    <w:rsid w:val="40897515"/>
    <w:rsid w:val="409940E6"/>
    <w:rsid w:val="40A823FF"/>
    <w:rsid w:val="40AE0330"/>
    <w:rsid w:val="40B732E0"/>
    <w:rsid w:val="40BC6B48"/>
    <w:rsid w:val="40DC2D46"/>
    <w:rsid w:val="40DD6579"/>
    <w:rsid w:val="410A5D60"/>
    <w:rsid w:val="413B1439"/>
    <w:rsid w:val="415131CB"/>
    <w:rsid w:val="41560DD0"/>
    <w:rsid w:val="415702E0"/>
    <w:rsid w:val="4159130B"/>
    <w:rsid w:val="416C5E78"/>
    <w:rsid w:val="41814577"/>
    <w:rsid w:val="418A40DA"/>
    <w:rsid w:val="41A75102"/>
    <w:rsid w:val="41A7646C"/>
    <w:rsid w:val="41B31CF9"/>
    <w:rsid w:val="41D60885"/>
    <w:rsid w:val="41DF69BD"/>
    <w:rsid w:val="420049FD"/>
    <w:rsid w:val="42054F0F"/>
    <w:rsid w:val="42071629"/>
    <w:rsid w:val="42194C89"/>
    <w:rsid w:val="421A1C49"/>
    <w:rsid w:val="423A3BCC"/>
    <w:rsid w:val="423B30A8"/>
    <w:rsid w:val="42535488"/>
    <w:rsid w:val="42562624"/>
    <w:rsid w:val="426B5D0D"/>
    <w:rsid w:val="427746B3"/>
    <w:rsid w:val="427A3A47"/>
    <w:rsid w:val="427E6FF7"/>
    <w:rsid w:val="42870A90"/>
    <w:rsid w:val="429E2606"/>
    <w:rsid w:val="42B4071F"/>
    <w:rsid w:val="42BA2CCA"/>
    <w:rsid w:val="42C46384"/>
    <w:rsid w:val="430C7F46"/>
    <w:rsid w:val="43150DBB"/>
    <w:rsid w:val="431C38CE"/>
    <w:rsid w:val="43282273"/>
    <w:rsid w:val="432B0845"/>
    <w:rsid w:val="432B52F7"/>
    <w:rsid w:val="432B5830"/>
    <w:rsid w:val="43367C06"/>
    <w:rsid w:val="433A6FE6"/>
    <w:rsid w:val="43431778"/>
    <w:rsid w:val="434844DE"/>
    <w:rsid w:val="4350713C"/>
    <w:rsid w:val="43607D93"/>
    <w:rsid w:val="436653E0"/>
    <w:rsid w:val="436E72E2"/>
    <w:rsid w:val="437833E7"/>
    <w:rsid w:val="438230AB"/>
    <w:rsid w:val="438F3CDD"/>
    <w:rsid w:val="43A66FCE"/>
    <w:rsid w:val="43B22E88"/>
    <w:rsid w:val="43BB49FE"/>
    <w:rsid w:val="43BF3FB9"/>
    <w:rsid w:val="43C33DCA"/>
    <w:rsid w:val="43C346CA"/>
    <w:rsid w:val="43C35C1B"/>
    <w:rsid w:val="43D75300"/>
    <w:rsid w:val="43E56907"/>
    <w:rsid w:val="43ED46D7"/>
    <w:rsid w:val="43F2077F"/>
    <w:rsid w:val="43FB0A8D"/>
    <w:rsid w:val="440467FC"/>
    <w:rsid w:val="4409050C"/>
    <w:rsid w:val="440B10FC"/>
    <w:rsid w:val="441C1C24"/>
    <w:rsid w:val="441F55E4"/>
    <w:rsid w:val="4440393A"/>
    <w:rsid w:val="4477557D"/>
    <w:rsid w:val="44797F00"/>
    <w:rsid w:val="448B3E4F"/>
    <w:rsid w:val="448F2567"/>
    <w:rsid w:val="4499153B"/>
    <w:rsid w:val="44A616A1"/>
    <w:rsid w:val="44B459CC"/>
    <w:rsid w:val="44BC3FEE"/>
    <w:rsid w:val="44C33ACC"/>
    <w:rsid w:val="44C935E1"/>
    <w:rsid w:val="44CD14E0"/>
    <w:rsid w:val="44DE20BF"/>
    <w:rsid w:val="44EC6B76"/>
    <w:rsid w:val="44F75334"/>
    <w:rsid w:val="45043F93"/>
    <w:rsid w:val="4515575F"/>
    <w:rsid w:val="45220687"/>
    <w:rsid w:val="452F5B3A"/>
    <w:rsid w:val="45344BF2"/>
    <w:rsid w:val="4537637C"/>
    <w:rsid w:val="454406F1"/>
    <w:rsid w:val="455A27D4"/>
    <w:rsid w:val="457272D0"/>
    <w:rsid w:val="45737E49"/>
    <w:rsid w:val="457C1AF1"/>
    <w:rsid w:val="45857895"/>
    <w:rsid w:val="458946E9"/>
    <w:rsid w:val="45B147A1"/>
    <w:rsid w:val="45CB49F3"/>
    <w:rsid w:val="45D205E0"/>
    <w:rsid w:val="45F955F7"/>
    <w:rsid w:val="45FB14C5"/>
    <w:rsid w:val="460C7B52"/>
    <w:rsid w:val="46121554"/>
    <w:rsid w:val="46164604"/>
    <w:rsid w:val="461F17AF"/>
    <w:rsid w:val="46363FA1"/>
    <w:rsid w:val="464C306C"/>
    <w:rsid w:val="465852A6"/>
    <w:rsid w:val="466F11C7"/>
    <w:rsid w:val="468D6EA3"/>
    <w:rsid w:val="469E55F6"/>
    <w:rsid w:val="46B61793"/>
    <w:rsid w:val="46C03441"/>
    <w:rsid w:val="46C04E5C"/>
    <w:rsid w:val="46C53F32"/>
    <w:rsid w:val="46CA3945"/>
    <w:rsid w:val="46CD6556"/>
    <w:rsid w:val="46CF693C"/>
    <w:rsid w:val="46D7195E"/>
    <w:rsid w:val="46D955A7"/>
    <w:rsid w:val="46E0403D"/>
    <w:rsid w:val="471274C2"/>
    <w:rsid w:val="47133957"/>
    <w:rsid w:val="471C7124"/>
    <w:rsid w:val="4723695D"/>
    <w:rsid w:val="47261108"/>
    <w:rsid w:val="472E597E"/>
    <w:rsid w:val="474A2312"/>
    <w:rsid w:val="47600578"/>
    <w:rsid w:val="47635578"/>
    <w:rsid w:val="4779329E"/>
    <w:rsid w:val="477E06B3"/>
    <w:rsid w:val="477F442B"/>
    <w:rsid w:val="479B0BA0"/>
    <w:rsid w:val="47A07E0C"/>
    <w:rsid w:val="47B576EE"/>
    <w:rsid w:val="47BF0CC8"/>
    <w:rsid w:val="47C86F90"/>
    <w:rsid w:val="47D96394"/>
    <w:rsid w:val="47EC7D13"/>
    <w:rsid w:val="47EF2935"/>
    <w:rsid w:val="481C6EE1"/>
    <w:rsid w:val="481D6B0C"/>
    <w:rsid w:val="48376AB4"/>
    <w:rsid w:val="4842667B"/>
    <w:rsid w:val="48435459"/>
    <w:rsid w:val="48585234"/>
    <w:rsid w:val="48585B34"/>
    <w:rsid w:val="48617AEA"/>
    <w:rsid w:val="486C4F5F"/>
    <w:rsid w:val="4870272E"/>
    <w:rsid w:val="48AE671E"/>
    <w:rsid w:val="48B1464B"/>
    <w:rsid w:val="48BE0884"/>
    <w:rsid w:val="48BF5427"/>
    <w:rsid w:val="48C040AA"/>
    <w:rsid w:val="48DC7D87"/>
    <w:rsid w:val="48EE5D90"/>
    <w:rsid w:val="48FA4F21"/>
    <w:rsid w:val="48FB73C8"/>
    <w:rsid w:val="49090450"/>
    <w:rsid w:val="49415E3C"/>
    <w:rsid w:val="494A2E8F"/>
    <w:rsid w:val="495F4514"/>
    <w:rsid w:val="49683266"/>
    <w:rsid w:val="498843CF"/>
    <w:rsid w:val="49AE7234"/>
    <w:rsid w:val="49BE129E"/>
    <w:rsid w:val="49C0532A"/>
    <w:rsid w:val="49C32CF5"/>
    <w:rsid w:val="49CD6A5C"/>
    <w:rsid w:val="49D17C2D"/>
    <w:rsid w:val="49D561EC"/>
    <w:rsid w:val="49DC7715"/>
    <w:rsid w:val="4A023139"/>
    <w:rsid w:val="4A072E04"/>
    <w:rsid w:val="4A1277D9"/>
    <w:rsid w:val="4A27689B"/>
    <w:rsid w:val="4A2B058E"/>
    <w:rsid w:val="4A3B25F9"/>
    <w:rsid w:val="4A482542"/>
    <w:rsid w:val="4A536BCB"/>
    <w:rsid w:val="4A592213"/>
    <w:rsid w:val="4A5E47CC"/>
    <w:rsid w:val="4A71383E"/>
    <w:rsid w:val="4A735A25"/>
    <w:rsid w:val="4A783D80"/>
    <w:rsid w:val="4A7B576F"/>
    <w:rsid w:val="4A852A36"/>
    <w:rsid w:val="4A9140FF"/>
    <w:rsid w:val="4A9F2732"/>
    <w:rsid w:val="4AA368EC"/>
    <w:rsid w:val="4ACC3E2B"/>
    <w:rsid w:val="4AD40244"/>
    <w:rsid w:val="4AEC7372"/>
    <w:rsid w:val="4AEF3676"/>
    <w:rsid w:val="4AFB5971"/>
    <w:rsid w:val="4B035107"/>
    <w:rsid w:val="4B0D32E2"/>
    <w:rsid w:val="4B0D4E47"/>
    <w:rsid w:val="4B1347E5"/>
    <w:rsid w:val="4B137A40"/>
    <w:rsid w:val="4B187071"/>
    <w:rsid w:val="4B2012CE"/>
    <w:rsid w:val="4B715842"/>
    <w:rsid w:val="4B7C1CC0"/>
    <w:rsid w:val="4B8245DA"/>
    <w:rsid w:val="4BA24238"/>
    <w:rsid w:val="4BA754D9"/>
    <w:rsid w:val="4BAD7871"/>
    <w:rsid w:val="4BBC5C4E"/>
    <w:rsid w:val="4BCC79C4"/>
    <w:rsid w:val="4BE36845"/>
    <w:rsid w:val="4BFD0FED"/>
    <w:rsid w:val="4BFE4852"/>
    <w:rsid w:val="4BFE6267"/>
    <w:rsid w:val="4C007C3F"/>
    <w:rsid w:val="4C2C2250"/>
    <w:rsid w:val="4C4A0649"/>
    <w:rsid w:val="4C567718"/>
    <w:rsid w:val="4C7708FD"/>
    <w:rsid w:val="4C9E49B2"/>
    <w:rsid w:val="4CA76B27"/>
    <w:rsid w:val="4CAB40AA"/>
    <w:rsid w:val="4CAF7561"/>
    <w:rsid w:val="4CCD186E"/>
    <w:rsid w:val="4CD2055C"/>
    <w:rsid w:val="4CD356E0"/>
    <w:rsid w:val="4CD7062B"/>
    <w:rsid w:val="4CE470D3"/>
    <w:rsid w:val="4CEA0CFB"/>
    <w:rsid w:val="4D003831"/>
    <w:rsid w:val="4D095CC2"/>
    <w:rsid w:val="4D1C7F38"/>
    <w:rsid w:val="4D1F7DF0"/>
    <w:rsid w:val="4D250793"/>
    <w:rsid w:val="4D2A18DE"/>
    <w:rsid w:val="4D2D60B9"/>
    <w:rsid w:val="4D391625"/>
    <w:rsid w:val="4D3F453D"/>
    <w:rsid w:val="4D6632B1"/>
    <w:rsid w:val="4D665E71"/>
    <w:rsid w:val="4D726C18"/>
    <w:rsid w:val="4D9E5C73"/>
    <w:rsid w:val="4D9F3131"/>
    <w:rsid w:val="4DA651AE"/>
    <w:rsid w:val="4DC969B3"/>
    <w:rsid w:val="4DCA28A4"/>
    <w:rsid w:val="4DCB2A58"/>
    <w:rsid w:val="4DEC4FB0"/>
    <w:rsid w:val="4DFA480C"/>
    <w:rsid w:val="4E075D8A"/>
    <w:rsid w:val="4E0B5312"/>
    <w:rsid w:val="4E4769A2"/>
    <w:rsid w:val="4E506598"/>
    <w:rsid w:val="4E513743"/>
    <w:rsid w:val="4E5925DB"/>
    <w:rsid w:val="4E5A0417"/>
    <w:rsid w:val="4E611B9A"/>
    <w:rsid w:val="4E6C07EA"/>
    <w:rsid w:val="4E73286E"/>
    <w:rsid w:val="4E9609D8"/>
    <w:rsid w:val="4E9E7AAE"/>
    <w:rsid w:val="4E9F0C87"/>
    <w:rsid w:val="4EB127EA"/>
    <w:rsid w:val="4EBA70BD"/>
    <w:rsid w:val="4EBA746F"/>
    <w:rsid w:val="4ECC0D3D"/>
    <w:rsid w:val="4ECC660A"/>
    <w:rsid w:val="4EF525D6"/>
    <w:rsid w:val="4F0A7EDE"/>
    <w:rsid w:val="4F29214E"/>
    <w:rsid w:val="4F5B33BA"/>
    <w:rsid w:val="4F7A3479"/>
    <w:rsid w:val="4F991859"/>
    <w:rsid w:val="4F9F68AD"/>
    <w:rsid w:val="4FA107F2"/>
    <w:rsid w:val="4FA267CB"/>
    <w:rsid w:val="4FAC7DC3"/>
    <w:rsid w:val="4FB27BB5"/>
    <w:rsid w:val="4FC44945"/>
    <w:rsid w:val="4FC62A8C"/>
    <w:rsid w:val="4FC913EA"/>
    <w:rsid w:val="4FCF2ACA"/>
    <w:rsid w:val="4FD83119"/>
    <w:rsid w:val="4FE20F0D"/>
    <w:rsid w:val="4FE85BD4"/>
    <w:rsid w:val="4FF358B1"/>
    <w:rsid w:val="4FFE6835"/>
    <w:rsid w:val="500278C5"/>
    <w:rsid w:val="5005507B"/>
    <w:rsid w:val="50281264"/>
    <w:rsid w:val="502B33A2"/>
    <w:rsid w:val="5035654E"/>
    <w:rsid w:val="504639A3"/>
    <w:rsid w:val="50504C4B"/>
    <w:rsid w:val="506D0500"/>
    <w:rsid w:val="50772144"/>
    <w:rsid w:val="507B22BA"/>
    <w:rsid w:val="508A6399"/>
    <w:rsid w:val="508B0AF1"/>
    <w:rsid w:val="509C6E7C"/>
    <w:rsid w:val="50A05456"/>
    <w:rsid w:val="50A815FE"/>
    <w:rsid w:val="50C76717"/>
    <w:rsid w:val="50E0152B"/>
    <w:rsid w:val="51016C27"/>
    <w:rsid w:val="51122D44"/>
    <w:rsid w:val="51153507"/>
    <w:rsid w:val="511B3417"/>
    <w:rsid w:val="512A5408"/>
    <w:rsid w:val="51436893"/>
    <w:rsid w:val="514B60EC"/>
    <w:rsid w:val="51544699"/>
    <w:rsid w:val="51553621"/>
    <w:rsid w:val="515F3A7B"/>
    <w:rsid w:val="5162104E"/>
    <w:rsid w:val="5175687A"/>
    <w:rsid w:val="51825244"/>
    <w:rsid w:val="51A46843"/>
    <w:rsid w:val="51AE428B"/>
    <w:rsid w:val="51D90B0E"/>
    <w:rsid w:val="51E111B6"/>
    <w:rsid w:val="51F53C68"/>
    <w:rsid w:val="5200736B"/>
    <w:rsid w:val="52067C23"/>
    <w:rsid w:val="521A1920"/>
    <w:rsid w:val="521C465F"/>
    <w:rsid w:val="5234135F"/>
    <w:rsid w:val="524F5CF2"/>
    <w:rsid w:val="52506D4F"/>
    <w:rsid w:val="526B217C"/>
    <w:rsid w:val="526D1F45"/>
    <w:rsid w:val="527E1028"/>
    <w:rsid w:val="52916F1A"/>
    <w:rsid w:val="529945F3"/>
    <w:rsid w:val="52996A7D"/>
    <w:rsid w:val="529B3274"/>
    <w:rsid w:val="52C17D00"/>
    <w:rsid w:val="52CB63DF"/>
    <w:rsid w:val="52DB5553"/>
    <w:rsid w:val="531044E6"/>
    <w:rsid w:val="53137801"/>
    <w:rsid w:val="5322283B"/>
    <w:rsid w:val="534157F1"/>
    <w:rsid w:val="535D3873"/>
    <w:rsid w:val="536B2FE6"/>
    <w:rsid w:val="538F3C48"/>
    <w:rsid w:val="53913289"/>
    <w:rsid w:val="539D2159"/>
    <w:rsid w:val="539F77FF"/>
    <w:rsid w:val="53A039CC"/>
    <w:rsid w:val="53A1505A"/>
    <w:rsid w:val="53A47025"/>
    <w:rsid w:val="53B9306E"/>
    <w:rsid w:val="53C01A47"/>
    <w:rsid w:val="53C241CE"/>
    <w:rsid w:val="53F51CFD"/>
    <w:rsid w:val="540339DE"/>
    <w:rsid w:val="54063E08"/>
    <w:rsid w:val="54072661"/>
    <w:rsid w:val="540A6FA1"/>
    <w:rsid w:val="540A77A2"/>
    <w:rsid w:val="540D0BB3"/>
    <w:rsid w:val="543437E8"/>
    <w:rsid w:val="544E765F"/>
    <w:rsid w:val="547B46EA"/>
    <w:rsid w:val="54843081"/>
    <w:rsid w:val="548A5BF9"/>
    <w:rsid w:val="549A54AC"/>
    <w:rsid w:val="549C2D9C"/>
    <w:rsid w:val="54B35F7D"/>
    <w:rsid w:val="54C867F3"/>
    <w:rsid w:val="54C93498"/>
    <w:rsid w:val="54D23DEC"/>
    <w:rsid w:val="54E75AF6"/>
    <w:rsid w:val="54E80EA4"/>
    <w:rsid w:val="55214023"/>
    <w:rsid w:val="55262800"/>
    <w:rsid w:val="5527132A"/>
    <w:rsid w:val="55276C7B"/>
    <w:rsid w:val="55382027"/>
    <w:rsid w:val="556914AB"/>
    <w:rsid w:val="55733821"/>
    <w:rsid w:val="557912EA"/>
    <w:rsid w:val="557B5277"/>
    <w:rsid w:val="559B174B"/>
    <w:rsid w:val="55C60090"/>
    <w:rsid w:val="55CE055B"/>
    <w:rsid w:val="55CE0CF4"/>
    <w:rsid w:val="55D20672"/>
    <w:rsid w:val="55D32512"/>
    <w:rsid w:val="55DF4BE8"/>
    <w:rsid w:val="55E14DD3"/>
    <w:rsid w:val="55E31AE3"/>
    <w:rsid w:val="55EA5F01"/>
    <w:rsid w:val="55FB18B5"/>
    <w:rsid w:val="560307EB"/>
    <w:rsid w:val="56044DC2"/>
    <w:rsid w:val="560C332E"/>
    <w:rsid w:val="561A36DD"/>
    <w:rsid w:val="5656765D"/>
    <w:rsid w:val="56723AD9"/>
    <w:rsid w:val="56754B5B"/>
    <w:rsid w:val="567C7047"/>
    <w:rsid w:val="5684174D"/>
    <w:rsid w:val="569210B7"/>
    <w:rsid w:val="569A4794"/>
    <w:rsid w:val="56AD2F30"/>
    <w:rsid w:val="56AE5351"/>
    <w:rsid w:val="56B22A9C"/>
    <w:rsid w:val="56BF4B95"/>
    <w:rsid w:val="56D979A5"/>
    <w:rsid w:val="57062473"/>
    <w:rsid w:val="571C57F3"/>
    <w:rsid w:val="571D1CAB"/>
    <w:rsid w:val="572172AD"/>
    <w:rsid w:val="572E6B98"/>
    <w:rsid w:val="573C4502"/>
    <w:rsid w:val="5765719A"/>
    <w:rsid w:val="57664CC0"/>
    <w:rsid w:val="577108D4"/>
    <w:rsid w:val="578C6E05"/>
    <w:rsid w:val="579D75CB"/>
    <w:rsid w:val="57B72A76"/>
    <w:rsid w:val="57B851ED"/>
    <w:rsid w:val="57CA41EB"/>
    <w:rsid w:val="57D1482F"/>
    <w:rsid w:val="57DC5214"/>
    <w:rsid w:val="57F624E8"/>
    <w:rsid w:val="581026FC"/>
    <w:rsid w:val="58245193"/>
    <w:rsid w:val="582836A2"/>
    <w:rsid w:val="58457759"/>
    <w:rsid w:val="585E71A5"/>
    <w:rsid w:val="5862495B"/>
    <w:rsid w:val="58683662"/>
    <w:rsid w:val="589376F7"/>
    <w:rsid w:val="58A77952"/>
    <w:rsid w:val="58C3426C"/>
    <w:rsid w:val="58CC267F"/>
    <w:rsid w:val="58CF5213"/>
    <w:rsid w:val="58D04AE7"/>
    <w:rsid w:val="58E14F46"/>
    <w:rsid w:val="58F06F55"/>
    <w:rsid w:val="58F3077A"/>
    <w:rsid w:val="58F9040C"/>
    <w:rsid w:val="5902799B"/>
    <w:rsid w:val="59123710"/>
    <w:rsid w:val="59145852"/>
    <w:rsid w:val="59163876"/>
    <w:rsid w:val="592212C0"/>
    <w:rsid w:val="5923465F"/>
    <w:rsid w:val="592F6606"/>
    <w:rsid w:val="593111DC"/>
    <w:rsid w:val="593A75C2"/>
    <w:rsid w:val="59494F5A"/>
    <w:rsid w:val="595079D6"/>
    <w:rsid w:val="59795220"/>
    <w:rsid w:val="59907AF6"/>
    <w:rsid w:val="59A170F7"/>
    <w:rsid w:val="59A93F65"/>
    <w:rsid w:val="59AA08C4"/>
    <w:rsid w:val="59CC1A83"/>
    <w:rsid w:val="59DB3E06"/>
    <w:rsid w:val="59E41262"/>
    <w:rsid w:val="59E720E8"/>
    <w:rsid w:val="59FF63EB"/>
    <w:rsid w:val="5A252C10"/>
    <w:rsid w:val="5A283E83"/>
    <w:rsid w:val="5A3A6AAE"/>
    <w:rsid w:val="5A3C747D"/>
    <w:rsid w:val="5A415526"/>
    <w:rsid w:val="5A4B0393"/>
    <w:rsid w:val="5A6A6727"/>
    <w:rsid w:val="5A874076"/>
    <w:rsid w:val="5A9662A1"/>
    <w:rsid w:val="5AA1498D"/>
    <w:rsid w:val="5AA41CEA"/>
    <w:rsid w:val="5ABD70AB"/>
    <w:rsid w:val="5ABE2233"/>
    <w:rsid w:val="5AC73436"/>
    <w:rsid w:val="5AEB0587"/>
    <w:rsid w:val="5AEE75AA"/>
    <w:rsid w:val="5AFB639C"/>
    <w:rsid w:val="5B0031FB"/>
    <w:rsid w:val="5B022AC1"/>
    <w:rsid w:val="5B056434"/>
    <w:rsid w:val="5B0D59C4"/>
    <w:rsid w:val="5B112FE6"/>
    <w:rsid w:val="5B16746E"/>
    <w:rsid w:val="5B174BD9"/>
    <w:rsid w:val="5B1832E1"/>
    <w:rsid w:val="5B276D18"/>
    <w:rsid w:val="5B4256B7"/>
    <w:rsid w:val="5B4A6146"/>
    <w:rsid w:val="5B597737"/>
    <w:rsid w:val="5B621404"/>
    <w:rsid w:val="5B65337D"/>
    <w:rsid w:val="5B752102"/>
    <w:rsid w:val="5B773003"/>
    <w:rsid w:val="5B8F47E5"/>
    <w:rsid w:val="5B9D68C6"/>
    <w:rsid w:val="5B9E5670"/>
    <w:rsid w:val="5BA26C0E"/>
    <w:rsid w:val="5BA65DCC"/>
    <w:rsid w:val="5BB40BA6"/>
    <w:rsid w:val="5BC764F6"/>
    <w:rsid w:val="5BD01244"/>
    <w:rsid w:val="5BD12F11"/>
    <w:rsid w:val="5BDC37A3"/>
    <w:rsid w:val="5BDF5D95"/>
    <w:rsid w:val="5BED3473"/>
    <w:rsid w:val="5BF22FC6"/>
    <w:rsid w:val="5C1C63A8"/>
    <w:rsid w:val="5C285A3E"/>
    <w:rsid w:val="5C29540E"/>
    <w:rsid w:val="5C516770"/>
    <w:rsid w:val="5C5D48E3"/>
    <w:rsid w:val="5C766E4A"/>
    <w:rsid w:val="5C783DC5"/>
    <w:rsid w:val="5C891B7C"/>
    <w:rsid w:val="5C9950C8"/>
    <w:rsid w:val="5C9E454D"/>
    <w:rsid w:val="5CA37228"/>
    <w:rsid w:val="5CA72E3F"/>
    <w:rsid w:val="5CB079D7"/>
    <w:rsid w:val="5CB868F2"/>
    <w:rsid w:val="5CDB70F2"/>
    <w:rsid w:val="5D1D14DE"/>
    <w:rsid w:val="5D272491"/>
    <w:rsid w:val="5D2C7751"/>
    <w:rsid w:val="5D2E6280"/>
    <w:rsid w:val="5D343B95"/>
    <w:rsid w:val="5D3D751A"/>
    <w:rsid w:val="5D804894"/>
    <w:rsid w:val="5D811E11"/>
    <w:rsid w:val="5D877544"/>
    <w:rsid w:val="5DAA3E0E"/>
    <w:rsid w:val="5DAF2F7B"/>
    <w:rsid w:val="5DBF0F58"/>
    <w:rsid w:val="5DCD5A99"/>
    <w:rsid w:val="5DCE7E16"/>
    <w:rsid w:val="5DD1377F"/>
    <w:rsid w:val="5DD21301"/>
    <w:rsid w:val="5DEF412A"/>
    <w:rsid w:val="5DF136A3"/>
    <w:rsid w:val="5DF87A0F"/>
    <w:rsid w:val="5E062D59"/>
    <w:rsid w:val="5E1C51EC"/>
    <w:rsid w:val="5E364C03"/>
    <w:rsid w:val="5E4332B3"/>
    <w:rsid w:val="5E4A2B2E"/>
    <w:rsid w:val="5E5C75F5"/>
    <w:rsid w:val="5E7E4670"/>
    <w:rsid w:val="5E8E550E"/>
    <w:rsid w:val="5E983162"/>
    <w:rsid w:val="5E99463E"/>
    <w:rsid w:val="5EA048F9"/>
    <w:rsid w:val="5EA54320"/>
    <w:rsid w:val="5EB237E6"/>
    <w:rsid w:val="5ECC4315"/>
    <w:rsid w:val="5EE404C5"/>
    <w:rsid w:val="5EFC18D7"/>
    <w:rsid w:val="5F092816"/>
    <w:rsid w:val="5F103A21"/>
    <w:rsid w:val="5F1A2B43"/>
    <w:rsid w:val="5F1D035A"/>
    <w:rsid w:val="5F253005"/>
    <w:rsid w:val="5F285AE4"/>
    <w:rsid w:val="5F322057"/>
    <w:rsid w:val="5F322752"/>
    <w:rsid w:val="5F447E3D"/>
    <w:rsid w:val="5F58578F"/>
    <w:rsid w:val="5F631071"/>
    <w:rsid w:val="5F796DF2"/>
    <w:rsid w:val="5F7E2339"/>
    <w:rsid w:val="5F9F3EE1"/>
    <w:rsid w:val="5FA365D5"/>
    <w:rsid w:val="5FA56DDB"/>
    <w:rsid w:val="5FB837BB"/>
    <w:rsid w:val="5FBA204D"/>
    <w:rsid w:val="5FC13DAD"/>
    <w:rsid w:val="5FD163C4"/>
    <w:rsid w:val="5FDF7B54"/>
    <w:rsid w:val="5FE3356B"/>
    <w:rsid w:val="5FE82AA9"/>
    <w:rsid w:val="5FED5F7E"/>
    <w:rsid w:val="5FEE5745"/>
    <w:rsid w:val="60085DAB"/>
    <w:rsid w:val="600D75AD"/>
    <w:rsid w:val="601367AA"/>
    <w:rsid w:val="601377FC"/>
    <w:rsid w:val="6025396A"/>
    <w:rsid w:val="602A71D2"/>
    <w:rsid w:val="603138EA"/>
    <w:rsid w:val="6045400C"/>
    <w:rsid w:val="604E1976"/>
    <w:rsid w:val="6055425E"/>
    <w:rsid w:val="605E50CE"/>
    <w:rsid w:val="605F6415"/>
    <w:rsid w:val="606A01E6"/>
    <w:rsid w:val="606B77E0"/>
    <w:rsid w:val="608A282A"/>
    <w:rsid w:val="608D0753"/>
    <w:rsid w:val="608F727F"/>
    <w:rsid w:val="60B77FA4"/>
    <w:rsid w:val="60C457EE"/>
    <w:rsid w:val="60D10950"/>
    <w:rsid w:val="60E31C84"/>
    <w:rsid w:val="60E814EB"/>
    <w:rsid w:val="60F5392F"/>
    <w:rsid w:val="60FE422C"/>
    <w:rsid w:val="61053764"/>
    <w:rsid w:val="61316CF9"/>
    <w:rsid w:val="61393EFB"/>
    <w:rsid w:val="613F7BEC"/>
    <w:rsid w:val="614537CD"/>
    <w:rsid w:val="6149217F"/>
    <w:rsid w:val="61495DD0"/>
    <w:rsid w:val="614E41B0"/>
    <w:rsid w:val="615501AE"/>
    <w:rsid w:val="616616D2"/>
    <w:rsid w:val="61706E67"/>
    <w:rsid w:val="617A1A94"/>
    <w:rsid w:val="617C3A5E"/>
    <w:rsid w:val="617C7D2B"/>
    <w:rsid w:val="61994C6D"/>
    <w:rsid w:val="61A46B11"/>
    <w:rsid w:val="61AE1315"/>
    <w:rsid w:val="61D01CF8"/>
    <w:rsid w:val="61E737AA"/>
    <w:rsid w:val="61E84E43"/>
    <w:rsid w:val="6208709F"/>
    <w:rsid w:val="62206ADF"/>
    <w:rsid w:val="62214DFA"/>
    <w:rsid w:val="62364782"/>
    <w:rsid w:val="624833DC"/>
    <w:rsid w:val="625614D2"/>
    <w:rsid w:val="626544F2"/>
    <w:rsid w:val="62752C1C"/>
    <w:rsid w:val="62830E1C"/>
    <w:rsid w:val="62AA26A1"/>
    <w:rsid w:val="62C80B35"/>
    <w:rsid w:val="62CC4571"/>
    <w:rsid w:val="62FC712E"/>
    <w:rsid w:val="62FD05C2"/>
    <w:rsid w:val="630C6EA9"/>
    <w:rsid w:val="630F6834"/>
    <w:rsid w:val="632443AD"/>
    <w:rsid w:val="634942E6"/>
    <w:rsid w:val="63514A76"/>
    <w:rsid w:val="63656AFC"/>
    <w:rsid w:val="637403CC"/>
    <w:rsid w:val="637846F9"/>
    <w:rsid w:val="63917843"/>
    <w:rsid w:val="63A1212E"/>
    <w:rsid w:val="63A454EE"/>
    <w:rsid w:val="63A8314E"/>
    <w:rsid w:val="63BD0899"/>
    <w:rsid w:val="63D40BE9"/>
    <w:rsid w:val="63D60CF2"/>
    <w:rsid w:val="63E0211F"/>
    <w:rsid w:val="63F94D40"/>
    <w:rsid w:val="63FD12C8"/>
    <w:rsid w:val="64050106"/>
    <w:rsid w:val="640E2967"/>
    <w:rsid w:val="64287C1B"/>
    <w:rsid w:val="64364A89"/>
    <w:rsid w:val="64436AB5"/>
    <w:rsid w:val="644E185F"/>
    <w:rsid w:val="645E7BDA"/>
    <w:rsid w:val="648A0240"/>
    <w:rsid w:val="64963B81"/>
    <w:rsid w:val="64A04C33"/>
    <w:rsid w:val="64AA3A15"/>
    <w:rsid w:val="64BD5068"/>
    <w:rsid w:val="64C554BE"/>
    <w:rsid w:val="64CD45D0"/>
    <w:rsid w:val="64DF4E7D"/>
    <w:rsid w:val="64E56E1C"/>
    <w:rsid w:val="64FC6011"/>
    <w:rsid w:val="652A31DB"/>
    <w:rsid w:val="653463FD"/>
    <w:rsid w:val="65373578"/>
    <w:rsid w:val="65415EB7"/>
    <w:rsid w:val="65420B1A"/>
    <w:rsid w:val="65436A9C"/>
    <w:rsid w:val="657B402C"/>
    <w:rsid w:val="65A173AE"/>
    <w:rsid w:val="65D327C2"/>
    <w:rsid w:val="65DC0F6F"/>
    <w:rsid w:val="65E027BC"/>
    <w:rsid w:val="66281865"/>
    <w:rsid w:val="662B36E0"/>
    <w:rsid w:val="662C39C8"/>
    <w:rsid w:val="663629FF"/>
    <w:rsid w:val="663C7C5F"/>
    <w:rsid w:val="663D0790"/>
    <w:rsid w:val="665B6338"/>
    <w:rsid w:val="665B7D83"/>
    <w:rsid w:val="666431EA"/>
    <w:rsid w:val="669E4620"/>
    <w:rsid w:val="66BD7E36"/>
    <w:rsid w:val="66C22A14"/>
    <w:rsid w:val="66C3141F"/>
    <w:rsid w:val="66CC3515"/>
    <w:rsid w:val="66D81826"/>
    <w:rsid w:val="66F22E0A"/>
    <w:rsid w:val="67053AFC"/>
    <w:rsid w:val="671C1593"/>
    <w:rsid w:val="67265724"/>
    <w:rsid w:val="672C3AE2"/>
    <w:rsid w:val="67303483"/>
    <w:rsid w:val="673E2696"/>
    <w:rsid w:val="673F2C7A"/>
    <w:rsid w:val="67446DEC"/>
    <w:rsid w:val="6760172C"/>
    <w:rsid w:val="67680108"/>
    <w:rsid w:val="67725DFD"/>
    <w:rsid w:val="678D04E0"/>
    <w:rsid w:val="67B41AC4"/>
    <w:rsid w:val="67C560BE"/>
    <w:rsid w:val="67CC31E4"/>
    <w:rsid w:val="67D3733E"/>
    <w:rsid w:val="67D47004"/>
    <w:rsid w:val="67EB5499"/>
    <w:rsid w:val="67ED6375"/>
    <w:rsid w:val="67FB3C27"/>
    <w:rsid w:val="68030E0A"/>
    <w:rsid w:val="680A6139"/>
    <w:rsid w:val="680D6040"/>
    <w:rsid w:val="68177056"/>
    <w:rsid w:val="681F6961"/>
    <w:rsid w:val="682870D1"/>
    <w:rsid w:val="68610A2F"/>
    <w:rsid w:val="68612D68"/>
    <w:rsid w:val="68664B20"/>
    <w:rsid w:val="68727F42"/>
    <w:rsid w:val="6874548F"/>
    <w:rsid w:val="68805514"/>
    <w:rsid w:val="68991C3F"/>
    <w:rsid w:val="689A6B3D"/>
    <w:rsid w:val="689F5992"/>
    <w:rsid w:val="68A81BF4"/>
    <w:rsid w:val="68AB721C"/>
    <w:rsid w:val="68B021BE"/>
    <w:rsid w:val="68C405FA"/>
    <w:rsid w:val="68DC3258"/>
    <w:rsid w:val="68DE5385"/>
    <w:rsid w:val="68DF122C"/>
    <w:rsid w:val="68E92CAD"/>
    <w:rsid w:val="68FD5B33"/>
    <w:rsid w:val="69092490"/>
    <w:rsid w:val="69097014"/>
    <w:rsid w:val="691664EE"/>
    <w:rsid w:val="691B6B54"/>
    <w:rsid w:val="69313380"/>
    <w:rsid w:val="693A6C20"/>
    <w:rsid w:val="693B4E23"/>
    <w:rsid w:val="694B6EB9"/>
    <w:rsid w:val="694E2071"/>
    <w:rsid w:val="69613B48"/>
    <w:rsid w:val="697A3B33"/>
    <w:rsid w:val="69905DD7"/>
    <w:rsid w:val="6997151D"/>
    <w:rsid w:val="699D23D7"/>
    <w:rsid w:val="699E2456"/>
    <w:rsid w:val="69BE423C"/>
    <w:rsid w:val="69C24B64"/>
    <w:rsid w:val="69D211A4"/>
    <w:rsid w:val="69DD1E58"/>
    <w:rsid w:val="69E42540"/>
    <w:rsid w:val="69EF49DE"/>
    <w:rsid w:val="6A254F5A"/>
    <w:rsid w:val="6A257AFF"/>
    <w:rsid w:val="6A2A6BDA"/>
    <w:rsid w:val="6A324629"/>
    <w:rsid w:val="6A396EA9"/>
    <w:rsid w:val="6A3A44B6"/>
    <w:rsid w:val="6A42336B"/>
    <w:rsid w:val="6A485AEF"/>
    <w:rsid w:val="6A4B521B"/>
    <w:rsid w:val="6A675E4D"/>
    <w:rsid w:val="6A705D42"/>
    <w:rsid w:val="6A713A2E"/>
    <w:rsid w:val="6A782DA5"/>
    <w:rsid w:val="6A78576F"/>
    <w:rsid w:val="6A9B6465"/>
    <w:rsid w:val="6AB06526"/>
    <w:rsid w:val="6AB24B59"/>
    <w:rsid w:val="6AC15C71"/>
    <w:rsid w:val="6AC2028C"/>
    <w:rsid w:val="6ACD783B"/>
    <w:rsid w:val="6AD8207B"/>
    <w:rsid w:val="6ADD62AD"/>
    <w:rsid w:val="6AE078B7"/>
    <w:rsid w:val="6AEF5EFF"/>
    <w:rsid w:val="6AF01018"/>
    <w:rsid w:val="6AF02DC7"/>
    <w:rsid w:val="6B1E6F16"/>
    <w:rsid w:val="6B295AA1"/>
    <w:rsid w:val="6B322639"/>
    <w:rsid w:val="6B3724F2"/>
    <w:rsid w:val="6B454EC0"/>
    <w:rsid w:val="6B487D6B"/>
    <w:rsid w:val="6B5C3F06"/>
    <w:rsid w:val="6B637A3C"/>
    <w:rsid w:val="6B6A2B79"/>
    <w:rsid w:val="6B7A4F14"/>
    <w:rsid w:val="6B951E5C"/>
    <w:rsid w:val="6BAD5BF4"/>
    <w:rsid w:val="6BBF6F18"/>
    <w:rsid w:val="6BD758BC"/>
    <w:rsid w:val="6BE12B9A"/>
    <w:rsid w:val="6BE244AA"/>
    <w:rsid w:val="6BE350EA"/>
    <w:rsid w:val="6C033A1C"/>
    <w:rsid w:val="6C052E0C"/>
    <w:rsid w:val="6C111246"/>
    <w:rsid w:val="6C336698"/>
    <w:rsid w:val="6C427652"/>
    <w:rsid w:val="6C432EB8"/>
    <w:rsid w:val="6C472CF7"/>
    <w:rsid w:val="6C636C38"/>
    <w:rsid w:val="6C653CD7"/>
    <w:rsid w:val="6C717819"/>
    <w:rsid w:val="6C786982"/>
    <w:rsid w:val="6CA36342"/>
    <w:rsid w:val="6CA7196F"/>
    <w:rsid w:val="6CB2505C"/>
    <w:rsid w:val="6CBA7124"/>
    <w:rsid w:val="6CE801EE"/>
    <w:rsid w:val="6CE81FD1"/>
    <w:rsid w:val="6CF30EFC"/>
    <w:rsid w:val="6CFD6CF2"/>
    <w:rsid w:val="6D1E7AB0"/>
    <w:rsid w:val="6D2A3CB8"/>
    <w:rsid w:val="6D3726C0"/>
    <w:rsid w:val="6D3C13EF"/>
    <w:rsid w:val="6D417C28"/>
    <w:rsid w:val="6D566DCE"/>
    <w:rsid w:val="6D5E04BB"/>
    <w:rsid w:val="6D610768"/>
    <w:rsid w:val="6D615924"/>
    <w:rsid w:val="6D6758F6"/>
    <w:rsid w:val="6D70286F"/>
    <w:rsid w:val="6D8605B7"/>
    <w:rsid w:val="6D86469A"/>
    <w:rsid w:val="6DB12CE1"/>
    <w:rsid w:val="6DB27B28"/>
    <w:rsid w:val="6DB34098"/>
    <w:rsid w:val="6DB545B6"/>
    <w:rsid w:val="6DBE560D"/>
    <w:rsid w:val="6DC27953"/>
    <w:rsid w:val="6DD01EAE"/>
    <w:rsid w:val="6DD02104"/>
    <w:rsid w:val="6DD84FE3"/>
    <w:rsid w:val="6DDF2BA1"/>
    <w:rsid w:val="6DF0064C"/>
    <w:rsid w:val="6DF901E4"/>
    <w:rsid w:val="6E0C6D84"/>
    <w:rsid w:val="6E1D7CFF"/>
    <w:rsid w:val="6E4375A0"/>
    <w:rsid w:val="6E514CED"/>
    <w:rsid w:val="6E5F380F"/>
    <w:rsid w:val="6E632885"/>
    <w:rsid w:val="6E6708D6"/>
    <w:rsid w:val="6E761835"/>
    <w:rsid w:val="6E79491A"/>
    <w:rsid w:val="6E7E3225"/>
    <w:rsid w:val="6E833E77"/>
    <w:rsid w:val="6E8A48AD"/>
    <w:rsid w:val="6EB563D5"/>
    <w:rsid w:val="6EB84FAC"/>
    <w:rsid w:val="6EBE2657"/>
    <w:rsid w:val="6EC010B0"/>
    <w:rsid w:val="6ED61BD6"/>
    <w:rsid w:val="6EF76598"/>
    <w:rsid w:val="6F0549E4"/>
    <w:rsid w:val="6F0B34FD"/>
    <w:rsid w:val="6F0F745A"/>
    <w:rsid w:val="6F165D50"/>
    <w:rsid w:val="6F225983"/>
    <w:rsid w:val="6F2F2676"/>
    <w:rsid w:val="6F4B0F13"/>
    <w:rsid w:val="6F583B84"/>
    <w:rsid w:val="6F685621"/>
    <w:rsid w:val="6FB30830"/>
    <w:rsid w:val="6FB3753A"/>
    <w:rsid w:val="6FD11419"/>
    <w:rsid w:val="6FD57B35"/>
    <w:rsid w:val="6FE3419F"/>
    <w:rsid w:val="6FF25F04"/>
    <w:rsid w:val="6FFC5590"/>
    <w:rsid w:val="70301DA3"/>
    <w:rsid w:val="70390FB7"/>
    <w:rsid w:val="70486433"/>
    <w:rsid w:val="704A4117"/>
    <w:rsid w:val="70623977"/>
    <w:rsid w:val="706D1DD0"/>
    <w:rsid w:val="70763D6E"/>
    <w:rsid w:val="70856B87"/>
    <w:rsid w:val="70891CF3"/>
    <w:rsid w:val="708B529E"/>
    <w:rsid w:val="70971F87"/>
    <w:rsid w:val="70B054D2"/>
    <w:rsid w:val="70BD1BC9"/>
    <w:rsid w:val="70CC4DD8"/>
    <w:rsid w:val="70D13BDC"/>
    <w:rsid w:val="70D527EE"/>
    <w:rsid w:val="70DC329D"/>
    <w:rsid w:val="70F5516F"/>
    <w:rsid w:val="70FE3E32"/>
    <w:rsid w:val="70FE48F8"/>
    <w:rsid w:val="712F0C46"/>
    <w:rsid w:val="715A1226"/>
    <w:rsid w:val="715B5300"/>
    <w:rsid w:val="715F4BD7"/>
    <w:rsid w:val="716B0995"/>
    <w:rsid w:val="7178018F"/>
    <w:rsid w:val="71793B16"/>
    <w:rsid w:val="71A306A7"/>
    <w:rsid w:val="71BB2D89"/>
    <w:rsid w:val="71D27F8A"/>
    <w:rsid w:val="71D340B8"/>
    <w:rsid w:val="71DF5810"/>
    <w:rsid w:val="71E847F7"/>
    <w:rsid w:val="71ED1AE4"/>
    <w:rsid w:val="71EF3DD8"/>
    <w:rsid w:val="71F744C6"/>
    <w:rsid w:val="71F960CF"/>
    <w:rsid w:val="71FA428B"/>
    <w:rsid w:val="72007998"/>
    <w:rsid w:val="72040EDF"/>
    <w:rsid w:val="720B3FAF"/>
    <w:rsid w:val="72167F76"/>
    <w:rsid w:val="72200435"/>
    <w:rsid w:val="722B0C93"/>
    <w:rsid w:val="7230498D"/>
    <w:rsid w:val="72417A2A"/>
    <w:rsid w:val="7250733B"/>
    <w:rsid w:val="72606A84"/>
    <w:rsid w:val="72A21274"/>
    <w:rsid w:val="72BB1F0C"/>
    <w:rsid w:val="72CD440E"/>
    <w:rsid w:val="72D046E2"/>
    <w:rsid w:val="72D0499C"/>
    <w:rsid w:val="72FE1DE6"/>
    <w:rsid w:val="730D40BD"/>
    <w:rsid w:val="73153620"/>
    <w:rsid w:val="731F5D5E"/>
    <w:rsid w:val="733F2D28"/>
    <w:rsid w:val="73427283"/>
    <w:rsid w:val="7359750C"/>
    <w:rsid w:val="735A6AC0"/>
    <w:rsid w:val="73644352"/>
    <w:rsid w:val="736600CA"/>
    <w:rsid w:val="736912ED"/>
    <w:rsid w:val="73733E55"/>
    <w:rsid w:val="739D4185"/>
    <w:rsid w:val="73A01AA0"/>
    <w:rsid w:val="73A0375E"/>
    <w:rsid w:val="73AF3ED7"/>
    <w:rsid w:val="73B17736"/>
    <w:rsid w:val="73C21E17"/>
    <w:rsid w:val="73CF3EC6"/>
    <w:rsid w:val="73D4451E"/>
    <w:rsid w:val="73DF3DB1"/>
    <w:rsid w:val="73E55116"/>
    <w:rsid w:val="73E7597F"/>
    <w:rsid w:val="73E9749F"/>
    <w:rsid w:val="73F317FA"/>
    <w:rsid w:val="74031DBD"/>
    <w:rsid w:val="74032EFE"/>
    <w:rsid w:val="740F3F2A"/>
    <w:rsid w:val="74135DC8"/>
    <w:rsid w:val="7416389E"/>
    <w:rsid w:val="741915E0"/>
    <w:rsid w:val="741E793C"/>
    <w:rsid w:val="74341F76"/>
    <w:rsid w:val="746A5783"/>
    <w:rsid w:val="746F2FAE"/>
    <w:rsid w:val="74B66177"/>
    <w:rsid w:val="74C23A26"/>
    <w:rsid w:val="74C62050"/>
    <w:rsid w:val="74D448E6"/>
    <w:rsid w:val="74EA49FD"/>
    <w:rsid w:val="74FE2D6F"/>
    <w:rsid w:val="75022BDD"/>
    <w:rsid w:val="750F158B"/>
    <w:rsid w:val="752E10BB"/>
    <w:rsid w:val="7544268D"/>
    <w:rsid w:val="754729DC"/>
    <w:rsid w:val="75530B22"/>
    <w:rsid w:val="755A18C8"/>
    <w:rsid w:val="755A6C79"/>
    <w:rsid w:val="755B7732"/>
    <w:rsid w:val="755E784D"/>
    <w:rsid w:val="7560120D"/>
    <w:rsid w:val="7561323F"/>
    <w:rsid w:val="756C6357"/>
    <w:rsid w:val="75851C18"/>
    <w:rsid w:val="758D75E2"/>
    <w:rsid w:val="759877EE"/>
    <w:rsid w:val="75992D4C"/>
    <w:rsid w:val="75B01439"/>
    <w:rsid w:val="75B14511"/>
    <w:rsid w:val="75B74C0D"/>
    <w:rsid w:val="75B95F6C"/>
    <w:rsid w:val="75BD407D"/>
    <w:rsid w:val="75C20CE1"/>
    <w:rsid w:val="75D51148"/>
    <w:rsid w:val="7608190C"/>
    <w:rsid w:val="763515C6"/>
    <w:rsid w:val="76426BCC"/>
    <w:rsid w:val="76634D94"/>
    <w:rsid w:val="76BC1226"/>
    <w:rsid w:val="76D11CFE"/>
    <w:rsid w:val="76D77426"/>
    <w:rsid w:val="76E11F70"/>
    <w:rsid w:val="76E16C86"/>
    <w:rsid w:val="76ED456A"/>
    <w:rsid w:val="76F60514"/>
    <w:rsid w:val="770C2D36"/>
    <w:rsid w:val="771B4F77"/>
    <w:rsid w:val="77376CED"/>
    <w:rsid w:val="775B37B3"/>
    <w:rsid w:val="775B5A6C"/>
    <w:rsid w:val="77762421"/>
    <w:rsid w:val="77785105"/>
    <w:rsid w:val="77AB3A64"/>
    <w:rsid w:val="77AB7369"/>
    <w:rsid w:val="77B13B07"/>
    <w:rsid w:val="77BD15A4"/>
    <w:rsid w:val="78075902"/>
    <w:rsid w:val="780D6D66"/>
    <w:rsid w:val="780F09F4"/>
    <w:rsid w:val="782B3690"/>
    <w:rsid w:val="78382EF8"/>
    <w:rsid w:val="783A38D3"/>
    <w:rsid w:val="784A10DC"/>
    <w:rsid w:val="7850458F"/>
    <w:rsid w:val="786C6827"/>
    <w:rsid w:val="788007E2"/>
    <w:rsid w:val="78801C2E"/>
    <w:rsid w:val="788267F7"/>
    <w:rsid w:val="7886117B"/>
    <w:rsid w:val="789C4F47"/>
    <w:rsid w:val="789C633C"/>
    <w:rsid w:val="78A90480"/>
    <w:rsid w:val="78C31C0F"/>
    <w:rsid w:val="78DF1AD6"/>
    <w:rsid w:val="78F24CB5"/>
    <w:rsid w:val="78F9378E"/>
    <w:rsid w:val="791C3DF8"/>
    <w:rsid w:val="79222CE5"/>
    <w:rsid w:val="792E3438"/>
    <w:rsid w:val="79352681"/>
    <w:rsid w:val="79556C16"/>
    <w:rsid w:val="795A247F"/>
    <w:rsid w:val="79701CA2"/>
    <w:rsid w:val="79811327"/>
    <w:rsid w:val="79954AEE"/>
    <w:rsid w:val="79982FA7"/>
    <w:rsid w:val="79A67472"/>
    <w:rsid w:val="79AE6327"/>
    <w:rsid w:val="79BD4575"/>
    <w:rsid w:val="79C630CB"/>
    <w:rsid w:val="79D722A7"/>
    <w:rsid w:val="79DA5B24"/>
    <w:rsid w:val="79DD4919"/>
    <w:rsid w:val="79F959FA"/>
    <w:rsid w:val="79FB4964"/>
    <w:rsid w:val="7A0302E5"/>
    <w:rsid w:val="7A115712"/>
    <w:rsid w:val="7A1F7224"/>
    <w:rsid w:val="7A364017"/>
    <w:rsid w:val="7A444E4A"/>
    <w:rsid w:val="7A4C15F4"/>
    <w:rsid w:val="7A5310CD"/>
    <w:rsid w:val="7A595F92"/>
    <w:rsid w:val="7A620597"/>
    <w:rsid w:val="7A6E76E1"/>
    <w:rsid w:val="7A8265E1"/>
    <w:rsid w:val="7A85177D"/>
    <w:rsid w:val="7A85203D"/>
    <w:rsid w:val="7A9B4AFD"/>
    <w:rsid w:val="7ABD2CC5"/>
    <w:rsid w:val="7AE15030"/>
    <w:rsid w:val="7AE56F93"/>
    <w:rsid w:val="7AF83F51"/>
    <w:rsid w:val="7B117990"/>
    <w:rsid w:val="7B1877BE"/>
    <w:rsid w:val="7B263E32"/>
    <w:rsid w:val="7B2C1881"/>
    <w:rsid w:val="7B2F7570"/>
    <w:rsid w:val="7B4D22AB"/>
    <w:rsid w:val="7B5109BD"/>
    <w:rsid w:val="7B614279"/>
    <w:rsid w:val="7B686D42"/>
    <w:rsid w:val="7B791DDF"/>
    <w:rsid w:val="7B821819"/>
    <w:rsid w:val="7B841746"/>
    <w:rsid w:val="7B86755B"/>
    <w:rsid w:val="7B8C29DC"/>
    <w:rsid w:val="7B902188"/>
    <w:rsid w:val="7BB424C3"/>
    <w:rsid w:val="7BEB768C"/>
    <w:rsid w:val="7BF23C6E"/>
    <w:rsid w:val="7BF92B4E"/>
    <w:rsid w:val="7BFA609C"/>
    <w:rsid w:val="7C0A4D10"/>
    <w:rsid w:val="7C0B3B92"/>
    <w:rsid w:val="7C0C51EE"/>
    <w:rsid w:val="7C226A0C"/>
    <w:rsid w:val="7C3B7650"/>
    <w:rsid w:val="7C3E65E2"/>
    <w:rsid w:val="7C6153C2"/>
    <w:rsid w:val="7C673344"/>
    <w:rsid w:val="7C6D071B"/>
    <w:rsid w:val="7C787319"/>
    <w:rsid w:val="7C994AFF"/>
    <w:rsid w:val="7CA26DD4"/>
    <w:rsid w:val="7CA35EEB"/>
    <w:rsid w:val="7CAA00E0"/>
    <w:rsid w:val="7CCC7A15"/>
    <w:rsid w:val="7CDF7C7E"/>
    <w:rsid w:val="7CE64A4C"/>
    <w:rsid w:val="7CED360A"/>
    <w:rsid w:val="7D0239FF"/>
    <w:rsid w:val="7D264C9A"/>
    <w:rsid w:val="7D5E40CD"/>
    <w:rsid w:val="7D693BED"/>
    <w:rsid w:val="7D725C18"/>
    <w:rsid w:val="7D8056AC"/>
    <w:rsid w:val="7D8D7B32"/>
    <w:rsid w:val="7DA96855"/>
    <w:rsid w:val="7DAD6864"/>
    <w:rsid w:val="7DB647A8"/>
    <w:rsid w:val="7DCA0DE6"/>
    <w:rsid w:val="7DE63517"/>
    <w:rsid w:val="7DEA542C"/>
    <w:rsid w:val="7E122809"/>
    <w:rsid w:val="7E2D0915"/>
    <w:rsid w:val="7E325778"/>
    <w:rsid w:val="7E3F75FE"/>
    <w:rsid w:val="7E402C0C"/>
    <w:rsid w:val="7E435D95"/>
    <w:rsid w:val="7E553C2B"/>
    <w:rsid w:val="7E576F8D"/>
    <w:rsid w:val="7E800F17"/>
    <w:rsid w:val="7E8F35E5"/>
    <w:rsid w:val="7E902A76"/>
    <w:rsid w:val="7E9A66E0"/>
    <w:rsid w:val="7EAE7081"/>
    <w:rsid w:val="7EB90E2D"/>
    <w:rsid w:val="7EDA196C"/>
    <w:rsid w:val="7EDC1B29"/>
    <w:rsid w:val="7EFD18A2"/>
    <w:rsid w:val="7F2A63D2"/>
    <w:rsid w:val="7F3A5D6A"/>
    <w:rsid w:val="7F4A0143"/>
    <w:rsid w:val="7F552938"/>
    <w:rsid w:val="7F6B7CCC"/>
    <w:rsid w:val="7F7407A6"/>
    <w:rsid w:val="7F7605F4"/>
    <w:rsid w:val="7F7C22C3"/>
    <w:rsid w:val="7F83193F"/>
    <w:rsid w:val="7F8C25F6"/>
    <w:rsid w:val="7F977AA3"/>
    <w:rsid w:val="7F9F0E2D"/>
    <w:rsid w:val="7FAE4180"/>
    <w:rsid w:val="7FCA6E59"/>
    <w:rsid w:val="7FCB7C32"/>
    <w:rsid w:val="7FE47E50"/>
    <w:rsid w:val="7FE84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qFormat/>
    <w:locked/>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qFormat/>
    <w:locked/>
    <w:uiPriority w:val="0"/>
    <w:pPr>
      <w:keepNext/>
      <w:keepLines/>
      <w:widowControl w:val="0"/>
      <w:spacing w:before="260" w:after="260" w:line="416" w:lineRule="auto"/>
      <w:jc w:val="left"/>
      <w:outlineLvl w:val="2"/>
    </w:pPr>
    <w:rPr>
      <w:rFonts w:ascii="Times New Roman" w:hAnsi="Times New Roman" w:eastAsia="宋体" w:cs="Times New Roman"/>
      <w:b/>
      <w:bCs/>
      <w:kern w:val="2"/>
      <w:sz w:val="30"/>
      <w:szCs w:val="32"/>
      <w:lang w:val="en-US" w:eastAsia="zh-CN" w:bidi="ar-SA"/>
    </w:rPr>
  </w:style>
  <w:style w:type="paragraph" w:styleId="6">
    <w:name w:val="heading 4"/>
    <w:basedOn w:val="1"/>
    <w:next w:val="1"/>
    <w:unhideWhenUsed/>
    <w:qFormat/>
    <w:locked/>
    <w:uiPriority w:val="0"/>
    <w:pPr>
      <w:spacing w:line="240" w:lineRule="auto"/>
      <w:ind w:firstLine="0" w:firstLineChars="0"/>
      <w:outlineLvl w:val="3"/>
    </w:pPr>
    <w:rPr>
      <w:rFonts w:ascii="Times New Roman" w:hAnsi="Times New Roman" w:eastAsia="宋体"/>
      <w:bCs/>
      <w:sz w:val="21"/>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Title"/>
    <w:basedOn w:val="1"/>
    <w:next w:val="3"/>
    <w:qFormat/>
    <w:locked/>
    <w:uiPriority w:val="0"/>
    <w:pPr>
      <w:spacing w:before="240" w:after="60"/>
      <w:jc w:val="center"/>
      <w:outlineLvl w:val="0"/>
    </w:pPr>
    <w:rPr>
      <w:rFonts w:ascii="Arial" w:hAnsi="Arial"/>
      <w:b/>
      <w:sz w:val="32"/>
      <w:szCs w:val="20"/>
    </w:rPr>
  </w:style>
  <w:style w:type="paragraph" w:styleId="7">
    <w:name w:val="caption"/>
    <w:basedOn w:val="1"/>
    <w:next w:val="1"/>
    <w:qFormat/>
    <w:locked/>
    <w:uiPriority w:val="0"/>
    <w:pPr>
      <w:spacing w:before="152" w:beforeLines="0" w:after="160" w:afterLines="0" w:line="240" w:lineRule="auto"/>
      <w:ind w:firstLine="0" w:firstLineChars="0"/>
      <w:jc w:val="center"/>
    </w:pPr>
    <w:rPr>
      <w:rFonts w:ascii="Times New Roman" w:hAnsi="Times New Roman" w:eastAsia="宋体" w:cs="Arial"/>
      <w:kern w:val="2"/>
      <w:sz w:val="21"/>
      <w:szCs w:val="21"/>
    </w:rPr>
  </w:style>
  <w:style w:type="paragraph" w:styleId="8">
    <w:name w:val="index 5"/>
    <w:basedOn w:val="1"/>
    <w:next w:val="1"/>
    <w:qFormat/>
    <w:uiPriority w:val="0"/>
    <w:pPr>
      <w:ind w:left="800" w:leftChars="800"/>
    </w:pPr>
    <w:rPr>
      <w:szCs w:val="24"/>
    </w:rPr>
  </w:style>
  <w:style w:type="paragraph" w:styleId="9">
    <w:name w:val="annotation text"/>
    <w:basedOn w:val="1"/>
    <w:link w:val="33"/>
    <w:semiHidden/>
    <w:qFormat/>
    <w:uiPriority w:val="0"/>
    <w:pPr>
      <w:jc w:val="left"/>
    </w:pPr>
    <w:rPr>
      <w:kern w:val="0"/>
      <w:sz w:val="20"/>
    </w:rPr>
  </w:style>
  <w:style w:type="paragraph" w:styleId="10">
    <w:name w:val="Body Text"/>
    <w:basedOn w:val="1"/>
    <w:link w:val="34"/>
    <w:qFormat/>
    <w:uiPriority w:val="0"/>
    <w:pPr>
      <w:widowControl/>
      <w:snapToGrid w:val="0"/>
      <w:spacing w:before="60" w:after="160" w:line="259" w:lineRule="auto"/>
      <w:ind w:right="113"/>
    </w:pPr>
    <w:rPr>
      <w:kern w:val="0"/>
      <w:sz w:val="18"/>
      <w:szCs w:val="18"/>
    </w:rPr>
  </w:style>
  <w:style w:type="paragraph" w:styleId="11">
    <w:name w:val="Body Text Indent"/>
    <w:basedOn w:val="1"/>
    <w:next w:val="6"/>
    <w:link w:val="35"/>
    <w:semiHidden/>
    <w:qFormat/>
    <w:uiPriority w:val="0"/>
    <w:pPr>
      <w:spacing w:after="120"/>
      <w:ind w:left="420" w:leftChars="200"/>
    </w:pPr>
  </w:style>
  <w:style w:type="paragraph" w:styleId="12">
    <w:name w:val="List 2"/>
    <w:basedOn w:val="1"/>
    <w:unhideWhenUsed/>
    <w:qFormat/>
    <w:uiPriority w:val="0"/>
    <w:pPr>
      <w:widowControl w:val="0"/>
      <w:adjustRightInd/>
      <w:snapToGrid/>
      <w:ind w:left="100" w:leftChars="200" w:hanging="200" w:hangingChars="200"/>
      <w:contextualSpacing/>
    </w:pPr>
    <w:rPr>
      <w:szCs w:val="22"/>
      <w:lang w:bidi="ar-SA"/>
    </w:rPr>
  </w:style>
  <w:style w:type="paragraph" w:styleId="13">
    <w:name w:val="Plain Text"/>
    <w:basedOn w:val="1"/>
    <w:next w:val="8"/>
    <w:unhideWhenUsed/>
    <w:qFormat/>
    <w:uiPriority w:val="99"/>
    <w:rPr>
      <w:rFonts w:ascii="宋体" w:hAnsi="Courier New"/>
      <w:bCs/>
      <w:sz w:val="21"/>
    </w:rPr>
  </w:style>
  <w:style w:type="paragraph" w:styleId="14">
    <w:name w:val="Date"/>
    <w:basedOn w:val="1"/>
    <w:next w:val="1"/>
    <w:link w:val="36"/>
    <w:qFormat/>
    <w:uiPriority w:val="0"/>
    <w:pPr>
      <w:ind w:left="100" w:leftChars="2500"/>
    </w:pPr>
    <w:rPr>
      <w:kern w:val="0"/>
      <w:sz w:val="20"/>
    </w:rPr>
  </w:style>
  <w:style w:type="paragraph" w:styleId="15">
    <w:name w:val="Body Text Indent 2"/>
    <w:basedOn w:val="1"/>
    <w:qFormat/>
    <w:uiPriority w:val="0"/>
    <w:pPr>
      <w:spacing w:after="120" w:afterLines="0" w:line="480" w:lineRule="auto"/>
      <w:ind w:left="420" w:leftChars="200"/>
    </w:pPr>
    <w:rPr>
      <w:szCs w:val="24"/>
    </w:rPr>
  </w:style>
  <w:style w:type="paragraph" w:styleId="16">
    <w:name w:val="Balloon Text"/>
    <w:basedOn w:val="1"/>
    <w:link w:val="37"/>
    <w:semiHidden/>
    <w:qFormat/>
    <w:uiPriority w:val="0"/>
    <w:rPr>
      <w:sz w:val="18"/>
      <w:szCs w:val="18"/>
    </w:rPr>
  </w:style>
  <w:style w:type="paragraph" w:styleId="17">
    <w:name w:val="footer"/>
    <w:basedOn w:val="1"/>
    <w:link w:val="38"/>
    <w:qFormat/>
    <w:uiPriority w:val="0"/>
    <w:pPr>
      <w:tabs>
        <w:tab w:val="center" w:pos="4153"/>
        <w:tab w:val="right" w:pos="8306"/>
      </w:tabs>
      <w:snapToGrid w:val="0"/>
      <w:jc w:val="left"/>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next w:val="1"/>
    <w:qFormat/>
    <w:uiPriority w:val="0"/>
    <w:pPr>
      <w:spacing w:line="360" w:lineRule="auto"/>
      <w:ind w:left="200" w:hanging="200" w:hangingChars="200"/>
    </w:pPr>
    <w:rPr>
      <w:sz w:val="24"/>
    </w:rPr>
  </w:style>
  <w:style w:type="paragraph" w:styleId="20">
    <w:name w:val="Normal (Web)"/>
    <w:basedOn w:val="1"/>
    <w:link w:val="40"/>
    <w:qFormat/>
    <w:uiPriority w:val="0"/>
    <w:pPr>
      <w:widowControl/>
      <w:spacing w:before="100" w:beforeAutospacing="1" w:after="100" w:afterAutospacing="1"/>
      <w:jc w:val="left"/>
    </w:pPr>
    <w:rPr>
      <w:rFonts w:ascii="宋体" w:hAnsi="宋体"/>
      <w:kern w:val="0"/>
      <w:sz w:val="24"/>
    </w:rPr>
  </w:style>
  <w:style w:type="paragraph" w:styleId="21">
    <w:name w:val="annotation subject"/>
    <w:basedOn w:val="9"/>
    <w:next w:val="9"/>
    <w:link w:val="41"/>
    <w:semiHidden/>
    <w:qFormat/>
    <w:uiPriority w:val="0"/>
    <w:rPr>
      <w:b/>
      <w:bCs/>
    </w:rPr>
  </w:style>
  <w:style w:type="paragraph" w:styleId="22">
    <w:name w:val="Body Text First Indent 2"/>
    <w:basedOn w:val="11"/>
    <w:next w:val="1"/>
    <w:qFormat/>
    <w:uiPriority w:val="0"/>
    <w:pPr>
      <w:widowControl w:val="0"/>
      <w:adjustRightInd w:val="0"/>
      <w:snapToGrid w:val="0"/>
      <w:spacing w:after="120" w:line="480" w:lineRule="exact"/>
      <w:ind w:left="420" w:leftChars="200" w:firstLine="420" w:firstLineChars="200"/>
      <w:jc w:val="both"/>
    </w:pPr>
    <w:rPr>
      <w:rFonts w:ascii="宋体" w:eastAsia="黑体"/>
      <w:snapToGrid w:val="0"/>
      <w:spacing w:val="12"/>
      <w:sz w:val="28"/>
      <w:szCs w:val="24"/>
      <w:lang w:val="en-US" w:eastAsia="zh-CN" w:bidi="ar-SA"/>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page number"/>
    <w:basedOn w:val="25"/>
    <w:qFormat/>
    <w:uiPriority w:val="0"/>
  </w:style>
  <w:style w:type="character" w:styleId="28">
    <w:name w:val="Emphasis"/>
    <w:qFormat/>
    <w:locked/>
    <w:uiPriority w:val="0"/>
    <w:rPr>
      <w:i/>
    </w:rPr>
  </w:style>
  <w:style w:type="character" w:styleId="29">
    <w:name w:val="Hyperlink"/>
    <w:basedOn w:val="25"/>
    <w:qFormat/>
    <w:uiPriority w:val="0"/>
    <w:rPr>
      <w:color w:val="0000FF"/>
      <w:u w:val="single"/>
    </w:rPr>
  </w:style>
  <w:style w:type="character" w:styleId="30">
    <w:name w:val="annotation reference"/>
    <w:basedOn w:val="25"/>
    <w:semiHidden/>
    <w:qFormat/>
    <w:uiPriority w:val="0"/>
    <w:rPr>
      <w:sz w:val="21"/>
    </w:rPr>
  </w:style>
  <w:style w:type="paragraph" w:customStyle="1" w:styleId="31">
    <w:name w:val="Default"/>
    <w:basedOn w:val="32"/>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1 表头"/>
    <w:basedOn w:val="1"/>
    <w:qFormat/>
    <w:uiPriority w:val="0"/>
    <w:pPr>
      <w:spacing w:line="240" w:lineRule="auto"/>
      <w:ind w:firstLine="0" w:firstLineChars="0"/>
      <w:jc w:val="center"/>
    </w:pPr>
    <w:rPr>
      <w:b/>
      <w:color w:val="000000"/>
      <w:sz w:val="21"/>
      <w:szCs w:val="21"/>
    </w:rPr>
  </w:style>
  <w:style w:type="character" w:customStyle="1" w:styleId="33">
    <w:name w:val="Comment Text Char"/>
    <w:link w:val="9"/>
    <w:qFormat/>
    <w:locked/>
    <w:uiPriority w:val="0"/>
    <w:rPr>
      <w:rFonts w:ascii="Times New Roman" w:hAnsi="Times New Roman" w:eastAsia="宋体"/>
      <w:sz w:val="24"/>
    </w:rPr>
  </w:style>
  <w:style w:type="character" w:customStyle="1" w:styleId="34">
    <w:name w:val="Body Text Char"/>
    <w:link w:val="10"/>
    <w:qFormat/>
    <w:locked/>
    <w:uiPriority w:val="0"/>
    <w:rPr>
      <w:sz w:val="18"/>
    </w:rPr>
  </w:style>
  <w:style w:type="character" w:customStyle="1" w:styleId="35">
    <w:name w:val="Body Text Indent Char"/>
    <w:basedOn w:val="25"/>
    <w:link w:val="11"/>
    <w:semiHidden/>
    <w:qFormat/>
    <w:locked/>
    <w:uiPriority w:val="0"/>
    <w:rPr>
      <w:rFonts w:ascii="Times New Roman" w:hAnsi="Times New Roman" w:eastAsia="宋体" w:cs="Times New Roman"/>
      <w:sz w:val="24"/>
      <w:szCs w:val="24"/>
    </w:rPr>
  </w:style>
  <w:style w:type="character" w:customStyle="1" w:styleId="36">
    <w:name w:val="Date Char"/>
    <w:link w:val="14"/>
    <w:qFormat/>
    <w:locked/>
    <w:uiPriority w:val="0"/>
    <w:rPr>
      <w:rFonts w:ascii="Times New Roman" w:hAnsi="Times New Roman" w:eastAsia="宋体"/>
      <w:sz w:val="24"/>
    </w:rPr>
  </w:style>
  <w:style w:type="character" w:customStyle="1" w:styleId="37">
    <w:name w:val="Balloon Text Char"/>
    <w:basedOn w:val="25"/>
    <w:link w:val="16"/>
    <w:semiHidden/>
    <w:qFormat/>
    <w:locked/>
    <w:uiPriority w:val="0"/>
    <w:rPr>
      <w:rFonts w:ascii="Times New Roman" w:hAnsi="Times New Roman" w:eastAsia="宋体" w:cs="Times New Roman"/>
      <w:sz w:val="18"/>
      <w:szCs w:val="18"/>
    </w:rPr>
  </w:style>
  <w:style w:type="character" w:customStyle="1" w:styleId="38">
    <w:name w:val="Footer Char"/>
    <w:basedOn w:val="25"/>
    <w:link w:val="17"/>
    <w:qFormat/>
    <w:locked/>
    <w:uiPriority w:val="0"/>
    <w:rPr>
      <w:rFonts w:cs="Times New Roman"/>
      <w:sz w:val="18"/>
      <w:szCs w:val="18"/>
    </w:rPr>
  </w:style>
  <w:style w:type="character" w:customStyle="1" w:styleId="39">
    <w:name w:val="Header Char"/>
    <w:basedOn w:val="25"/>
    <w:link w:val="18"/>
    <w:qFormat/>
    <w:locked/>
    <w:uiPriority w:val="0"/>
    <w:rPr>
      <w:rFonts w:cs="Times New Roman"/>
      <w:sz w:val="18"/>
      <w:szCs w:val="18"/>
    </w:rPr>
  </w:style>
  <w:style w:type="character" w:customStyle="1" w:styleId="40">
    <w:name w:val="Normal (Web) Char"/>
    <w:link w:val="20"/>
    <w:qFormat/>
    <w:locked/>
    <w:uiPriority w:val="0"/>
    <w:rPr>
      <w:rFonts w:ascii="宋体" w:hAnsi="宋体" w:eastAsia="宋体"/>
      <w:sz w:val="24"/>
    </w:rPr>
  </w:style>
  <w:style w:type="character" w:customStyle="1" w:styleId="41">
    <w:name w:val="Comment Subject Char"/>
    <w:basedOn w:val="33"/>
    <w:link w:val="21"/>
    <w:semiHidden/>
    <w:qFormat/>
    <w:locked/>
    <w:uiPriority w:val="0"/>
    <w:rPr>
      <w:rFonts w:cs="Times New Roman"/>
      <w:b/>
      <w:bCs/>
      <w:kern w:val="2"/>
      <w:szCs w:val="24"/>
    </w:rPr>
  </w:style>
  <w:style w:type="character" w:customStyle="1" w:styleId="42">
    <w:name w:val="日期 字符"/>
    <w:basedOn w:val="25"/>
    <w:semiHidden/>
    <w:qFormat/>
    <w:uiPriority w:val="0"/>
    <w:rPr>
      <w:rFonts w:ascii="Times New Roman" w:hAnsi="Times New Roman" w:eastAsia="宋体" w:cs="Times New Roman"/>
      <w:sz w:val="24"/>
      <w:szCs w:val="24"/>
    </w:rPr>
  </w:style>
  <w:style w:type="character" w:customStyle="1" w:styleId="43">
    <w:name w:val="正文文本 字符1"/>
    <w:basedOn w:val="25"/>
    <w:semiHidden/>
    <w:qFormat/>
    <w:uiPriority w:val="0"/>
    <w:rPr>
      <w:rFonts w:ascii="Times New Roman" w:hAnsi="Times New Roman" w:eastAsia="宋体" w:cs="Times New Roman"/>
      <w:sz w:val="24"/>
      <w:szCs w:val="24"/>
    </w:rPr>
  </w:style>
  <w:style w:type="paragraph" w:customStyle="1" w:styleId="4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5">
    <w:name w:val="表格 Char"/>
    <w:link w:val="46"/>
    <w:qFormat/>
    <w:locked/>
    <w:uiPriority w:val="0"/>
    <w:rPr>
      <w:rFonts w:ascii="宋体"/>
      <w:sz w:val="21"/>
    </w:rPr>
  </w:style>
  <w:style w:type="paragraph" w:customStyle="1" w:styleId="46">
    <w:name w:val="表格"/>
    <w:basedOn w:val="1"/>
    <w:link w:val="45"/>
    <w:qFormat/>
    <w:uiPriority w:val="0"/>
    <w:pPr>
      <w:adjustRightInd w:val="0"/>
      <w:snapToGrid w:val="0"/>
      <w:spacing w:beforeLines="10" w:afterLines="10" w:line="259" w:lineRule="auto"/>
      <w:jc w:val="center"/>
    </w:pPr>
    <w:rPr>
      <w:rFonts w:ascii="宋体"/>
      <w:kern w:val="0"/>
      <w:sz w:val="20"/>
      <w:szCs w:val="21"/>
    </w:rPr>
  </w:style>
  <w:style w:type="character" w:customStyle="1" w:styleId="47">
    <w:name w:val="批注文字 字符1"/>
    <w:basedOn w:val="25"/>
    <w:semiHidden/>
    <w:qFormat/>
    <w:uiPriority w:val="0"/>
    <w:rPr>
      <w:rFonts w:ascii="Times New Roman" w:hAnsi="Times New Roman" w:eastAsia="宋体" w:cs="Times New Roman"/>
      <w:sz w:val="24"/>
      <w:szCs w:val="24"/>
    </w:rPr>
  </w:style>
  <w:style w:type="paragraph" w:customStyle="1" w:styleId="48">
    <w:name w:val="正文格式啊啊啊啊"/>
    <w:basedOn w:val="1"/>
    <w:link w:val="49"/>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character" w:customStyle="1" w:styleId="49">
    <w:name w:val="正文格式啊啊啊啊 Char"/>
    <w:link w:val="48"/>
    <w:qFormat/>
    <w:uiPriority w:val="0"/>
    <w:rPr>
      <w:rFonts w:ascii="Times New Roman" w:hAnsi="Times New Roman" w:eastAsia="宋体" w:cs="宋体"/>
      <w:kern w:val="0"/>
      <w:sz w:val="24"/>
    </w:rPr>
  </w:style>
  <w:style w:type="paragraph" w:customStyle="1" w:styleId="50">
    <w:name w:val="小标题啊啊啊啊啊"/>
    <w:basedOn w:val="1"/>
    <w:link w:val="51"/>
    <w:qFormat/>
    <w:uiPriority w:val="0"/>
    <w:pPr>
      <w:adjustRightInd w:val="0"/>
      <w:snapToGrid w:val="0"/>
      <w:spacing w:line="520" w:lineRule="exact"/>
      <w:jc w:val="left"/>
    </w:pPr>
    <w:rPr>
      <w:rFonts w:ascii="Times New Roman" w:hAnsi="Times New Roman" w:eastAsia="宋体" w:cs="宋体"/>
      <w:b/>
      <w:kern w:val="0"/>
      <w:sz w:val="24"/>
    </w:rPr>
  </w:style>
  <w:style w:type="character" w:customStyle="1" w:styleId="51">
    <w:name w:val="小标题啊啊啊啊啊 Char"/>
    <w:link w:val="50"/>
    <w:qFormat/>
    <w:uiPriority w:val="0"/>
    <w:rPr>
      <w:rFonts w:ascii="Times New Roman" w:hAnsi="Times New Roman" w:eastAsia="宋体" w:cs="宋体"/>
      <w:b/>
      <w:kern w:val="0"/>
      <w:sz w:val="24"/>
    </w:rPr>
  </w:style>
  <w:style w:type="paragraph" w:customStyle="1" w:styleId="52">
    <w:name w:val="表头啊啊啊啊"/>
    <w:basedOn w:val="1"/>
    <w:link w:val="53"/>
    <w:qFormat/>
    <w:uiPriority w:val="0"/>
    <w:pPr>
      <w:adjustRightInd w:val="0"/>
      <w:snapToGrid w:val="0"/>
      <w:jc w:val="center"/>
    </w:pPr>
    <w:rPr>
      <w:rFonts w:hint="eastAsia" w:ascii="Times New Roman" w:hAnsi="Times New Roman" w:cs="宋体"/>
      <w:b/>
      <w:szCs w:val="21"/>
    </w:rPr>
  </w:style>
  <w:style w:type="character" w:customStyle="1" w:styleId="53">
    <w:name w:val="表头啊啊啊啊 Char"/>
    <w:link w:val="52"/>
    <w:qFormat/>
    <w:uiPriority w:val="0"/>
    <w:rPr>
      <w:rFonts w:hint="eastAsia" w:ascii="Times New Roman" w:hAnsi="Times New Roman" w:cs="宋体"/>
      <w:b/>
      <w:szCs w:val="21"/>
    </w:rPr>
  </w:style>
  <w:style w:type="paragraph" w:customStyle="1" w:styleId="54">
    <w:name w:val="表格内文字啊啊啊啊"/>
    <w:basedOn w:val="1"/>
    <w:link w:val="55"/>
    <w:qFormat/>
    <w:uiPriority w:val="0"/>
    <w:pPr>
      <w:widowControl/>
      <w:wordWrap w:val="0"/>
      <w:jc w:val="center"/>
    </w:pPr>
    <w:rPr>
      <w:rFonts w:hint="eastAsia" w:ascii="Times New Roman" w:hAnsi="Times New Roman" w:eastAsia="宋体" w:cs="宋体"/>
      <w:color w:val="000000"/>
      <w:kern w:val="0"/>
      <w:szCs w:val="21"/>
    </w:rPr>
  </w:style>
  <w:style w:type="character" w:customStyle="1" w:styleId="55">
    <w:name w:val="表格内文字啊啊啊啊 Char"/>
    <w:link w:val="54"/>
    <w:qFormat/>
    <w:uiPriority w:val="0"/>
    <w:rPr>
      <w:rFonts w:hint="eastAsia" w:ascii="Times New Roman" w:hAnsi="Times New Roman" w:eastAsia="宋体" w:cs="宋体"/>
      <w:color w:val="000000"/>
      <w:kern w:val="0"/>
      <w:szCs w:val="21"/>
    </w:rPr>
  </w:style>
  <w:style w:type="paragraph" w:customStyle="1" w:styleId="56">
    <w:name w:val="表头啊啊啊啊啊"/>
    <w:basedOn w:val="1"/>
    <w:link w:val="57"/>
    <w:qFormat/>
    <w:uiPriority w:val="0"/>
    <w:pPr>
      <w:jc w:val="center"/>
    </w:pPr>
    <w:rPr>
      <w:rFonts w:ascii="Times New Roman" w:hAnsi="Times New Roman" w:eastAsia="宋体" w:cs="Times New Roman"/>
      <w:b/>
      <w:bCs/>
      <w:szCs w:val="21"/>
    </w:rPr>
  </w:style>
  <w:style w:type="character" w:customStyle="1" w:styleId="57">
    <w:name w:val="表头啊啊啊啊啊 Char"/>
    <w:link w:val="56"/>
    <w:qFormat/>
    <w:uiPriority w:val="0"/>
    <w:rPr>
      <w:rFonts w:ascii="Times New Roman" w:hAnsi="Times New Roman" w:eastAsia="宋体" w:cs="Times New Roman"/>
      <w:b/>
      <w:bCs/>
      <w:szCs w:val="21"/>
    </w:rPr>
  </w:style>
  <w:style w:type="paragraph" w:customStyle="1" w:styleId="58">
    <w:name w:val="表格里面啊啊啊啊"/>
    <w:basedOn w:val="1"/>
    <w:qFormat/>
    <w:uiPriority w:val="0"/>
    <w:pPr>
      <w:jc w:val="center"/>
    </w:pPr>
    <w:rPr>
      <w:rFonts w:ascii="Times New Roman" w:hAnsi="Times New Roman" w:eastAsia="宋体" w:cs="Times New Roman"/>
      <w:szCs w:val="21"/>
    </w:rPr>
  </w:style>
  <w:style w:type="paragraph" w:customStyle="1" w:styleId="59">
    <w:name w:val="表格头jophy"/>
    <w:basedOn w:val="1"/>
    <w:qFormat/>
    <w:uiPriority w:val="0"/>
    <w:pPr>
      <w:adjustRightInd w:val="0"/>
      <w:snapToGrid w:val="0"/>
      <w:jc w:val="center"/>
      <w:textAlignment w:val="baseline"/>
    </w:pPr>
    <w:rPr>
      <w:b/>
      <w:bCs/>
      <w:spacing w:val="-10"/>
      <w:kern w:val="0"/>
      <w:szCs w:val="28"/>
    </w:rPr>
  </w:style>
  <w:style w:type="paragraph" w:customStyle="1" w:styleId="60">
    <w:name w:val="表格内容jophy"/>
    <w:basedOn w:val="1"/>
    <w:qFormat/>
    <w:uiPriority w:val="0"/>
    <w:pPr>
      <w:adjustRightInd w:val="0"/>
      <w:snapToGrid w:val="0"/>
      <w:jc w:val="center"/>
    </w:pPr>
    <w:rPr>
      <w:szCs w:val="18"/>
    </w:rPr>
  </w:style>
  <w:style w:type="table" w:customStyle="1" w:styleId="61">
    <w:name w:val="TableGrid"/>
    <w:basedOn w:val="23"/>
    <w:qFormat/>
    <w:uiPriority w:val="0"/>
    <w:rPr>
      <w:rFonts w:ascii="等线" w:hAnsi="等线" w:eastAsia="等线" w:cs="等线"/>
      <w:kern w:val="2"/>
      <w:sz w:val="21"/>
      <w:szCs w:val="22"/>
    </w:rPr>
    <w:tblPr>
      <w:tblCellMar>
        <w:top w:w="0" w:type="dxa"/>
        <w:left w:w="0" w:type="dxa"/>
        <w:bottom w:w="0" w:type="dxa"/>
        <w:right w:w="0" w:type="dxa"/>
      </w:tblCellMar>
    </w:tblPr>
  </w:style>
  <w:style w:type="paragraph" w:customStyle="1" w:styleId="62">
    <w:name w:val="1正文段落"/>
    <w:basedOn w:val="1"/>
    <w:qFormat/>
    <w:uiPriority w:val="0"/>
    <w:pPr>
      <w:spacing w:line="360" w:lineRule="auto"/>
      <w:ind w:firstLine="480" w:firstLineChars="200"/>
      <w:jc w:val="left"/>
    </w:pPr>
    <w:rPr>
      <w:snapToGrid w:val="0"/>
      <w:kern w:val="0"/>
      <w:sz w:val="24"/>
    </w:rPr>
  </w:style>
  <w:style w:type="paragraph" w:customStyle="1" w:styleId="63">
    <w:name w:val="图表标题"/>
    <w:basedOn w:val="1"/>
    <w:qFormat/>
    <w:uiPriority w:val="0"/>
    <w:pPr>
      <w:spacing w:line="480" w:lineRule="exact"/>
      <w:ind w:firstLine="0" w:firstLineChars="0"/>
      <w:jc w:val="center"/>
      <w:outlineLvl w:val="9"/>
    </w:pPr>
    <w:rPr>
      <w:rFonts w:ascii="Times New Roman" w:hAnsi="Times New Roman" w:eastAsia="宋体"/>
      <w:b/>
      <w:bCs/>
      <w:color w:val="auto"/>
    </w:rPr>
  </w:style>
  <w:style w:type="paragraph" w:customStyle="1" w:styleId="64">
    <w:name w:val="表字1"/>
    <w:basedOn w:val="1"/>
    <w:qFormat/>
    <w:uiPriority w:val="0"/>
    <w:pPr>
      <w:adjustRightInd w:val="0"/>
      <w:snapToGrid w:val="0"/>
      <w:spacing w:line="200" w:lineRule="atLeast"/>
      <w:ind w:left="872"/>
      <w:jc w:val="center"/>
    </w:pPr>
    <w:rPr>
      <w:snapToGrid w:val="0"/>
      <w:kern w:val="0"/>
      <w:szCs w:val="21"/>
    </w:rPr>
  </w:style>
  <w:style w:type="paragraph" w:customStyle="1" w:styleId="65">
    <w:name w:val="A正文啊啊啊啊啊"/>
    <w:basedOn w:val="1"/>
    <w:qFormat/>
    <w:uiPriority w:val="0"/>
    <w:pPr>
      <w:wordWrap w:val="0"/>
      <w:spacing w:line="520" w:lineRule="exact"/>
      <w:ind w:firstLine="720" w:firstLineChars="200"/>
    </w:pPr>
    <w:rPr>
      <w:rFonts w:ascii="Times New Roman" w:hAnsi="Times New Roman" w:eastAsia="宋体" w:cs="宋体"/>
      <w:sz w:val="24"/>
    </w:rPr>
  </w:style>
  <w:style w:type="paragraph" w:customStyle="1" w:styleId="66">
    <w:name w:val="1.1.1.1"/>
    <w:basedOn w:val="1"/>
    <w:qFormat/>
    <w:uiPriority w:val="0"/>
    <w:pPr>
      <w:adjustRightInd w:val="0"/>
      <w:snapToGrid w:val="0"/>
      <w:spacing w:before="100" w:beforeLines="0" w:beforeAutospacing="0" w:after="60" w:afterLines="0" w:afterAutospacing="0" w:line="300" w:lineRule="auto"/>
      <w:jc w:val="left"/>
      <w:textAlignment w:val="baseline"/>
    </w:pPr>
    <w:rPr>
      <w:rFonts w:ascii="黑体" w:eastAsia="黑体"/>
      <w:spacing w:val="4"/>
      <w:kern w:val="0"/>
      <w:sz w:val="24"/>
    </w:rPr>
  </w:style>
  <w:style w:type="paragraph" w:customStyle="1" w:styleId="67">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customStyle="1" w:styleId="68">
    <w:name w:val="Plain Text"/>
    <w:basedOn w:val="1"/>
    <w:qFormat/>
    <w:uiPriority w:val="0"/>
    <w:pPr>
      <w:adjustRightInd w:val="0"/>
      <w:jc w:val="left"/>
    </w:pPr>
    <w:rPr>
      <w:sz w:val="24"/>
      <w:szCs w:val="20"/>
    </w:rPr>
  </w:style>
  <w:style w:type="paragraph" w:customStyle="1" w:styleId="69">
    <w:name w:val="海正文"/>
    <w:basedOn w:val="1"/>
    <w:qFormat/>
    <w:uiPriority w:val="0"/>
    <w:pPr>
      <w:spacing w:line="360" w:lineRule="auto"/>
      <w:ind w:firstLine="200" w:firstLineChars="200"/>
    </w:pPr>
    <w:rPr>
      <w:rFonts w:ascii="宋体" w:hAnsi="宋体" w:cs="宋体"/>
      <w:sz w:val="24"/>
      <w:szCs w:val="20"/>
    </w:rPr>
  </w:style>
  <w:style w:type="paragraph" w:customStyle="1" w:styleId="70">
    <w:name w:val="bg正文首行缩进"/>
    <w:basedOn w:val="1"/>
    <w:qFormat/>
    <w:uiPriority w:val="0"/>
    <w:pPr>
      <w:spacing w:line="400" w:lineRule="exact"/>
      <w:ind w:firstLine="482" w:firstLineChars="200"/>
    </w:pPr>
    <w:rPr>
      <w:rFonts w:ascii="楷体_GB2312" w:eastAsia="楷体_GB2312"/>
      <w:sz w:val="28"/>
      <w:szCs w:val="20"/>
    </w:rPr>
  </w:style>
  <w:style w:type="character" w:customStyle="1" w:styleId="71">
    <w:name w:val="fontstyle01"/>
    <w:basedOn w:val="25"/>
    <w:qFormat/>
    <w:uiPriority w:val="0"/>
    <w:rPr>
      <w:rFonts w:ascii="仿宋" w:hAnsi="仿宋" w:eastAsia="仿宋" w:cs="仿宋"/>
      <w:color w:val="000000"/>
      <w:sz w:val="30"/>
      <w:szCs w:val="30"/>
    </w:rPr>
  </w:style>
  <w:style w:type="paragraph" w:customStyle="1" w:styleId="72">
    <w:name w:val="正文文本1"/>
    <w:basedOn w:val="1"/>
    <w:qFormat/>
    <w:uiPriority w:val="0"/>
    <w:pPr>
      <w:topLinePunct/>
      <w:spacing w:line="500" w:lineRule="exact"/>
      <w:ind w:firstLine="560" w:firstLineChars="200"/>
    </w:pPr>
    <w:rPr>
      <w:rFonts w:ascii="仿宋_GB2312" w:hAnsi="仿宋" w:eastAsia="仿宋_GB2312"/>
      <w:bCs/>
      <w:color w:val="000000"/>
      <w:sz w:val="28"/>
      <w:szCs w:val="28"/>
    </w:rPr>
  </w:style>
  <w:style w:type="paragraph" w:customStyle="1" w:styleId="73">
    <w:name w:val="图名表名"/>
    <w:basedOn w:val="1"/>
    <w:qFormat/>
    <w:uiPriority w:val="0"/>
    <w:pPr>
      <w:kinsoku w:val="0"/>
      <w:overflowPunct w:val="0"/>
      <w:autoSpaceDE w:val="0"/>
      <w:autoSpaceDN w:val="0"/>
      <w:spacing w:line="240" w:lineRule="auto"/>
      <w:ind w:firstLine="0" w:firstLineChars="0"/>
      <w:jc w:val="center"/>
    </w:pPr>
    <w:rPr>
      <w:b/>
      <w:sz w:val="24"/>
    </w:rPr>
  </w:style>
  <w:style w:type="paragraph" w:customStyle="1" w:styleId="74">
    <w:name w:val="表内文字啊啊啊"/>
    <w:unhideWhenUsed/>
    <w:qFormat/>
    <w:uiPriority w:val="0"/>
    <w:pPr>
      <w:widowControl w:val="0"/>
      <w:adjustRightInd w:val="0"/>
      <w:snapToGrid w:val="0"/>
      <w:spacing w:beforeLines="0" w:afterLines="0"/>
      <w:jc w:val="center"/>
    </w:pPr>
    <w:rPr>
      <w:rFonts w:hint="eastAsia" w:ascii="Times New Roman" w:hAnsi="Times New Roman" w:eastAsia="宋体" w:cs="宋体"/>
      <w:color w:val="auto"/>
      <w:kern w:val="2"/>
      <w:sz w:val="21"/>
      <w:szCs w:val="21"/>
      <w:lang w:val="en-US" w:eastAsia="zh-CN" w:bidi="ar-SA"/>
    </w:rPr>
  </w:style>
  <w:style w:type="paragraph" w:customStyle="1" w:styleId="75">
    <w:name w:val="111表格内"/>
    <w:basedOn w:val="1"/>
    <w:qFormat/>
    <w:uiPriority w:val="0"/>
    <w:pPr>
      <w:wordWrap w:val="0"/>
      <w:jc w:val="center"/>
    </w:pPr>
    <w:rPr>
      <w:rFonts w:ascii="Times New Roman" w:hAnsi="Times New Roman"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extobjs>
    <extobj name="ECB019B1-382A-4266-B25C-5B523AA43C14-1">
      <extobjdata type="ECB019B1-382A-4266-B25C-5B523AA43C14" data="ewoJIkZpbGVJZCIgOiAiNTE0MjkxNjA5NDM0IiwKCSJHcm91cElkIiA6ICI2MDkzMDQ4NDEiLAoJIkltYWdlIiA6ICJpVkJPUncwS0dnb0FBQUFOU1VoRVVnQUFCQmdBQUFNckNBWUFBQURqcUNIa0FBQUFBWE5TUjBJQXJzNGM2UUFBSUFCSlJFRlVlSnpzM1hsOFRGZi9CL0RQblpuc0N5SFVFaFVraUFoWnFrb3RwVVNycGYybEtFcFZhbXVWRW52dFcyeTFscVJxRjd2YWkvS0lXQ3FXSUNFRWlTZlNpaVdMSkpLUVNUSzU5L2RIazNreVpoTFptR1I4M3E5WFh6WG4zSHZ1dWRwNzU4NzNudk05Q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ndrZmgvRUtDUjRlRGlXS2NBQUFBQVNVVk9SSzVDWUlJPSIsCgkiVGhlbWUiIDogIiIsCgkiVHlwZSIgOiAiZmxvdyIsCgkiVXNlcklkIiA6ICI1Mjc2NDU0ODciLAoJIlZlcnNpb24iIDogIiIKfQo="/>
    </extobj>
  </extobjs>
</s:customData>
</file>

<file path=customXml/item2.xml><?xml version="1.0" encoding="utf-8"?>
<contractReview xmlns="http://schemas.wps.cn/vas-ai-hub/contract-review">
  <reviewItems>
    <reviewItem>
      <errorID>bca22766-01bf-496e-bf14-863fb80d2f58</errorID>
      <errorWord>：</errorWord>
      <group>L1_Format</group>
      <groupName>格式问题</groupName>
      <ability>L2_HalfPunc</ability>
      <abilityName>全半角检查</abilityName>
      <candidateList>
        <item>:</item>
      </candidateList>
      <explain>文本全半角错误。</explain>
      <paraID>5301BF63</paraID>
      <start>1</start>
      <end>2</end>
      <status>unmodified</status>
      <modifiedWord/>
      <trackRevisions>false</trackRevisions>
    </reviewItem>
    <reviewItem>
      <errorID>6d3b5d9b-76bd-4bf8-b257-338743679615</errorID>
      <errorWord>，</errorWord>
      <group>L1_Format</group>
      <groupName>格式问题</groupName>
      <ability>L2_HalfPunc</ability>
      <abilityName>全半角检查</abilityName>
      <candidateList>
        <item>, </item>
      </candidateList>
      <explain>文本全半角错误。</explain>
      <paraID>5301BF63</paraID>
      <start>15</start>
      <end>16</end>
      <status>unmodified</status>
      <modifiedWord/>
      <trackRevisions>false</trackRevisions>
    </reviewItem>
    <reviewItem>
      <errorID>bdc86567-3cf6-4367-b4df-026ba710c478</errorID>
      <errorWord>：</errorWord>
      <group>L1_Format</group>
      <groupName>格式问题</groupName>
      <ability>L2_HalfPunc</ability>
      <abilityName>全半角检查</abilityName>
      <candidateList>
        <item>:</item>
      </candidateList>
      <explain>文本全半角错误。</explain>
      <paraID>5301BF63</paraID>
      <start>17</start>
      <end>18</end>
      <status>unmodified</status>
      <modifiedWord/>
      <trackRevisions>false</trackRevisions>
    </reviewItem>
    <reviewItem>
      <errorID>c40f32dd-8fd4-4a98-84c4-bca28b56b4e7</errorID>
      <errorWord>-</errorWord>
      <group>L1_Format</group>
      <groupName>格式问题</groupName>
      <ability>L2_HalfPunc</ability>
      <abilityName>全半角检查</abilityName>
      <candidateList>
        <item>－</item>
      </candidateList>
      <explain>文本全半角错误。</explain>
      <paraID>3D4C283D</paraID>
      <start>43</start>
      <end>44</end>
      <status>unmodified</status>
      <modifiedWord/>
      <trackRevisions>false</trackRevisions>
    </reviewItem>
    <reviewItem>
      <errorID>cdc0812a-c8ea-4256-a49e-2c9568d92a41</errorID>
      <errorWord>砂金</errorWord>
      <group>L1_Word</group>
      <groupName>字词问题</groupName>
      <ability>L2_Typo</ability>
      <abilityName>字词错误</abilityName>
      <candidateList>
        <item>沙金</item>
      </candidateList>
      <explain/>
      <paraID> 4F3A632</paraID>
      <start>326</start>
      <end>328</end>
      <status>unmodified</status>
      <modifiedWord/>
      <trackRevisions>false</trackRevisions>
    </reviewItem>
    <reviewItem>
      <errorID>558fd85c-a2f8-4518-8f6f-d48bde9d8a9c</errorID>
      <errorWord>(</errorWord>
      <group>L1_Format</group>
      <groupName>格式问题</groupName>
      <ability>L2_HalfPunc</ability>
      <abilityName>全半角检查</abilityName>
      <candidateList>
        <item>（</item>
      </candidateList>
      <explain>文本全半角错误。</explain>
      <paraID>3BB0326B</paraID>
      <start>97</start>
      <end>98</end>
      <status>unmodified</status>
      <modifiedWord/>
      <trackRevisions>false</trackRevisions>
    </reviewItem>
    <reviewItem>
      <errorID>05f2fff2-c37b-4ec4-9135-e09de0ee7a9b</errorID>
      <errorWord>)</errorWord>
      <group>L1_Format</group>
      <groupName>格式问题</groupName>
      <ability>L2_HalfPunc</ability>
      <abilityName>全半角检查</abilityName>
      <candidateList>
        <item>）</item>
      </candidateList>
      <explain>文本全半角错误。</explain>
      <paraID>3BB0326B</paraID>
      <start>102</start>
      <end>103</end>
      <status>unmodified</status>
      <modifiedWord/>
      <trackRevisions>false</trackRevisions>
    </reviewItem>
    <reviewItem>
      <errorID>461eec7d-dd54-4787-928a-392ce90da83e</errorID>
      <errorWord>(</errorWord>
      <group>L1_Format</group>
      <groupName>格式问题</groupName>
      <ability>L2_HalfPunc</ability>
      <abilityName>全半角检查</abilityName>
      <candidateList>
        <item>（</item>
      </candidateList>
      <explain>文本全半角错误。</explain>
      <paraID>3F45B8AE</paraID>
      <start>146</start>
      <end>147</end>
      <status>unmodified</status>
      <modifiedWord/>
      <trackRevisions>false</trackRevisions>
    </reviewItem>
    <reviewItem>
      <errorID>b67ce760-b714-47cd-9d2c-97c32899584a</errorID>
      <errorWord>)</errorWord>
      <group>L1_Format</group>
      <groupName>格式问题</groupName>
      <ability>L2_HalfPunc</ability>
      <abilityName>全半角检查</abilityName>
      <candidateList>
        <item>）</item>
      </candidateList>
      <explain>文本全半角错误。</explain>
      <paraID>3F45B8AE</paraID>
      <start>164</start>
      <end>165</end>
      <status>unmodified</status>
      <modifiedWord/>
      <trackRevisions>false</trackRevisions>
    </reviewItem>
    <reviewItem>
      <errorID>71381b37-ca48-412c-91ed-1692957a3b0b</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 3048264</paraID>
      <start>214</start>
      <end>223</end>
      <status>unmodified</status>
      <modifiedWord/>
      <trackRevisions>false</trackRevisions>
    </reviewItem>
    <reviewItem>
      <errorID>4a443cab-3d1d-46a3-a8e6-8bdb1da74a11</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7296225D</paraID>
      <start>75</start>
      <end>84</end>
      <status>unmodified</status>
      <modifiedWord/>
      <trackRevisions>false</trackRevisions>
    </reviewItem>
    <reviewItem>
      <errorID>eb535763-a35d-4651-af7a-2afbd0beda1a</errorID>
      <errorWord>期</errorWord>
      <group>L1_Word</group>
      <groupName>字词问题</groupName>
      <ability>L2_Typo</ability>
      <abilityName>字词错误</abilityName>
      <candidateList>
        <item>期间</item>
      </candidateList>
      <explain>〈名〉某个时期里面：农忙～｜春节～｜抗战～。</explain>
      <paraID> 12AB230</paraID>
      <start>24</start>
      <end>25</end>
      <status>unmodified</status>
      <modifiedWord/>
      <trackRevisions>false</trackRevisions>
    </reviewItem>
    <reviewItem>
      <errorID>eb91ba50-4f7f-40d3-b5cc-61f3e7d94e79</errorID>
      <errorWord>，</errorWord>
      <group>L1_Word</group>
      <groupName>字词问题</groupName>
      <ability>L2_Typo</ability>
      <abilityName>字词错误</abilityName>
      <candidateList>
        <item>，在</item>
      </candidateList>
      <explain/>
      <paraID>3BCA6657</paraID>
      <start>42</start>
      <end>43</end>
      <status>unmodified</status>
      <modifiedWord/>
      <trackRevisions>false</trackRevisions>
    </reviewItem>
    <reviewItem>
      <errorID>5484111a-93cb-4fef-abad-ab5410572b61</errorID>
      <errorWord>(</errorWord>
      <group>L1_Format</group>
      <groupName>格式问题</groupName>
      <ability>L2_HalfPunc</ability>
      <abilityName>全半角检查</abilityName>
      <candidateList>
        <item>（</item>
      </candidateList>
      <explain>文本全半角错误。</explain>
      <paraID>767DB7AF</paraID>
      <start>11</start>
      <end>12</end>
      <status>unmodified</status>
      <modifiedWord/>
      <trackRevisions>false</trackRevisions>
    </reviewItem>
    <reviewItem>
      <errorID>ac2dc006-757b-49c1-8c7b-af385d800ec4</errorID>
      <errorWord>)</errorWord>
      <group>L1_Format</group>
      <groupName>格式问题</groupName>
      <ability>L2_HalfPunc</ability>
      <abilityName>全半角检查</abilityName>
      <candidateList>
        <item>）</item>
      </candidateList>
      <explain>文本全半角错误。</explain>
      <paraID>767DB7AF</paraID>
      <start>14</start>
      <end>15</end>
      <status>unmodified</status>
      <modifiedWord/>
      <trackRevisions>false</trackRevisions>
    </reviewItem>
    <reviewItem>
      <errorID>87fa21e0-9776-4f50-99da-291405058932</errorID>
      <errorWord>交有</errorWord>
      <group>L1_Word</group>
      <groupName>字词问题</groupName>
      <ability>L2_Typo</ability>
      <abilityName>字词错误</abilityName>
      <candidateList>
        <item>交由</item>
      </candidateList>
      <explain/>
      <paraID>57F6B611</paraID>
      <start>5</start>
      <end>7</end>
      <status>unmodified</status>
      <modifiedWord/>
      <trackRevisions>false</trackRevisions>
    </reviewItem>
    <reviewItem>
      <errorID>69004de5-0342-4477-a823-845403545e87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12F451C6</paraID>
      <start>0</start>
      <end>2</end>
      <status>unmodified</status>
      <modifiedWord/>
      <trackRevisions>false</trackRevisions>
    </reviewItem>
    <reviewItem>
      <errorID>a34655d9-443c-4318-ae1f-f56613c32f90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40D6AA3E</paraID>
      <start>0</start>
      <end>2</end>
      <status>unmodified</status>
      <modifiedWord/>
      <trackRevisions>false</trackRevisions>
    </reviewItem>
    <reviewItem>
      <errorID>175ced2b-c6d8-4582-81f5-d90b1235e8c1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3DD737E</paraID>
      <start>0</start>
      <end>2</end>
      <status>unmodified</status>
      <modifiedWord/>
      <trackRevisions>false</trackRevisions>
    </reviewItem>
    <reviewItem>
      <errorID>eb64a805-605d-4052-a5b9-64a8098f9c56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7BBEB76A</paraID>
      <start>34</start>
      <end>35</end>
      <status>unmodified</status>
      <modifiedWord/>
      <trackRevisions>false</trackRevisions>
    </reviewItem>
    <reviewItem>
      <errorID>00e8af28-8a12-4703-8285-8f7d0e4985f1</errorID>
      <errorWord>矿</errorWord>
      <group>L1_Word</group>
      <groupName>字词问题</groupName>
      <ability>L2_Typo</ability>
      <abilityName>字词错误</abilityName>
      <candidateList>
        <item>矿工</item>
      </candidateList>
      <explain/>
      <paraID>147B85B9</paraID>
      <start>174</start>
      <end>176</end>
      <status>modified</status>
      <modifiedWord>矿工</modifiedWord>
      <trackRevisions>false</trackRevisions>
    </reviewItem>
    <reviewItem>
      <errorID>b33d6f6a-9ad9-4991-99c9-72c22bd64ae7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A55750A</paraID>
      <start>0</start>
      <end>2</end>
      <status>unmodified</status>
      <modifiedWord/>
      <trackRevisions>false</trackRevisions>
    </reviewItem>
    <reviewItem>
      <errorID>0df4d75a-9c8d-4c0e-b798-0be5145e189c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69040A27</paraID>
      <start>0</start>
      <end>2</end>
      <status>unmodified</status>
      <modifiedWord/>
      <trackRevisions>false</trackRevisions>
    </reviewItem>
    <reviewItem>
      <errorID>fb7d8b5b-f6d5-4c30-95a4-f152bbed08f1</errorID>
      <errorWord>(</errorWord>
      <group>L1_Format</group>
      <groupName>格式问题</groupName>
      <ability>L2_HalfPunc</ability>
      <abilityName>全半角检查</abilityName>
      <candidateList>
        <item>（</item>
      </candidateList>
      <explain>文本全半角错误。</explain>
      <paraID>69040A27</paraID>
      <start>13</start>
      <end>14</end>
      <status>unmodified</status>
      <modifiedWord/>
      <trackRevisions>false</trackRevisions>
    </reviewItem>
    <reviewItem>
      <errorID>aae1a989-27ce-423b-804a-c5156de17693</errorID>
      <errorWord>)</errorWord>
      <group>L1_Format</group>
      <groupName>格式问题</groupName>
      <ability>L2_HalfPunc</ability>
      <abilityName>全半角检查</abilityName>
      <candidateList>
        <item>）</item>
      </candidateList>
      <explain>文本全半角错误。</explain>
      <paraID>69040A27</paraID>
      <start>16</start>
      <end>17</end>
      <status>unmodified</status>
      <modifiedWord/>
      <trackRevisions>false</trackRevisions>
    </reviewItem>
    <reviewItem>
      <errorID>34b0e2ee-fa80-4226-bbf3-20304e468265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65CB1283</paraID>
      <start>0</start>
      <end>2</end>
      <status>unmodified</status>
      <modifiedWord/>
      <trackRevisions>false</trackRevisions>
    </reviewItem>
    <reviewItem>
      <errorID>b45977f2-40a0-4cc1-9bf2-0257b2bc57bf</errorID>
      <errorWord>2千</errorWord>
      <group>L1_Knowledge</group>
      <groupName>知识性问题</groupName>
      <ability>L2_Knowledge</ability>
      <abilityName>其他知识</abilityName>
      <candidateList>
        <item>2000</item>
      </candidateList>
      <explain/>
      <paraID>1EB08BE1</paraID>
      <start>2</start>
      <end>4</end>
      <status>unmodified</status>
      <modifiedWord/>
      <trackRevisions>false</trackRevisions>
    </reviewItem>
    <reviewItem>
      <errorID>b586a21b-4280-45de-bad1-c03c8837644a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5BF0EECF</paraID>
      <start>0</start>
      <end>2</end>
      <status>unmodified</status>
      <modifiedWord/>
      <trackRevisions>false</trackRevisions>
    </reviewItem>
    <reviewItem>
      <errorID>de80a83a-b352-40d8-a452-6841c9f70735</errorID>
      <errorWord>:</errorWord>
      <group>L1_Format</group>
      <groupName>格式问题</groupName>
      <ability>L2_HalfPunc</ability>
      <abilityName>全半角检查</abilityName>
      <candidateList>
        <item>：</item>
      </candidateList>
      <explain>文本全半角错误。</explain>
      <paraID>6ADA7BA6</paraID>
      <start>64</start>
      <end>65</end>
      <status>modified</status>
      <modifiedWord>：</modifiedWord>
      <trackRevisions>false</trackRevisions>
    </reviewItem>
    <reviewItem>
      <errorID>883a00c9-4ef8-4ecd-856a-4e1658c45d3c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57DC5C35</paraID>
      <start>0</start>
      <end>2</end>
      <status>unmodified</status>
      <modifiedWord/>
      <trackRevisions>false</trackRevisions>
    </reviewItem>
    <reviewItem>
      <errorID>68679589-a498-49fd-b224-a9edd4ba78d0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2E106384</paraID>
      <start>0</start>
      <end>2</end>
      <status>unmodified</status>
      <modifiedWord/>
      <trackRevisions>false</trackRevisions>
    </reviewItem>
    <reviewItem>
      <errorID>706e6a43-16fd-4ac8-b8cf-acc59db6034b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53C04082</paraID>
      <start>0</start>
      <end>2</end>
      <status>unmodified</status>
      <modifiedWord/>
      <trackRevisions>false</trackRevisions>
    </reviewItem>
    <reviewItem>
      <errorID>6f24c943-68e9-495e-960b-39e7c2b8ea1f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5D2C820D</paraID>
      <start>93</start>
      <end>94</end>
      <status>unmodified</status>
      <modifiedWord/>
      <trackRevisions>false</trackRevisions>
    </reviewItem>
    <reviewItem>
      <errorID>0533b9ca-4489-4068-9360-c8b0cf7fe0b5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67C9534C</paraID>
      <start>0</start>
      <end>2</end>
      <status>unmodified</status>
      <modifiedWord/>
      <trackRevisions>false</trackRevisions>
    </reviewItem>
    <reviewItem>
      <errorID>85bc03f8-feda-443e-bc4b-ff6156dd148d</errorID>
      <errorWord>-</errorWord>
      <group>L1_Format</group>
      <groupName>格式问题</groupName>
      <ability>L2_HalfPunc</ability>
      <abilityName>全半角检查</abilityName>
      <candidateList>
        <item>－</item>
      </candidateList>
      <explain>文本全半角错误。</explain>
      <paraID>5AB4ED5C</paraID>
      <start>98</start>
      <end>99</end>
      <status>unmodified</status>
      <modifiedWord/>
      <trackRevisions>false</trackRevisions>
    </reviewItem>
    <reviewItem>
      <errorID>3fd06cdb-6338-41a7-8cf6-61087db9bf07</errorID>
      <errorWord>-</errorWord>
      <group>L1_Format</group>
      <groupName>格式问题</groupName>
      <ability>L2_HalfPunc</ability>
      <abilityName>全半角检查</abilityName>
      <candidateList>
        <item>－</item>
      </candidateList>
      <explain>文本全半角错误。</explain>
      <paraID>5AB4ED5C</paraID>
      <start>101</start>
      <end>102</end>
      <status>unmodified</status>
      <modifiedWord/>
      <trackRevisions>false</trackRevisions>
    </reviewItem>
    <reviewItem>
      <errorID>b3c2c947-d1b0-4a73-9b53-a5d60a933fd4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56E46DB</paraID>
      <start>0</start>
      <end>2</end>
      <status>unmodified</status>
      <modifiedWord/>
      <trackRevisions>false</trackRevisions>
    </reviewItem>
    <reviewItem>
      <errorID>d442587a-d323-4180-9a0d-7cf892c17072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12D1E7C9</paraID>
      <start>0</start>
      <end>3</end>
      <status>unmodified</status>
      <modifiedWord/>
      <trackRevisions>false</trackRevisions>
    </reviewItem>
    <reviewItem>
      <errorID>e9a36af3-5d39-4d3e-b2c7-beb6f74f2b5a</errorID>
      <errorWord>心</errorWord>
      <group>L1_Word</group>
      <groupName>字词问题</groupName>
      <ability>L2_Typo</ability>
      <abilityName>字词错误</abilityName>
      <candidateList>
        <item>芯</item>
      </candidateList>
      <explain/>
      <paraID>339ED2BB</paraID>
      <start>84</start>
      <end>85</end>
      <status>unmodified</status>
      <modifiedWord/>
      <trackRevisions>false</trackRevisions>
    </reviewItem>
    <reviewItem>
      <errorID>16c9015c-fa47-42ad-a631-a1ae305f04ab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16441AF8</paraID>
      <start>5</start>
      <end>6</end>
      <status>unmodified</status>
      <modifiedWord/>
      <trackRevisions>false</trackRevisions>
    </reviewItem>
    <reviewItem>
      <errorID>f980396d-215f-474a-9f4a-8f242fa21fb6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36ED5196</paraID>
      <start>5</start>
      <end>6</end>
      <status>unmodified</status>
      <modifiedWord/>
      <trackRevisions>false</trackRevisions>
    </reviewItem>
    <reviewItem>
      <errorID>4d0c5a7c-ca5d-4131-9521-7fe2fe70d352</errorID>
      <errorWord>勘查</errorWord>
      <group>L1_Word</group>
      <groupName>字词问题</groupName>
      <ability>L2_Typo</ability>
      <abilityName>字词错误</abilityName>
      <candidateList>
        <item>勘察</item>
      </candidateList>
      <explain>存在发音相同字词的误用。</explain>
      <paraID>57ECC29F</paraID>
      <start>31</start>
      <end>33</end>
      <status>unmodified</status>
      <modifiedWord/>
      <trackRevisions>false</trackRevisions>
    </reviewItem>
    <reviewItem>
      <errorID>21504ca5-fb14-4625-a9e4-0e12a0f6f46f</errorID>
      <errorWord>心</errorWord>
      <group>L1_Word</group>
      <groupName>字词问题</groupName>
      <ability>L2_Typo</ability>
      <abilityName>字词错误</abilityName>
      <candidateList>
        <item>芯</item>
      </candidateList>
      <explain/>
      <paraID>51F55AEC</paraID>
      <start>26</start>
      <end>27</end>
      <status>unmodified</status>
      <modifiedWord/>
      <trackRevisions>false</trackRevisions>
    </reviewItem>
    <reviewItem>
      <errorID>f8bb120f-87c1-42d5-8a81-922a67579125</errorID>
      <errorWord>74．</errorWord>
      <group>L1_Format</group>
      <groupName>格式问题</groupName>
      <ability>L2_Ordinal</ability>
      <abilityName>序号格式</abilityName>
      <candidateList>
        <item>74.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459C58A1</paraID>
      <start>0</start>
      <end>3</end>
      <status>unmodified</status>
      <modifiedWord/>
      <trackRevisions>false</trackRevisions>
    </reviewItem>
    <reviewItem>
      <errorID>ef8430e2-fc65-44cc-9f55-909c6f23a8e7</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4548DD02</paraID>
      <start>5</start>
      <end>12</end>
      <status>unmodified</status>
      <modifiedWord/>
      <trackRevisions>false</trackRevisions>
    </reviewItem>
    <reviewItem>
      <errorID>5a48af60-d407-4499-8fe7-9601448d57d0</errorID>
      <errorWord>（</errorWord>
      <group>L1_Format</group>
      <groupName>格式问题</groupName>
      <ability>L2_HalfPunc</ability>
      <abilityName>全半角检查</abilityName>
      <candidateList>
        <item>(</item>
      </candidateList>
      <explain>文本全半角错误。</explain>
      <paraID>744C5851</paraID>
      <start>0</start>
      <end>1</end>
      <status>unmodified</status>
      <modifiedWord/>
      <trackRevisions>false</trackRevisions>
    </reviewItem>
    <reviewItem>
      <errorID>c7a3711e-ddfd-4820-974b-459fc0a4316e</errorID>
      <errorWord>）</errorWord>
      <group>L1_Format</group>
      <groupName>格式问题</groupName>
      <ability>L2_HalfPunc</ability>
      <abilityName>全半角检查</abilityName>
      <candidateList>
        <item>)</item>
      </candidateList>
      <explain>文本全半角错误。</explain>
      <paraID>744C5851</paraID>
      <start>6</start>
      <end>7</end>
      <status>unmodified</status>
      <modifiedWord/>
      <trackRevisions>false</trackRevisions>
    </reviewItem>
    <reviewItem>
      <errorID>cf1acdff-1b38-4443-b0a1-edc7bcb49f92</errorID>
      <errorWord>(</errorWord>
      <group>L1_Format</group>
      <groupName>格式问题</groupName>
      <ability>L2_HalfPunc</ability>
      <abilityName>全半角检查</abilityName>
      <candidateList>
        <item>（</item>
      </candidateList>
      <explain>文本全半角错误。</explain>
      <paraID> 10BB6F4</paraID>
      <start>26</start>
      <end>27</end>
      <status>unmodified</status>
      <modifiedWord/>
      <trackRevisions>false</trackRevisions>
    </reviewItem>
    <reviewItem>
      <errorID>5cc4c6c6-8e4c-426d-bf21-79e33fe384b3</errorID>
      <errorWord>)</errorWord>
      <group>L1_Format</group>
      <groupName>格式问题</groupName>
      <ability>L2_HalfPunc</ability>
      <abilityName>全半角检查</abilityName>
      <candidateList>
        <item>）</item>
      </candidateList>
      <explain>文本全半角错误。</explain>
      <paraID> 10BB6F4</paraID>
      <start>35</start>
      <end>36</end>
      <status>unmodified</status>
      <modifiedWord/>
      <trackRevisions>false</trackRevisions>
    </reviewItem>
    <reviewItem>
      <errorID>cb5a4317-9d72-41d2-899b-32dd4b56eee9</errorID>
      <errorWord>(</errorWord>
      <group>L1_Format</group>
      <groupName>格式问题</groupName>
      <ability>L2_HalfPunc</ability>
      <abilityName>全半角检查</abilityName>
      <candidateList>
        <item>（</item>
      </candidateList>
      <explain>文本全半角错误。</explain>
      <paraID> 10BB6F4</paraID>
      <start>37</start>
      <end>38</end>
      <status>unmodified</status>
      <modifiedWord/>
      <trackRevisions>false</trackRevisions>
    </reviewItem>
    <reviewItem>
      <errorID>7b597de6-c2b8-4084-851b-54dd8b074a01</errorID>
      <errorWord>)</errorWord>
      <group>L1_Format</group>
      <groupName>格式问题</groupName>
      <ability>L2_HalfPunc</ability>
      <abilityName>全半角检查</abilityName>
      <candidateList>
        <item>）</item>
      </candidateList>
      <explain>文本全半角错误。</explain>
      <paraID> 10BB6F4</paraID>
      <start>51</start>
      <end>52</end>
      <status>unmodified</status>
      <modifiedWord/>
      <trackRevisions>false</trackRevisions>
    </reviewItem>
    <reviewItem>
      <errorID>0827ab57-b030-41cb-89a0-232bdc1a4295</errorID>
      <errorWord>法律、法规</errorWord>
      <group>L1_Word</group>
      <groupName>字词问题</groupName>
      <ability>L2_Typo</ability>
      <abilityName>字词错误</abilityName>
      <candidateList>
        <item>法律法规</item>
      </candidateList>
      <explain/>
      <paraID>3E0F2EAE</paraID>
      <start>218</start>
      <end>223</end>
      <status>unmodified</status>
      <modifiedWord/>
      <trackRevisions>false</trackRevisions>
    </reviewItem>
    <reviewItem>
      <errorID>2ffb4b15-0f07-4f99-ad01-8c3367b47830</errorID>
      <errorWord>)</errorWord>
      <group>L1_Format</group>
      <groupName>格式问题</groupName>
      <ability>L2_HalfPunc</ability>
      <abilityName>全半角检查</abilityName>
      <candidateList>
        <item>）</item>
      </candidateList>
      <explain>文本全半角错误。</explain>
      <paraID>762EF2AC</paraID>
      <start>76</start>
      <end>77</end>
      <status>unmodified</status>
      <modifiedWord/>
      <trackRevisions>false</trackRevisions>
    </reviewItem>
    <reviewItem>
      <errorID>96bab199-4b44-476f-a340-55a5fbc7cc93</errorID>
      <errorWord>)</errorWord>
      <group>L1_Format</group>
      <groupName>格式问题</groupName>
      <ability>L2_HalfPunc</ability>
      <abilityName>全半角检查</abilityName>
      <candidateList>
        <item>）</item>
      </candidateList>
      <explain>文本全半角错误。</explain>
      <paraID>53848930</paraID>
      <start>66</start>
      <end>67</end>
      <status>unmodified</status>
      <modifiedWord/>
      <trackRevisions>false</trackRevisions>
    </reviewItem>
    <reviewItem>
      <errorID>ed83dd64-8362-4bec-a74e-3e38fb20e83e</errorID>
      <errorWord>心</errorWord>
      <group>L1_Word</group>
      <groupName>字词问题</groupName>
      <ability>L2_Typo</ability>
      <abilityName>字词错误</abilityName>
      <candidateList>
        <item>芯</item>
      </candidateList>
      <explain/>
      <paraID>6D2472BC</paraID>
      <start>26</start>
      <end>27</end>
      <status>unmodified</status>
      <modifiedWord/>
      <trackRevisions>false</trackRevisions>
    </reviewItem>
    <reviewItem>
      <errorID>24004cc3-0ff0-40fe-80ce-eb5b1691c844</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3D20866F</paraID>
      <start>2</start>
      <end>22</end>
      <status>unmodified</status>
      <modifiedWord/>
      <trackRevisions>false</trackRevisions>
    </reviewItem>
    <reviewItem>
      <errorID>934971fd-fdb7-4640-9ada-23b5176304ab</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14A7168D</paraID>
      <start>40</start>
      <end>42</end>
      <status>unmodified</status>
      <modifiedWord/>
      <trackRevisions>false</trackRevisions>
    </reviewItem>
    <reviewItem>
      <errorID>202b9fcf-0d53-44e3-9130-cf1a342ec4d3</errorID>
      <errorWord>巩固脱贫攻坚成果</errorWord>
      <group>L1_Word</group>
      <groupName>字词问题</groupName>
      <ability>L2_Typo</ability>
      <abilityName>字词错误</abilityName>
      <candidateList>
        <item>巩固拓展脱贫攻坚成果</item>
      </candidateList>
      <explain/>
      <paraID>14A7168D</paraID>
      <start>92</start>
      <end>100</end>
      <status>unmodified</status>
      <modifiedWord/>
      <trackRevisions>false</trackRevisions>
    </reviewItem>
    <reviewItem>
      <errorID>3cebf85b-3594-4e7f-b68b-65d7f692beee</errorID>
      <errorWord>须</errorWord>
      <group>L1_Word</group>
      <groupName>字词问题</groupName>
      <ability>L2_Typo</ability>
      <abilityName>字词错误</abilityName>
      <candidateList>
        <item>需</item>
      </candidateList>
      <explain>存在发音相同字词的误用。</explain>
      <paraID>61DA9344</paraID>
      <start>7</start>
      <end>8</end>
      <status>unmodified</status>
      <modifiedWord/>
      <trackRevisions>false</trackRevisions>
    </reviewItem>
    <reviewItem>
      <errorID>3645f285-05d5-46dd-adc0-e1b7d4cb1b58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1B4B04C</paraID>
      <start>115</start>
      <end>116</end>
      <status>unmodified</status>
      <modifiedWord/>
      <trackRevisions>false</trackRevisions>
    </reviewItem>
    <reviewItem>
      <errorID>a8be9b8f-d2b3-4c0f-a302-b058a7233264</errorID>
      <errorWord>期</errorWord>
      <group>L1_Word</group>
      <groupName>字词问题</groupName>
      <ability>L2_Typo</ability>
      <abilityName>字词错误</abilityName>
      <candidateList>
        <item>期间</item>
      </candidateList>
      <explain>〈名〉某个时期里面：农忙～｜春节～｜抗战～。</explain>
      <paraID>6DDF1DFF</paraID>
      <start>2</start>
      <end>3</end>
      <status>unmodified</status>
      <modifiedWord/>
      <trackRevisions>false</trackRevisions>
    </reviewItem>
    <reviewItem>
      <errorID>87df5e43-c03a-407b-b204-cd4ea536ec9d</errorID>
      <errorWord>主要以水力侵蚀为主</errorWord>
      <group>L1_Grammar</group>
      <groupName>语法问题</groupName>
      <ability>L2_Grammar</ability>
      <abilityName>语法错误</abilityName>
      <candidateList>
        <item>以水力侵蚀为主</item>
      </candidateList>
      <explain/>
      <paraID>4B5AE18E</paraID>
      <start>65</start>
      <end>72</end>
      <status>modified</status>
      <modifiedWord>以水力侵蚀为主</modifiedWord>
      <trackRevisions>false</trackRevisions>
    </reviewItem>
    <reviewItem>
      <errorID>1f02d176-b61f-4c30-b67b-dad6e7c80db4</errorID>
      <errorWord>期</errorWord>
      <group>L1_Word</group>
      <groupName>字词问题</groupName>
      <ability>L2_Typo</ability>
      <abilityName>字词错误</abilityName>
      <candidateList>
        <item>期间</item>
      </candidateList>
      <explain>〈名〉某个时期里面：农忙～｜春节～｜抗战～。</explain>
      <paraID>2B44193A</paraID>
      <start>118</start>
      <end>119</end>
      <status>unmodified</status>
      <modifiedWord/>
      <trackRevisions>false</trackRevisions>
    </reviewItem>
    <reviewItem>
      <errorID>517bd717-9c1a-42a9-849b-5820ebbea566</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71390334</paraID>
      <start>11</start>
      <end>13</end>
      <status>unmodified</status>
      <modifiedWord/>
      <trackRevisions>false</trackRevisions>
    </reviewItem>
    <reviewItem>
      <errorID>1ebc6a1c-8453-4c3e-bfd4-d33cc7b71063</errorID>
      <errorWord>(</errorWord>
      <group>L1_Format</group>
      <groupName>格式问题</groupName>
      <ability>L2_HalfPunc</ability>
      <abilityName>全半角检查</abilityName>
      <candidateList>
        <item>（</item>
      </candidateList>
      <explain>文本全半角错误。</explain>
      <paraID>537C2560</paraID>
      <start>20</start>
      <end>21</end>
      <status>unmodified</status>
      <modifiedWord/>
      <trackRevisions>false</trackRevisions>
    </reviewItem>
    <reviewItem>
      <errorID>1b50cf67-061e-47d2-8e83-726a4d8f53eb</errorID>
      <errorWord>)</errorWord>
      <group>L1_Format</group>
      <groupName>格式问题</groupName>
      <ability>L2_HalfPunc</ability>
      <abilityName>全半角检查</abilityName>
      <candidateList>
        <item>）</item>
      </candidateList>
      <explain>文本全半角错误。</explain>
      <paraID>537C2560</paraID>
      <start>23</start>
      <end>24</end>
      <status>unmodified</status>
      <modifiedWord/>
      <trackRevisions>false</trackRevisions>
    </reviewItem>
    <reviewItem>
      <errorID>3d8e2f7b-bf2b-4297-b5eb-8fe051c477ee</errorID>
      <errorWord>(</errorWord>
      <group>L1_Format</group>
      <groupName>格式问题</groupName>
      <ability>L2_HalfPunc</ability>
      <abilityName>全半角检查</abilityName>
      <candidateList>
        <item>（</item>
      </candidateList>
      <explain>文本全半角错误。</explain>
      <paraID>537C2560</paraID>
      <start>25</start>
      <end>26</end>
      <status>unmodified</status>
      <modifiedWord/>
      <trackRevisions>false</trackRevisions>
    </reviewItem>
    <reviewItem>
      <errorID>9f32d392-80a4-4b74-9759-b7e884ad878e</errorID>
      <errorWord>)</errorWord>
      <group>L1_Format</group>
      <groupName>格式问题</groupName>
      <ability>L2_HalfPunc</ability>
      <abilityName>全半角检查</abilityName>
      <candidateList>
        <item>）</item>
      </candidateList>
      <explain>文本全半角错误。</explain>
      <paraID>537C2560</paraID>
      <start>37</start>
      <end>38</end>
      <status>unmodified</status>
      <modifiedWord/>
      <trackRevisions>false</trackRevisions>
    </reviewItem>
    <reviewItem>
      <errorID>6efb086f-7016-4f57-92db-6a1615f52fb8</errorID>
      <errorWord>交有</errorWord>
      <group>L1_Word</group>
      <groupName>字词问题</groupName>
      <ability>L2_Typo</ability>
      <abilityName>字词错误</abilityName>
      <candidateList>
        <item>交由</item>
      </candidateList>
      <explain>存在发音相同字词的误用。</explain>
      <paraID>1B470C08</paraID>
      <start>4</start>
      <end>6</end>
      <status>unmodified</status>
      <modifiedWord/>
      <trackRevisions>false</trackRevisions>
    </reviewItem>
    <reviewItem>
      <errorID>e88f3c62-b213-47cd-9e1c-2e417b554ad3</errorID>
      <errorWord>环境污染的</errorWord>
      <group>L1_Word</group>
      <groupName>字词问题</groupName>
      <ability>L2_Typo</ability>
      <abilityName>字词错误</abilityName>
      <candidateList>
        <item>环境污染</item>
      </candidateList>
      <explain>由于人为的因素，环境受到有害物质的污染，使生物的生长繁殖和人类的正常生活受到有害影响。</explain>
      <paraID>7497683A</paraID>
      <start>16</start>
      <end>21</end>
      <status>unmodified</status>
      <modifiedWord/>
      <trackRevisions>false</trackRevisions>
    </reviewItem>
    <reviewItem>
      <errorID>9b94a66c-0cd3-43bb-9fe5-22573287ceb2</errorID>
      <errorWord>有粘性的</errorWord>
      <group>L1_Word</group>
      <groupName>字词问题</groupName>
      <ability>L2_Alias</ability>
      <abilityName>也作/曾用词</abilityName>
      <candidateList>
        <item>有黏性的</item>
      </candidateList>
      <explain>词汇[有粘性的]为不规范表述或旧称，其规范书面表述为[有黏性的]。</explain>
      <paraID> 190D395</paraID>
      <start>5</start>
      <end>9</end>
      <status>unmodified</status>
      <modifiedWord/>
      <trackRevisions>false</trackRevisions>
    </reviewItem>
    <reviewItem>
      <errorID>4489dcd3-519f-45a2-af39-b1aa0c473f72</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7442A303</paraID>
      <start>125</start>
      <end>128</end>
      <status>unmodified</status>
      <modifiedWord/>
      <trackRevisions>false</trackRevisions>
    </reviewItem>
    <reviewItem>
      <errorID>f26881c5-05b5-4b12-b765-9db1e2ec553a</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7A055261</paraID>
      <start>14</start>
      <end>16</end>
      <status>unmodified</status>
      <modifiedWord/>
      <trackRevisions>false</trackRevisions>
    </reviewItem>
    <reviewItem>
      <errorID>f0f3c382-877b-4abf-8ce6-fe9c18f44232</errorID>
      <errorWord>IV</errorWord>
      <group>L1_Knowledge</group>
      <groupName>知识性问题</groupName>
      <ability>L2_Knowledge</ability>
      <abilityName>其他知识</abilityName>
      <candidateList>
        <item>Ⅳ</item>
      </candidateList>
      <explain/>
      <paraID>3F4B506A</paraID>
      <start>0</start>
      <end>2</end>
      <status>unmodified</status>
      <modifiedWord/>
      <trackRevisions>false</trackRevisions>
    </reviewItem>
    <reviewItem>
      <errorID>4e0da862-d859-4af3-b33d-cbc66cea1d9f</errorID>
      <errorWord>III</errorWord>
      <group>L1_Word</group>
      <groupName>字词问题</groupName>
      <ability>L2_Typo</ability>
      <abilityName>字词错误</abilityName>
      <candidateList>
        <item>Ⅲ</item>
      </candidateList>
      <explain/>
      <paraID>65E37AE8</paraID>
      <start>0</start>
      <end>3</end>
      <status>unmodified</status>
      <modifiedWord/>
      <trackRevisions>false</trackRevisions>
    </reviewItem>
    <reviewItem>
      <errorID>f004efa0-a39c-4cce-8d02-9bfcfa271986</errorID>
      <errorWord>*</errorWord>
      <group>L1_Punc</group>
      <groupName>标点问题</groupName>
      <ability>L2_Punc</ability>
      <abilityName>标点符号检查</abilityName>
      <candidateList/>
      <explain/>
      <paraID>18800007</paraID>
      <start>0</start>
      <end>1</end>
      <status>unmodified</status>
      <modifiedWord/>
      <trackRevisions>false</trackRevisions>
    </reviewItem>
    <reviewItem>
      <errorID>8b2054ce-c020-41ef-8914-093c336d527c</errorID>
      <errorWord>责</errorWord>
      <group>L1_Word</group>
      <groupName>字词问题</groupName>
      <ability>L2_Typo</ability>
      <abilityName>字词错误</abilityName>
      <candidateList>
        <item>责和</item>
      </candidateList>
      <explain/>
      <paraID> 1FD677F</paraID>
      <start>44</start>
      <end>45</end>
      <status>unmodified</status>
      <modifiedWord/>
      <trackRevisions>false</trackRevisions>
    </reviewItem>
    <reviewItem>
      <errorID>1e5b4ce3-c63e-4c0e-b513-3da29e72f5b3</errorID>
      <errorWord>代表了</errorWord>
      <group>L1_Word</group>
      <groupName>字词问题</groupName>
      <ability>L2_Typo</ability>
      <abilityName>字词错误</abilityName>
      <candidateList>
        <item>代表</item>
      </candidateList>
      <explain/>
      <paraID>3B3D3CD6</paraID>
      <start>8</start>
      <end>11</end>
      <status>unmodified</status>
      <modifiedWord/>
      <trackRevisions>false</trackRevisions>
    </reviewItem>
    <reviewItem>
      <errorID>3398de24-fabf-4c99-9a16-bb1d454692e6</errorID>
      <errorWord>环保治理</errorWord>
      <group>L1_Word</group>
      <groupName>字词问题</groupName>
      <ability>L2_Typo</ability>
      <abilityName>字词错误</abilityName>
      <candidateList>
        <item>环境治理</item>
      </candidateList>
      <explain/>
      <paraID>7A0FB776</paraID>
      <start>18</start>
      <end>22</end>
      <status>modified</status>
      <modifiedWord>环境治理</modifiedWord>
      <trackRevisions>false</trackRevisions>
    </reviewItem>
    <reviewItem>
      <errorID>a0497a9f-46f3-4427-ad6c-2488ca1d037a</errorID>
      <errorWord>提高</errorWord>
      <group>L1_Grammar</group>
      <groupName>语法问题</groupName>
      <ability>L2_Grammar</ability>
      <abilityName>语法错误</abilityName>
      <candidateList>
        <item>增强</item>
      </candidateList>
      <explain>“提高～意识”搭配不当，建议修改为“增强～意识”。</explain>
      <paraID> 9818AD6</paraID>
      <start>12</start>
      <end>14</end>
      <status>modified</status>
      <modifiedWord>增强</modifiedWord>
      <trackRevisions>false</trackRevisions>
    </reviewItem>
    <reviewItem>
      <errorID>1f6df35f-a1a1-4189-957a-cb0449012c04</errorID>
      <errorWord>交有</errorWord>
      <group>L1_Word</group>
      <groupName>字词问题</groupName>
      <ability>L2_Typo</ability>
      <abilityName>字词错误</abilityName>
      <candidateList>
        <item>交由</item>
      </candidateList>
      <explain>存在发音相同字词的误用。</explain>
      <paraID>6FE3ED9F</paraID>
      <start>4</start>
      <end>6</end>
      <status>unmodified</status>
      <modifiedWord/>
      <trackRevisions>false</trackRevisions>
    </reviewItem>
    <reviewItem>
      <errorID>ff9f1e15-42ca-40ac-be8b-f52fea45561d</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6BD5CD1F</paraID>
      <start>43</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6958e-8609-4d06-83e7-40a188849229}">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68</Pages>
  <Words>11416</Words>
  <Characters>12483</Characters>
  <Lines>9</Lines>
  <Paragraphs>2</Paragraphs>
  <TotalTime>89</TotalTime>
  <ScaleCrop>false</ScaleCrop>
  <LinksUpToDate>false</LinksUpToDate>
  <CharactersWithSpaces>12580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Administrator</cp:lastModifiedBy>
  <cp:lastPrinted>2025-09-25T04:06:00Z</cp:lastPrinted>
  <dcterms:modified xsi:type="dcterms:W3CDTF">2026-05-26T12:16:31Z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2BA9C55946DE419A8498E6A106CDDACE_13</vt:lpwstr>
  </property>
  <property fmtid="{D5CDD505-2E9C-101B-9397-08002B2CF9AE}" pid="4" name="KSOTemplateDocerSaveRecord">
    <vt:lpwstr>eyJoZGlkIjoiMmNiYWYxMDIxZjJkYzVlZGNmNGEwY2Y2Mzc0ZTlkNzQiLCJ1c2VySWQiOiI1Mjc2NDU0ODcifQ==</vt:lpwstr>
  </property>
</Properties>
</file>