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ind w:left="0" w:leftChars="0" w:firstLine="0" w:firstLineChars="0"/>
        <w:outlineLvl w:val="0"/>
        <w:rPr>
          <w:rFonts w:hint="eastAsia" w:ascii="Times New Roman" w:hAnsi="Times New Roman" w:eastAsia="方正小标宋_GBK" w:cs="Times New Roman"/>
          <w:bCs/>
          <w:sz w:val="72"/>
          <w:szCs w:val="72"/>
          <w:highlight w:val="none"/>
          <w:lang w:eastAsia="zh-CN"/>
        </w:rPr>
      </w:pPr>
      <w:r>
        <w:rPr>
          <w:rFonts w:hint="eastAsia" w:ascii="Times New Roman" w:hAnsi="Times New Roman" w:eastAsia="方正小标宋_GBK" w:cs="Times New Roman"/>
          <w:bCs/>
          <w:sz w:val="72"/>
          <w:szCs w:val="72"/>
          <w:highlight w:val="none"/>
          <w:lang w:eastAsia="zh-CN"/>
        </w:rPr>
        <w:drawing>
          <wp:anchor distT="0" distB="0" distL="114300" distR="114300" simplePos="0" relativeHeight="251659264" behindDoc="0" locked="0" layoutInCell="1" allowOverlap="1">
            <wp:simplePos x="0" y="0"/>
            <wp:positionH relativeFrom="column">
              <wp:posOffset>26035</wp:posOffset>
            </wp:positionH>
            <wp:positionV relativeFrom="paragraph">
              <wp:posOffset>141605</wp:posOffset>
            </wp:positionV>
            <wp:extent cx="5737860" cy="7496810"/>
            <wp:effectExtent l="0" t="0" r="15240" b="8890"/>
            <wp:wrapTopAndBottom/>
            <wp:docPr id="3" name="图片 3" descr="扫描全能王 2026-03-31 09.5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全能王 2026-03-31 09.57_04"/>
                    <pic:cNvPicPr>
                      <a:picLocks noChangeAspect="1"/>
                    </pic:cNvPicPr>
                  </pic:nvPicPr>
                  <pic:blipFill>
                    <a:blip r:embed="rId11"/>
                    <a:srcRect l="8984" t="10046" r="9245" b="14475"/>
                    <a:stretch>
                      <a:fillRect/>
                    </a:stretch>
                  </pic:blipFill>
                  <pic:spPr>
                    <a:xfrm>
                      <a:off x="0" y="0"/>
                      <a:ext cx="5737860" cy="7496810"/>
                    </a:xfrm>
                    <a:prstGeom prst="rect">
                      <a:avLst/>
                    </a:prstGeom>
                  </pic:spPr>
                </pic:pic>
              </a:graphicData>
            </a:graphic>
          </wp:anchor>
        </w:drawing>
      </w:r>
    </w:p>
    <w:p>
      <w:pPr>
        <w:pStyle w:val="10"/>
        <w:keepNext w:val="0"/>
        <w:keepLines w:val="0"/>
        <w:pageBreakBefore w:val="0"/>
        <w:kinsoku/>
        <w:wordWrap/>
        <w:overflowPunct/>
        <w:topLinePunct w:val="0"/>
        <w:autoSpaceDE/>
        <w:autoSpaceDN/>
        <w:bidi w:val="0"/>
        <w:snapToGrid w:val="0"/>
        <w:ind w:firstLine="0" w:firstLineChars="0"/>
        <w:textAlignment w:val="auto"/>
        <w:rPr>
          <w:rFonts w:hint="default" w:ascii="Times New Roman" w:hAnsi="Times New Roman" w:cs="Times New Roman"/>
        </w:rPr>
      </w:pP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default" w:ascii="Times New Roman" w:hAnsi="Times New Roman" w:eastAsia="黑体" w:cs="Times New Roman"/>
          <w:snapToGrid w:val="0"/>
          <w:color w:val="000000"/>
          <w:sz w:val="30"/>
          <w:szCs w:val="30"/>
          <w:highlight w:val="none"/>
        </w:rPr>
      </w:pPr>
      <w:r>
        <w:rPr>
          <w:rFonts w:hint="default" w:ascii="Times New Roman" w:hAnsi="Times New Roman" w:eastAsia="黑体" w:cs="Times New Roman"/>
          <w:snapToGrid w:val="0"/>
          <w:color w:val="000000"/>
          <w:sz w:val="30"/>
          <w:szCs w:val="30"/>
          <w:highlight w:val="none"/>
        </w:rPr>
        <w:t>一、建设项目基本情况</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862"/>
        <w:gridCol w:w="748"/>
        <w:gridCol w:w="2427"/>
        <w:gridCol w:w="1524"/>
        <w:gridCol w:w="67"/>
        <w:gridCol w:w="323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35" w:hRule="atLeast"/>
          <w:jc w:val="center"/>
        </w:trPr>
        <w:tc>
          <w:tcPr>
            <w:tcW w:w="1610" w:type="dxa"/>
            <w:gridSpan w:val="2"/>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sz w:val="21"/>
                <w:szCs w:val="21"/>
              </w:rPr>
              <w:t>建设</w:t>
            </w:r>
            <w:r>
              <w:rPr>
                <w:rFonts w:hint="default" w:ascii="Times New Roman" w:hAnsi="Times New Roman" w:cs="Times New Roman"/>
                <w:color w:val="000000"/>
                <w:sz w:val="21"/>
                <w:szCs w:val="21"/>
                <w:highlight w:val="none"/>
              </w:rPr>
              <w:t>项目名称</w:t>
            </w:r>
          </w:p>
        </w:tc>
        <w:tc>
          <w:tcPr>
            <w:tcW w:w="7255" w:type="dxa"/>
            <w:gridSpan w:val="4"/>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eastAsia="zh-CN"/>
              </w:rPr>
            </w:pPr>
            <w:r>
              <w:rPr>
                <w:rFonts w:hint="eastAsia" w:cs="宋体"/>
                <w:color w:val="000000"/>
                <w:sz w:val="21"/>
                <w:szCs w:val="21"/>
                <w:highlight w:val="none"/>
                <w:lang w:val="en-US" w:eastAsia="zh-CN"/>
              </w:rPr>
              <w:t>巴州安禄能建材有限公司二期装配式水泥制品项目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06" w:hRule="atLeast"/>
          <w:jc w:val="center"/>
        </w:trPr>
        <w:tc>
          <w:tcPr>
            <w:tcW w:w="1610" w:type="dxa"/>
            <w:gridSpan w:val="2"/>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项目代码</w:t>
            </w:r>
          </w:p>
        </w:tc>
        <w:tc>
          <w:tcPr>
            <w:tcW w:w="7255"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08" w:hRule="atLeast"/>
          <w:jc w:val="center"/>
        </w:trPr>
        <w:tc>
          <w:tcPr>
            <w:tcW w:w="1610" w:type="dxa"/>
            <w:gridSpan w:val="2"/>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建设单位联系人</w:t>
            </w:r>
          </w:p>
        </w:tc>
        <w:tc>
          <w:tcPr>
            <w:tcW w:w="2427"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p>
        </w:tc>
        <w:tc>
          <w:tcPr>
            <w:tcW w:w="152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rPr>
            </w:pPr>
          </w:p>
        </w:tc>
        <w:tc>
          <w:tcPr>
            <w:tcW w:w="3304" w:type="dxa"/>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810" w:hRule="atLeast"/>
          <w:jc w:val="center"/>
        </w:trPr>
        <w:tc>
          <w:tcPr>
            <w:tcW w:w="1610" w:type="dxa"/>
            <w:gridSpan w:val="2"/>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建设地点</w:t>
            </w:r>
          </w:p>
        </w:tc>
        <w:tc>
          <w:tcPr>
            <w:tcW w:w="7255" w:type="dxa"/>
            <w:gridSpan w:val="4"/>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624" w:hRule="atLeast"/>
          <w:jc w:val="center"/>
        </w:trPr>
        <w:tc>
          <w:tcPr>
            <w:tcW w:w="1610" w:type="dxa"/>
            <w:gridSpan w:val="2"/>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地理坐标</w:t>
            </w:r>
          </w:p>
        </w:tc>
        <w:tc>
          <w:tcPr>
            <w:tcW w:w="7255" w:type="dxa"/>
            <w:gridSpan w:val="4"/>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color w:val="00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1" w:hRule="atLeast"/>
          <w:jc w:val="center"/>
        </w:trPr>
        <w:tc>
          <w:tcPr>
            <w:tcW w:w="1610" w:type="dxa"/>
            <w:gridSpan w:val="2"/>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国民经济</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行业类别</w:t>
            </w:r>
          </w:p>
        </w:tc>
        <w:tc>
          <w:tcPr>
            <w:tcW w:w="2427"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rPr>
            </w:pPr>
            <w:r>
              <w:rPr>
                <w:rFonts w:hint="default" w:ascii="Times New Roman" w:hAnsi="Times New Roman" w:cs="Times New Roman"/>
                <w:color w:val="000000"/>
                <w:sz w:val="21"/>
                <w:szCs w:val="21"/>
                <w:highlight w:val="none"/>
              </w:rPr>
              <w:t>C3021水泥制品制造</w:t>
            </w:r>
          </w:p>
        </w:tc>
        <w:tc>
          <w:tcPr>
            <w:tcW w:w="1591" w:type="dxa"/>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highlight w:val="none"/>
              </w:rPr>
            </w:pPr>
            <w:bookmarkStart w:id="0" w:name="_Hlk49843745"/>
            <w:r>
              <w:rPr>
                <w:rFonts w:hint="default" w:ascii="Times New Roman" w:hAnsi="Times New Roman" w:cs="Times New Roman"/>
                <w:color w:val="000000"/>
                <w:sz w:val="21"/>
                <w:szCs w:val="21"/>
                <w:highlight w:val="none"/>
              </w:rPr>
              <w:t>建设项目</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行业类别</w:t>
            </w:r>
            <w:bookmarkEnd w:id="0"/>
          </w:p>
        </w:tc>
        <w:tc>
          <w:tcPr>
            <w:tcW w:w="3237"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rPr>
            </w:pPr>
            <w:r>
              <w:rPr>
                <w:rFonts w:hint="default" w:ascii="Times New Roman" w:hAnsi="Times New Roman" w:cs="Times New Roman"/>
                <w:color w:val="000000"/>
                <w:sz w:val="21"/>
                <w:szCs w:val="21"/>
                <w:highlight w:val="none"/>
              </w:rPr>
              <w:t>二十七、非金属矿物制品业-55石膏、水泥制品及类似制品制造中水泥制品制</w:t>
            </w:r>
            <w:bookmarkStart w:id="6" w:name="_GoBack"/>
            <w:bookmarkEnd w:id="6"/>
            <w:r>
              <w:rPr>
                <w:rFonts w:hint="default" w:ascii="Times New Roman" w:hAnsi="Times New Roman" w:cs="Times New Roman"/>
                <w:color w:val="000000"/>
                <w:sz w:val="21"/>
                <w:szCs w:val="21"/>
                <w:highlight w:val="none"/>
              </w:rPr>
              <w:t>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219" w:hRule="atLeast"/>
          <w:jc w:val="center"/>
        </w:trPr>
        <w:tc>
          <w:tcPr>
            <w:tcW w:w="1610" w:type="dxa"/>
            <w:gridSpan w:val="2"/>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建设性质</w:t>
            </w:r>
          </w:p>
        </w:tc>
        <w:tc>
          <w:tcPr>
            <w:tcW w:w="2427"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sz w:val="21"/>
                <w:szCs w:val="21"/>
                <w:highlight w:val="none"/>
              </w:rPr>
            </w:pPr>
            <w:r>
              <w:rPr>
                <w:rFonts w:hint="eastAsia" w:cs="Times New Roman"/>
                <w:color w:val="000000"/>
                <w:sz w:val="21"/>
                <w:szCs w:val="21"/>
                <w:highlight w:val="none"/>
                <w:lang w:eastAsia="zh-CN"/>
              </w:rPr>
              <w:t>□</w:t>
            </w:r>
            <w:r>
              <w:rPr>
                <w:rFonts w:hint="default" w:ascii="Times New Roman" w:hAnsi="Times New Roman" w:cs="Times New Roman"/>
                <w:color w:val="000000"/>
                <w:sz w:val="21"/>
                <w:szCs w:val="21"/>
                <w:highlight w:val="none"/>
              </w:rPr>
              <w:t>新建（迁建）</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sz w:val="21"/>
                <w:szCs w:val="21"/>
                <w:highlight w:val="none"/>
              </w:rPr>
            </w:pPr>
            <w:r>
              <w:rPr>
                <w:rFonts w:hint="eastAsia" w:cs="Times New Roman"/>
                <w:color w:val="000000"/>
                <w:sz w:val="21"/>
                <w:szCs w:val="21"/>
                <w:highlight w:val="none"/>
                <w:lang w:eastAsia="zh-CN"/>
              </w:rPr>
              <w:t>□</w:t>
            </w:r>
            <w:r>
              <w:rPr>
                <w:rFonts w:hint="default" w:ascii="Times New Roman" w:hAnsi="Times New Roman" w:cs="Times New Roman"/>
                <w:color w:val="000000"/>
                <w:sz w:val="21"/>
                <w:szCs w:val="21"/>
                <w:highlight w:val="none"/>
              </w:rPr>
              <w:t>改建</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扩建</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sz w:val="21"/>
                <w:szCs w:val="21"/>
                <w:highlight w:val="none"/>
              </w:rPr>
            </w:pPr>
            <w:r>
              <w:rPr>
                <w:rFonts w:hint="eastAsia" w:cs="Times New Roman"/>
                <w:color w:val="000000"/>
                <w:sz w:val="21"/>
                <w:szCs w:val="21"/>
                <w:highlight w:val="none"/>
                <w:lang w:eastAsia="zh-CN"/>
              </w:rPr>
              <w:t>□</w:t>
            </w:r>
            <w:r>
              <w:rPr>
                <w:rFonts w:hint="default" w:ascii="Times New Roman" w:hAnsi="Times New Roman" w:cs="Times New Roman"/>
                <w:color w:val="000000"/>
                <w:sz w:val="21"/>
                <w:szCs w:val="21"/>
                <w:highlight w:val="none"/>
              </w:rPr>
              <w:t>技术改造</w:t>
            </w:r>
          </w:p>
        </w:tc>
        <w:tc>
          <w:tcPr>
            <w:tcW w:w="1591" w:type="dxa"/>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建设项目</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申报情形</w:t>
            </w:r>
          </w:p>
        </w:tc>
        <w:tc>
          <w:tcPr>
            <w:tcW w:w="3237"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☑首次申报项目</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sz w:val="21"/>
                <w:szCs w:val="21"/>
                <w:highlight w:val="none"/>
              </w:rPr>
            </w:pPr>
            <w:r>
              <w:rPr>
                <w:rFonts w:hint="eastAsia" w:cs="Times New Roman"/>
                <w:color w:val="000000"/>
                <w:sz w:val="21"/>
                <w:szCs w:val="21"/>
                <w:highlight w:val="none"/>
                <w:lang w:eastAsia="zh-CN"/>
              </w:rPr>
              <w:t>□</w:t>
            </w:r>
            <w:r>
              <w:rPr>
                <w:rFonts w:hint="default" w:ascii="Times New Roman" w:hAnsi="Times New Roman" w:cs="Times New Roman"/>
                <w:color w:val="000000"/>
                <w:sz w:val="21"/>
                <w:szCs w:val="21"/>
                <w:highlight w:val="none"/>
              </w:rPr>
              <w:t>不予批准后再次申报项目</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sz w:val="21"/>
                <w:szCs w:val="21"/>
                <w:highlight w:val="none"/>
              </w:rPr>
            </w:pPr>
            <w:r>
              <w:rPr>
                <w:rFonts w:hint="eastAsia" w:cs="Times New Roman"/>
                <w:color w:val="000000"/>
                <w:sz w:val="21"/>
                <w:szCs w:val="21"/>
                <w:highlight w:val="none"/>
                <w:lang w:eastAsia="zh-CN"/>
              </w:rPr>
              <w:t>□</w:t>
            </w:r>
            <w:r>
              <w:rPr>
                <w:rFonts w:hint="default" w:ascii="Times New Roman" w:hAnsi="Times New Roman" w:cs="Times New Roman"/>
                <w:color w:val="000000"/>
                <w:sz w:val="21"/>
                <w:szCs w:val="21"/>
                <w:highlight w:val="none"/>
              </w:rPr>
              <w:t>超五年重新审核项目</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sz w:val="21"/>
                <w:szCs w:val="21"/>
                <w:highlight w:val="none"/>
              </w:rPr>
            </w:pPr>
            <w:r>
              <w:rPr>
                <w:rFonts w:hint="eastAsia" w:cs="Times New Roman"/>
                <w:color w:val="000000"/>
                <w:sz w:val="21"/>
                <w:szCs w:val="21"/>
                <w:highlight w:val="none"/>
                <w:lang w:eastAsia="zh-CN"/>
              </w:rPr>
              <w:t>□</w:t>
            </w:r>
            <w:r>
              <w:rPr>
                <w:rFonts w:hint="default" w:ascii="Times New Roman" w:hAnsi="Times New Roman" w:cs="Times New Roman"/>
                <w:color w:val="000000"/>
                <w:sz w:val="21"/>
                <w:szCs w:val="21"/>
                <w:highlight w:val="none"/>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628" w:hRule="atLeast"/>
          <w:jc w:val="center"/>
        </w:trPr>
        <w:tc>
          <w:tcPr>
            <w:tcW w:w="1610" w:type="dxa"/>
            <w:gridSpan w:val="2"/>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项目审批（核准/备案）部门（选填）</w:t>
            </w:r>
          </w:p>
        </w:tc>
        <w:tc>
          <w:tcPr>
            <w:tcW w:w="2427"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宋体"/>
                <w:color w:val="000000"/>
                <w:sz w:val="21"/>
                <w:szCs w:val="21"/>
                <w:highlight w:val="none"/>
                <w:lang w:val="en-US" w:eastAsia="zh-CN"/>
              </w:rPr>
              <w:t>新疆</w:t>
            </w:r>
            <w:r>
              <w:rPr>
                <w:rFonts w:hint="default" w:eastAsia="宋体" w:cs="宋体"/>
                <w:color w:val="000000"/>
                <w:sz w:val="21"/>
                <w:szCs w:val="21"/>
                <w:highlight w:val="none"/>
                <w:lang w:val="en-US" w:eastAsia="zh-CN"/>
              </w:rPr>
              <w:t>库尔勒市发展和改革委员会</w:t>
            </w:r>
          </w:p>
        </w:tc>
        <w:tc>
          <w:tcPr>
            <w:tcW w:w="1591" w:type="dxa"/>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cs="宋体"/>
                <w:color w:val="000000"/>
                <w:sz w:val="21"/>
                <w:szCs w:val="21"/>
                <w:highlight w:val="none"/>
              </w:rPr>
            </w:pPr>
            <w:r>
              <w:rPr>
                <w:rFonts w:hint="eastAsia" w:cs="宋体"/>
                <w:color w:val="000000"/>
                <w:sz w:val="21"/>
                <w:szCs w:val="21"/>
                <w:highlight w:val="none"/>
              </w:rPr>
              <w:t>项目审批（核准/</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rPr>
            </w:pPr>
            <w:r>
              <w:rPr>
                <w:rFonts w:hint="eastAsia" w:cs="宋体"/>
                <w:color w:val="000000"/>
                <w:sz w:val="21"/>
                <w:szCs w:val="21"/>
                <w:highlight w:val="none"/>
              </w:rPr>
              <w:t>备案）文号（选填）</w:t>
            </w:r>
          </w:p>
        </w:tc>
        <w:tc>
          <w:tcPr>
            <w:tcW w:w="3237"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宋体"/>
                <w:color w:val="000000"/>
                <w:sz w:val="21"/>
                <w:szCs w:val="21"/>
                <w:highlight w:val="none"/>
                <w:lang w:val="en-US" w:eastAsia="zh-CN"/>
              </w:rPr>
              <w:t>20240248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23" w:hRule="atLeast"/>
          <w:jc w:val="center"/>
        </w:trPr>
        <w:tc>
          <w:tcPr>
            <w:tcW w:w="1610" w:type="dxa"/>
            <w:gridSpan w:val="2"/>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总投资（万元）</w:t>
            </w:r>
          </w:p>
        </w:tc>
        <w:tc>
          <w:tcPr>
            <w:tcW w:w="242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宋体"/>
                <w:color w:val="000000"/>
                <w:sz w:val="21"/>
                <w:szCs w:val="21"/>
                <w:highlight w:val="none"/>
                <w:lang w:val="en-US" w:eastAsia="zh-CN"/>
              </w:rPr>
              <w:t>1600</w:t>
            </w:r>
          </w:p>
        </w:tc>
        <w:tc>
          <w:tcPr>
            <w:tcW w:w="1591" w:type="dxa"/>
            <w:gridSpan w:val="2"/>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rPr>
            </w:pPr>
            <w:r>
              <w:rPr>
                <w:rFonts w:hint="eastAsia" w:cs="宋体"/>
                <w:color w:val="000000"/>
                <w:sz w:val="21"/>
                <w:szCs w:val="21"/>
                <w:highlight w:val="none"/>
              </w:rPr>
              <w:t>环保投资（万元）</w:t>
            </w:r>
          </w:p>
        </w:tc>
        <w:tc>
          <w:tcPr>
            <w:tcW w:w="3237"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宋体"/>
                <w:color w:val="000000"/>
                <w:sz w:val="21"/>
                <w:szCs w:val="21"/>
                <w:highlight w:val="none"/>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606" w:hRule="atLeast"/>
          <w:jc w:val="center"/>
        </w:trPr>
        <w:tc>
          <w:tcPr>
            <w:tcW w:w="1610" w:type="dxa"/>
            <w:gridSpan w:val="2"/>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环保投资占比</w:t>
            </w:r>
          </w:p>
        </w:tc>
        <w:tc>
          <w:tcPr>
            <w:tcW w:w="2427"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宋体"/>
                <w:color w:val="000000"/>
                <w:sz w:val="21"/>
                <w:szCs w:val="21"/>
                <w:highlight w:val="none"/>
                <w:lang w:val="en-US" w:eastAsia="zh-CN"/>
              </w:rPr>
              <w:t>1.81%</w:t>
            </w:r>
          </w:p>
        </w:tc>
        <w:tc>
          <w:tcPr>
            <w:tcW w:w="1591" w:type="dxa"/>
            <w:gridSpan w:val="2"/>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rPr>
            </w:pPr>
            <w:r>
              <w:rPr>
                <w:rFonts w:hint="eastAsia" w:cs="宋体"/>
                <w:color w:val="000000"/>
                <w:sz w:val="21"/>
                <w:szCs w:val="21"/>
                <w:highlight w:val="none"/>
              </w:rPr>
              <w:t>施工工期</w:t>
            </w:r>
          </w:p>
        </w:tc>
        <w:tc>
          <w:tcPr>
            <w:tcW w:w="3237"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宋体"/>
                <w:color w:val="000000"/>
                <w:sz w:val="21"/>
                <w:szCs w:val="21"/>
                <w:highlight w:val="none"/>
                <w:lang w:val="en-US" w:eastAsia="zh-CN"/>
              </w:rPr>
              <w:t>1个月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772" w:hRule="atLeast"/>
          <w:jc w:val="center"/>
        </w:trPr>
        <w:tc>
          <w:tcPr>
            <w:tcW w:w="1610" w:type="dxa"/>
            <w:gridSpan w:val="2"/>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是否开工建设</w:t>
            </w:r>
          </w:p>
        </w:tc>
        <w:tc>
          <w:tcPr>
            <w:tcW w:w="2427"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textAlignment w:val="auto"/>
              <w:rPr>
                <w:rFonts w:hint="eastAsia" w:cs="宋体"/>
                <w:color w:val="000000"/>
                <w:sz w:val="21"/>
                <w:szCs w:val="21"/>
                <w:highlight w:val="none"/>
              </w:rPr>
            </w:pPr>
            <w:r>
              <w:rPr>
                <w:rFonts w:hint="eastAsia" w:cs="宋体"/>
                <w:color w:val="000000"/>
                <w:sz w:val="21"/>
                <w:szCs w:val="21"/>
                <w:highlight w:val="none"/>
                <w:lang w:eastAsia="zh-CN"/>
              </w:rPr>
              <w:t>□</w:t>
            </w:r>
            <w:r>
              <w:rPr>
                <w:rFonts w:hint="eastAsia" w:cs="宋体"/>
                <w:color w:val="000000"/>
                <w:sz w:val="21"/>
                <w:szCs w:val="21"/>
                <w:highlight w:val="none"/>
              </w:rPr>
              <w:t>否</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cs="Times New Roman"/>
                <w:color w:val="000000"/>
                <w:sz w:val="21"/>
                <w:szCs w:val="21"/>
                <w:highlight w:val="none"/>
                <w:lang w:val="en-US"/>
              </w:rPr>
            </w:pPr>
            <w:r>
              <w:rPr>
                <w:rFonts w:hint="eastAsia" w:cs="宋体"/>
                <w:color w:val="000000"/>
                <w:sz w:val="21"/>
                <w:szCs w:val="21"/>
                <w:highlight w:val="none"/>
                <w:lang w:eastAsia="zh-CN"/>
              </w:rPr>
              <w:t>☑</w:t>
            </w:r>
            <w:r>
              <w:rPr>
                <w:rFonts w:hint="eastAsia" w:cs="宋体"/>
                <w:color w:val="000000"/>
                <w:sz w:val="21"/>
                <w:szCs w:val="21"/>
                <w:highlight w:val="none"/>
              </w:rPr>
              <w:t>是：</w:t>
            </w:r>
            <w:r>
              <w:rPr>
                <w:rFonts w:hint="eastAsia" w:cs="宋体"/>
                <w:color w:val="000000"/>
                <w:sz w:val="21"/>
                <w:szCs w:val="21"/>
                <w:highlight w:val="none"/>
                <w:u w:val="single"/>
                <w:lang w:val="en-US" w:eastAsia="zh-CN"/>
              </w:rPr>
              <w:t>项目水泥制品生产线、搅拌设备1台、钢筋生产设备及配套附属设施均已基本建设完成</w:t>
            </w:r>
          </w:p>
        </w:tc>
        <w:tc>
          <w:tcPr>
            <w:tcW w:w="1591" w:type="dxa"/>
            <w:gridSpan w:val="2"/>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cs="宋体"/>
                <w:color w:val="000000"/>
                <w:sz w:val="21"/>
                <w:szCs w:val="21"/>
                <w:highlight w:val="none"/>
              </w:rPr>
            </w:pPr>
            <w:r>
              <w:rPr>
                <w:rFonts w:hint="eastAsia" w:cs="宋体"/>
                <w:color w:val="000000"/>
                <w:sz w:val="21"/>
                <w:szCs w:val="21"/>
                <w:highlight w:val="none"/>
              </w:rPr>
              <w:t>用地</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cs="宋体"/>
                <w:color w:val="000000"/>
                <w:sz w:val="21"/>
                <w:szCs w:val="21"/>
                <w:highlight w:val="none"/>
              </w:rPr>
            </w:pPr>
            <w:r>
              <w:rPr>
                <w:rFonts w:hint="eastAsia" w:cs="宋体"/>
                <w:color w:val="000000"/>
                <w:sz w:val="21"/>
                <w:szCs w:val="21"/>
                <w:highlight w:val="none"/>
              </w:rPr>
              <w:t>（用海）</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rPr>
            </w:pPr>
            <w:r>
              <w:rPr>
                <w:rFonts w:hint="eastAsia" w:cs="宋体"/>
                <w:color w:val="000000"/>
                <w:sz w:val="21"/>
                <w:szCs w:val="21"/>
                <w:highlight w:val="none"/>
              </w:rPr>
              <w:t>面积（m</w:t>
            </w:r>
            <w:r>
              <w:rPr>
                <w:rFonts w:hint="eastAsia" w:cs="宋体"/>
                <w:color w:val="000000"/>
                <w:sz w:val="21"/>
                <w:szCs w:val="21"/>
                <w:highlight w:val="none"/>
                <w:vertAlign w:val="superscript"/>
              </w:rPr>
              <w:t>2</w:t>
            </w:r>
            <w:r>
              <w:rPr>
                <w:rFonts w:hint="eastAsia" w:cs="宋体"/>
                <w:color w:val="000000"/>
                <w:sz w:val="21"/>
                <w:szCs w:val="21"/>
                <w:highlight w:val="none"/>
              </w:rPr>
              <w:t>）</w:t>
            </w:r>
          </w:p>
        </w:tc>
        <w:tc>
          <w:tcPr>
            <w:tcW w:w="3237"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宋体"/>
                <w:color w:val="000000"/>
                <w:sz w:val="21"/>
                <w:szCs w:val="21"/>
                <w:highlight w:val="none"/>
                <w:lang w:val="en-US" w:eastAsia="zh-CN"/>
              </w:rPr>
              <w:t>14354.91m</w:t>
            </w:r>
            <w:r>
              <w:rPr>
                <w:rFonts w:hint="eastAsia" w:cs="宋体"/>
                <w:color w:val="000000"/>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79" w:hRule="atLeast"/>
          <w:jc w:val="center"/>
        </w:trPr>
        <w:tc>
          <w:tcPr>
            <w:tcW w:w="1610" w:type="dxa"/>
            <w:gridSpan w:val="2"/>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专项评价设置情况</w:t>
            </w:r>
          </w:p>
        </w:tc>
        <w:tc>
          <w:tcPr>
            <w:tcW w:w="7255" w:type="dxa"/>
            <w:gridSpan w:val="4"/>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42" w:hRule="atLeast"/>
          <w:jc w:val="center"/>
        </w:trPr>
        <w:tc>
          <w:tcPr>
            <w:tcW w:w="1610" w:type="dxa"/>
            <w:gridSpan w:val="2"/>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sz w:val="21"/>
                <w:szCs w:val="21"/>
                <w:highlight w:val="none"/>
              </w:rPr>
              <w:t>规划情况</w:t>
            </w:r>
          </w:p>
        </w:tc>
        <w:tc>
          <w:tcPr>
            <w:tcW w:w="7255" w:type="dxa"/>
            <w:gridSpan w:val="4"/>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color w:val="000000"/>
                <w:kern w:val="0"/>
                <w:sz w:val="21"/>
                <w:szCs w:val="21"/>
                <w:highlight w:val="none"/>
                <w:lang w:val="en-US" w:eastAsia="zh-CN"/>
              </w:rPr>
            </w:pPr>
            <w:r>
              <w:rPr>
                <w:rFonts w:hint="default" w:ascii="Times New Roman" w:hAnsi="Times New Roman" w:cs="Times New Roman"/>
                <w:color w:val="000000"/>
                <w:kern w:val="0"/>
                <w:sz w:val="21"/>
                <w:szCs w:val="21"/>
                <w:highlight w:val="none"/>
                <w:lang w:val="en-US" w:eastAsia="zh-CN"/>
              </w:rPr>
              <w:t>规划名称：《库尔勒上库高新技术产业开发区国土空间专项规划（2024-2035年）》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color w:val="000000"/>
                <w:kern w:val="0"/>
                <w:sz w:val="21"/>
                <w:szCs w:val="21"/>
                <w:highlight w:val="none"/>
                <w:lang w:val="en-US" w:eastAsia="zh-CN"/>
              </w:rPr>
            </w:pPr>
            <w:r>
              <w:rPr>
                <w:rFonts w:hint="default" w:ascii="Times New Roman" w:hAnsi="Times New Roman" w:cs="Times New Roman"/>
                <w:color w:val="000000"/>
                <w:kern w:val="0"/>
                <w:sz w:val="21"/>
                <w:szCs w:val="21"/>
                <w:highlight w:val="none"/>
                <w:lang w:val="en-US" w:eastAsia="zh-CN"/>
              </w:rPr>
              <w:t>审批机关：巴音郭楞蒙古自治州人民政府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color w:val="000000"/>
                <w:kern w:val="0"/>
                <w:sz w:val="21"/>
                <w:szCs w:val="21"/>
                <w:highlight w:val="none"/>
                <w:lang w:val="en-US" w:eastAsia="zh-CN"/>
              </w:rPr>
            </w:pPr>
            <w:r>
              <w:rPr>
                <w:rFonts w:hint="default" w:ascii="Times New Roman" w:hAnsi="Times New Roman" w:cs="Times New Roman"/>
                <w:color w:val="000000"/>
                <w:kern w:val="0"/>
                <w:sz w:val="21"/>
                <w:szCs w:val="21"/>
                <w:highlight w:val="none"/>
                <w:lang w:val="en-US" w:eastAsia="zh-CN"/>
              </w:rPr>
              <w:t>审批文件名称及文号：关于对《库尔勒上库高新技术产业开发区国土空间专项规划（2024-2035年）》的批复（巴政函〔2024〕228号，2024年12月16日）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78" w:hRule="atLeast"/>
          <w:jc w:val="center"/>
        </w:trPr>
        <w:tc>
          <w:tcPr>
            <w:tcW w:w="1610" w:type="dxa"/>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sz w:val="21"/>
                <w:szCs w:val="21"/>
                <w:highlight w:val="none"/>
              </w:rPr>
              <w:t>规划环境影响评价情况</w:t>
            </w:r>
          </w:p>
        </w:tc>
        <w:tc>
          <w:tcPr>
            <w:tcW w:w="7255" w:type="dxa"/>
            <w:gridSpan w:val="4"/>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规划环评文件名称：《</w:t>
            </w:r>
            <w:r>
              <w:rPr>
                <w:rFonts w:hint="default" w:ascii="Times New Roman" w:hAnsi="Times New Roman" w:cs="Times New Roman"/>
                <w:color w:val="000000"/>
                <w:kern w:val="0"/>
                <w:sz w:val="21"/>
                <w:szCs w:val="21"/>
                <w:highlight w:val="none"/>
                <w:lang w:val="en-US" w:eastAsia="zh-CN"/>
              </w:rPr>
              <w:t>库尔勒上库高新技术产业开发区国土空间专项规划（2024-2035年）环境影响报告书</w:t>
            </w:r>
            <w:r>
              <w:rPr>
                <w:rFonts w:hint="default" w:ascii="Times New Roman" w:hAnsi="Times New Roman" w:eastAsia="宋体" w:cs="Times New Roman"/>
                <w:color w:val="000000"/>
                <w:kern w:val="0"/>
                <w:sz w:val="21"/>
                <w:szCs w:val="21"/>
                <w:highlight w:val="no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审查机关：新疆维吾尔自治区生态环境厅</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审批文件名称及文号：《关于〈库尔勒上库高新技术产业开发区国土空间专项规划（2024-2035年）环境影响报告书〉的审查意见》（新环审〔202</w:t>
            </w:r>
            <w:r>
              <w:rPr>
                <w:rFonts w:hint="default" w:ascii="Times New Roman" w:hAnsi="Times New Roman" w:cs="Times New Roman"/>
                <w:color w:val="000000"/>
                <w:kern w:val="0"/>
                <w:sz w:val="21"/>
                <w:szCs w:val="21"/>
                <w:highlight w:val="none"/>
                <w:lang w:val="en-US" w:eastAsia="zh-CN"/>
              </w:rPr>
              <w:t>5</w:t>
            </w:r>
            <w:r>
              <w:rPr>
                <w:rFonts w:hint="default" w:ascii="Times New Roman" w:hAnsi="Times New Roman" w:eastAsia="宋体" w:cs="Times New Roman"/>
                <w:color w:val="000000"/>
                <w:kern w:val="0"/>
                <w:sz w:val="21"/>
                <w:szCs w:val="21"/>
                <w:highlight w:val="none"/>
                <w:lang w:val="en-US" w:eastAsia="zh-CN"/>
              </w:rPr>
              <w:t>〕</w:t>
            </w:r>
            <w:r>
              <w:rPr>
                <w:rFonts w:hint="default" w:ascii="Times New Roman" w:hAnsi="Times New Roman" w:cs="Times New Roman"/>
                <w:color w:val="000000"/>
                <w:kern w:val="0"/>
                <w:sz w:val="21"/>
                <w:szCs w:val="21"/>
                <w:highlight w:val="none"/>
                <w:lang w:val="en-US" w:eastAsia="zh-CN"/>
              </w:rPr>
              <w:t>3</w:t>
            </w:r>
            <w:r>
              <w:rPr>
                <w:rFonts w:hint="default" w:ascii="Times New Roman" w:hAnsi="Times New Roman" w:eastAsia="宋体" w:cs="Times New Roman"/>
                <w:color w:val="000000"/>
                <w:kern w:val="0"/>
                <w:sz w:val="21"/>
                <w:szCs w:val="21"/>
                <w:highlight w:val="none"/>
                <w:lang w:val="en-US" w:eastAsia="zh-CN"/>
              </w:rPr>
              <w:t>03号）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0" w:hRule="atLeast"/>
          <w:jc w:val="center"/>
        </w:trPr>
        <w:tc>
          <w:tcPr>
            <w:tcW w:w="86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kern w:val="0"/>
                <w:sz w:val="28"/>
                <w:szCs w:val="28"/>
                <w:highlight w:val="none"/>
              </w:rPr>
            </w:pPr>
            <w:r>
              <w:rPr>
                <w:rFonts w:hint="default" w:ascii="Times New Roman" w:hAnsi="Times New Roman" w:cs="Times New Roman"/>
                <w:color w:val="000000"/>
                <w:sz w:val="21"/>
                <w:szCs w:val="21"/>
                <w:highlight w:val="none"/>
              </w:rPr>
              <w:t>规划及规划环境影响评价符合性分析</w:t>
            </w:r>
          </w:p>
        </w:tc>
        <w:tc>
          <w:tcPr>
            <w:tcW w:w="8003" w:type="dxa"/>
            <w:gridSpan w:val="5"/>
            <w:noWrap w:val="0"/>
            <w:vAlign w:val="center"/>
          </w:tcPr>
          <w:p>
            <w:pPr>
              <w:pStyle w:val="3"/>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default" w:ascii="Times New Roman" w:hAnsi="Times New Roman" w:cs="Times New Roman"/>
                <w:lang w:val="en-US" w:eastAsia="zh-CN"/>
              </w:rPr>
              <w:t>1.与《库尔勒上库高新技术产业开发区国土空间专项规划（2024-2035年）》符合性分析</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（1）园区概况</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根据《库尔勒上库高新技术产业开发区国土空间专项规划（2024—2035年）》，规划将库尔勒上库高新技术产业开发区形成</w:t>
            </w:r>
            <w:r>
              <w:rPr>
                <w:rFonts w:hint="eastAsia" w:ascii="宋体" w:hAnsi="宋体" w:cs="宋体"/>
                <w:lang w:val="en-US" w:eastAsia="zh-CN"/>
              </w:rPr>
              <w:t>“一园两区”的</w:t>
            </w:r>
            <w:r>
              <w:rPr>
                <w:rFonts w:hint="default" w:ascii="Times New Roman" w:hAnsi="Times New Roman" w:cs="Times New Roman"/>
                <w:lang w:val="en-US" w:eastAsia="zh-CN"/>
              </w:rPr>
              <w:t>总体空间布局，一园为库尔勒上库高新技术产业开发区，两区为上库综合产业园区与石油石化产业园区。</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（2）上库综合产业园国土空间总体格局和产业空间布局</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上库综合产业园形</w:t>
            </w:r>
            <w:r>
              <w:rPr>
                <w:rFonts w:hint="eastAsia" w:ascii="宋体" w:hAnsi="宋体" w:cs="宋体"/>
                <w:lang w:val="en-US" w:eastAsia="zh-CN"/>
              </w:rPr>
              <w:t>成“一心四轴四片区”的</w:t>
            </w:r>
            <w:r>
              <w:rPr>
                <w:rFonts w:hint="default" w:ascii="Times New Roman" w:hAnsi="Times New Roman" w:cs="Times New Roman"/>
                <w:lang w:val="en-US" w:eastAsia="zh-CN"/>
              </w:rPr>
              <w:t>空间结构，石油石化产业园形</w:t>
            </w:r>
            <w:r>
              <w:rPr>
                <w:rFonts w:hint="eastAsia" w:ascii="宋体" w:hAnsi="宋体" w:cs="宋体"/>
                <w:lang w:val="en-US" w:eastAsia="zh-CN"/>
              </w:rPr>
              <w:t>成“一心两轴三带”的</w:t>
            </w:r>
            <w:r>
              <w:rPr>
                <w:rFonts w:hint="default" w:ascii="Times New Roman" w:hAnsi="Times New Roman" w:cs="Times New Roman"/>
                <w:lang w:val="en-US" w:eastAsia="zh-CN"/>
              </w:rPr>
              <w:t>空间结构。</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一心：以库尔勒上库高新技术产业开发区管委会为核心形成综合服务中心。</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四轴：各类产业区结合园区路网及中央绿化隔离带整体形</w:t>
            </w:r>
            <w:r>
              <w:rPr>
                <w:rFonts w:hint="eastAsia" w:ascii="宋体" w:hAnsi="宋体" w:cs="宋体"/>
                <w:lang w:val="en-US" w:eastAsia="zh-CN"/>
              </w:rPr>
              <w:t>成“两横两纵”</w:t>
            </w:r>
            <w:r>
              <w:rPr>
                <w:rFonts w:hint="default" w:ascii="Times New Roman" w:hAnsi="Times New Roman" w:cs="Times New Roman"/>
                <w:lang w:val="en-US" w:eastAsia="zh-CN"/>
              </w:rPr>
              <w:t>四条发展轴线。分别以光华路及上库大道为依托形成一横一纵的主要轴线，分别以上水路及西域大道为依托形成一横一纵的次要轴线。</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四片区：结合规划用地布局及分类，划分为四个区域，包含工业区、商贸物流区、公用设施区及生活办公区。</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本项目位于新疆库尔勒上库高新技术产业开发区综合园安顺路69号，所在区域属于</w:t>
            </w:r>
            <w:r>
              <w:rPr>
                <w:rFonts w:hint="eastAsia" w:ascii="宋体" w:hAnsi="宋体" w:eastAsia="宋体" w:cs="宋体"/>
                <w:lang w:val="en-US" w:eastAsia="zh-CN"/>
              </w:rPr>
              <w:t>“四片区”</w:t>
            </w:r>
            <w:r>
              <w:rPr>
                <w:rFonts w:hint="default" w:ascii="Times New Roman" w:hAnsi="Times New Roman" w:cs="Times New Roman"/>
                <w:lang w:val="en-US" w:eastAsia="zh-CN"/>
              </w:rPr>
              <w:t>中的</w:t>
            </w:r>
            <w:r>
              <w:rPr>
                <w:rFonts w:hint="default" w:ascii="Times New Roman" w:hAnsi="Times New Roman" w:cs="Times New Roman"/>
                <w:highlight w:val="none"/>
                <w:lang w:val="en-US" w:eastAsia="zh-CN"/>
              </w:rPr>
              <w:t>工业区，本项目属于水泥制品制造</w:t>
            </w:r>
            <w:r>
              <w:rPr>
                <w:rFonts w:hint="default" w:ascii="Times New Roman" w:hAnsi="Times New Roman" w:cs="Times New Roman"/>
                <w:lang w:val="en-US" w:eastAsia="zh-CN"/>
              </w:rPr>
              <w:t>，符合上库综合产业园国土空间总体格局和产业空间布局。</w:t>
            </w:r>
          </w:p>
          <w:p>
            <w:pPr>
              <w:pStyle w:val="3"/>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default" w:ascii="Times New Roman" w:hAnsi="Times New Roman" w:cs="Times New Roman"/>
                <w:lang w:val="en-US" w:eastAsia="zh-CN"/>
              </w:rPr>
              <w:t>2.规划环评符合性分析</w:t>
            </w:r>
          </w:p>
          <w:p>
            <w:pPr>
              <w:keepNext w:val="0"/>
              <w:keepLines w:val="0"/>
              <w:suppressLineNumbers w:val="0"/>
              <w:spacing w:before="0" w:beforeAutospacing="0" w:after="0" w:afterAutospacing="0"/>
              <w:ind w:left="0" w:right="0"/>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《关于〈库尔勒上库高新技术产业开发区国土空间专项规划（2024-2035年）环境影响报告书〉的审查意见》（新环审〔2025〕303号）</w:t>
            </w:r>
            <w:r>
              <w:rPr>
                <w:rFonts w:hint="eastAsia" w:cs="Times New Roman"/>
                <w:b w:val="0"/>
                <w:bCs w:val="0"/>
                <w:highlight w:val="none"/>
                <w:lang w:val="en-US" w:eastAsia="zh-CN"/>
              </w:rPr>
              <w:t>提出：</w:t>
            </w:r>
          </w:p>
          <w:p>
            <w:pPr>
              <w:keepNext w:val="0"/>
              <w:keepLines w:val="0"/>
              <w:suppressLineNumbers w:val="0"/>
              <w:spacing w:before="0" w:beforeAutospacing="0" w:after="0" w:afterAutospacing="0"/>
              <w:ind w:left="0" w:right="0"/>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严格管控区域污染物和温室气体排放。严格控制开发强度，优化项目建设时序，落实污染物总量控制、减排任务。采取有效措施减少氮氧化物、挥发性有机物等污染物排放量，各类污染物排放须满足国家及自治区最新污染物排放标准要求。深入开展应对气候变化工作，提出减污降碳协同控制要求，严格控制温室气体排放，确保完成下达的</w:t>
            </w:r>
            <w:r>
              <w:rPr>
                <w:rFonts w:hint="eastAsia" w:ascii="宋体" w:hAnsi="宋体" w:eastAsia="宋体" w:cs="宋体"/>
                <w:b w:val="0"/>
                <w:bCs w:val="0"/>
                <w:highlight w:val="none"/>
                <w:lang w:val="en-US" w:eastAsia="zh-CN"/>
              </w:rPr>
              <w:t>“双碳”</w:t>
            </w:r>
            <w:r>
              <w:rPr>
                <w:rFonts w:hint="default" w:ascii="Times New Roman" w:hAnsi="Times New Roman" w:cs="Times New Roman"/>
                <w:b w:val="0"/>
                <w:bCs w:val="0"/>
                <w:highlight w:val="none"/>
                <w:lang w:val="en-US" w:eastAsia="zh-CN"/>
              </w:rPr>
              <w:t>目标任务。统筹开展</w:t>
            </w:r>
            <w:r>
              <w:rPr>
                <w:rFonts w:hint="eastAsia" w:ascii="宋体" w:hAnsi="宋体" w:eastAsia="宋体" w:cs="宋体"/>
                <w:b w:val="0"/>
                <w:bCs w:val="0"/>
                <w:highlight w:val="none"/>
                <w:lang w:val="en-US" w:eastAsia="zh-CN"/>
              </w:rPr>
              <w:t>“两高”</w:t>
            </w:r>
            <w:r>
              <w:rPr>
                <w:rFonts w:hint="default" w:ascii="Times New Roman" w:hAnsi="Times New Roman" w:cs="Times New Roman"/>
                <w:b w:val="0"/>
                <w:bCs w:val="0"/>
                <w:highlight w:val="none"/>
                <w:lang w:val="en-US" w:eastAsia="zh-CN"/>
              </w:rPr>
              <w:t>项目水资源消耗、污染物和碳排放的源项识别及减污降碳措施要求，推动开发区绿色发展。</w:t>
            </w:r>
          </w:p>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highlight w:val="none"/>
                <w:lang w:val="en-US" w:eastAsia="zh-CN"/>
              </w:rPr>
              <w:t>本项目属于水泥制品制造，项目采取了有效的粉尘和VOC治理措施，</w:t>
            </w:r>
            <w:r>
              <w:rPr>
                <w:rFonts w:hint="eastAsia" w:cs="Times New Roman"/>
                <w:highlight w:val="none"/>
                <w:lang w:val="en-US" w:eastAsia="zh-CN"/>
              </w:rPr>
              <w:t>运营期废气</w:t>
            </w:r>
            <w:r>
              <w:rPr>
                <w:rFonts w:hint="default" w:ascii="Times New Roman" w:hAnsi="Times New Roman" w:cs="Times New Roman"/>
                <w:highlight w:val="none"/>
                <w:lang w:val="en-US" w:eastAsia="zh-CN"/>
              </w:rPr>
              <w:t>能做到达标排放；生产废水经沉淀池沉淀后用于成品养护，不外排；生活污水经化粪池预处理后通过园区污水管网排入铁门关市污水处理厂统一处理。通过采取</w:t>
            </w:r>
            <w:r>
              <w:rPr>
                <w:rFonts w:hint="default"/>
                <w:lang w:val="en-US" w:eastAsia="zh-CN"/>
              </w:rPr>
              <w:t>各项</w:t>
            </w:r>
            <w:r>
              <w:rPr>
                <w:rFonts w:hint="default" w:ascii="Times New Roman" w:hAnsi="Times New Roman" w:cs="Times New Roman"/>
                <w:highlight w:val="none"/>
                <w:lang w:val="en-US" w:eastAsia="zh-CN"/>
              </w:rPr>
              <w:t>污染防治措施，项目运营期各类污染物均能达到国家排放标准要求，不突破所在区域环境质量底线。综上所述，本项目符合</w:t>
            </w:r>
            <w:r>
              <w:rPr>
                <w:rFonts w:hint="eastAsia" w:ascii="宋体" w:hAnsi="宋体" w:eastAsia="宋体" w:cs="宋体"/>
                <w:highlight w:val="none"/>
                <w:lang w:val="en-US" w:eastAsia="zh-CN"/>
              </w:rPr>
              <w:t>“</w:t>
            </w:r>
            <w:r>
              <w:rPr>
                <w:rFonts w:hint="eastAsia" w:cs="Times New Roman"/>
                <w:highlight w:val="none"/>
                <w:lang w:val="en-US" w:eastAsia="zh-CN"/>
              </w:rPr>
              <w:t>《</w:t>
            </w:r>
            <w:r>
              <w:rPr>
                <w:rFonts w:hint="default" w:ascii="Times New Roman" w:hAnsi="Times New Roman" w:cs="Times New Roman"/>
                <w:highlight w:val="none"/>
                <w:lang w:val="en-US" w:eastAsia="zh-CN"/>
              </w:rPr>
              <w:t>关于〈库尔勒上库高新技术产业开发区国土空间专项规划(2024—2035年)环境影响报告书〉的审查意见》（新环审〔202</w:t>
            </w:r>
            <w:r>
              <w:rPr>
                <w:rFonts w:hint="eastAsia" w:cs="Times New Roman"/>
                <w:highlight w:val="none"/>
                <w:lang w:val="en-US" w:eastAsia="zh-CN"/>
              </w:rPr>
              <w:t>5</w:t>
            </w:r>
            <w:r>
              <w:rPr>
                <w:rFonts w:hint="default" w:ascii="Times New Roman" w:hAnsi="Times New Roman" w:cs="Times New Roman"/>
                <w:highlight w:val="none"/>
                <w:lang w:val="en-US" w:eastAsia="zh-CN"/>
              </w:rPr>
              <w:t>〕</w:t>
            </w:r>
            <w:r>
              <w:rPr>
                <w:rFonts w:hint="eastAsia" w:cs="Times New Roman"/>
                <w:highlight w:val="none"/>
                <w:lang w:val="en-US" w:eastAsia="zh-CN"/>
              </w:rPr>
              <w:t>3</w:t>
            </w:r>
            <w:r>
              <w:rPr>
                <w:rFonts w:hint="default" w:ascii="Times New Roman" w:hAnsi="Times New Roman" w:cs="Times New Roman"/>
                <w:highlight w:val="none"/>
                <w:lang w:val="en-US" w:eastAsia="zh-CN"/>
              </w:rPr>
              <w:t>03号）</w:t>
            </w:r>
            <w:r>
              <w:rPr>
                <w:rFonts w:hint="eastAsia" w:ascii="宋体" w:hAnsi="宋体" w:eastAsia="宋体" w:cs="宋体"/>
                <w:highlight w:val="none"/>
                <w:lang w:val="en-US" w:eastAsia="zh-CN"/>
              </w:rPr>
              <w:t>”</w:t>
            </w:r>
            <w:r>
              <w:rPr>
                <w:rFonts w:hint="default" w:ascii="Times New Roman" w:hAnsi="Times New Roman" w:cs="Times New Roman"/>
                <w:highlight w:val="none"/>
                <w:lang w:val="en-US" w:eastAsia="zh-CN"/>
              </w:rPr>
              <w:t>中的要求。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61" w:hRule="atLeast"/>
          <w:jc w:val="center"/>
        </w:trPr>
        <w:tc>
          <w:tcPr>
            <w:tcW w:w="862"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其他符合性分析</w:t>
            </w:r>
          </w:p>
        </w:tc>
        <w:tc>
          <w:tcPr>
            <w:tcW w:w="8003" w:type="dxa"/>
            <w:gridSpan w:val="5"/>
            <w:noWrap w:val="0"/>
            <w:vAlign w:val="center"/>
          </w:tcPr>
          <w:p>
            <w:pPr>
              <w:pStyle w:val="3"/>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default" w:ascii="Times New Roman" w:hAnsi="Times New Roman" w:cs="Times New Roman"/>
                <w:lang w:val="en-US" w:eastAsia="zh-CN"/>
              </w:rPr>
              <w:t>1 产业政策符合性</w:t>
            </w:r>
          </w:p>
          <w:p>
            <w:pPr>
              <w:keepNext w:val="0"/>
              <w:keepLines w:val="0"/>
              <w:suppressLineNumbers w:val="0"/>
              <w:autoSpaceDE w:val="0"/>
              <w:autoSpaceDN w:val="0"/>
              <w:adjustRightInd w:val="0"/>
              <w:snapToGrid w:val="0"/>
              <w:spacing w:before="0" w:beforeAutospacing="0" w:after="0" w:afterAutospacing="0" w:line="520" w:lineRule="exact"/>
              <w:ind w:left="0" w:right="0"/>
              <w:rPr>
                <w:rFonts w:hint="default" w:ascii="Times New Roman" w:hAnsi="Times New Roman" w:cs="Times New Roman"/>
                <w:b w:val="0"/>
                <w:bCs w:val="0"/>
                <w:color w:val="000000"/>
                <w:kern w:val="0"/>
                <w:sz w:val="24"/>
                <w:szCs w:val="24"/>
                <w:highlight w:val="none"/>
                <w:lang w:val="en-US" w:eastAsia="zh-CN"/>
              </w:rPr>
            </w:pPr>
            <w:r>
              <w:rPr>
                <w:rFonts w:hint="eastAsia" w:cs="Times New Roman"/>
                <w:b w:val="0"/>
                <w:bCs w:val="0"/>
                <w:color w:val="000000"/>
                <w:kern w:val="0"/>
                <w:sz w:val="24"/>
                <w:szCs w:val="24"/>
                <w:highlight w:val="none"/>
                <w:lang w:val="en-US" w:eastAsia="zh-CN"/>
              </w:rPr>
              <w:t>根据《国民经济行业分类》（GB/T4754—2017），</w:t>
            </w:r>
            <w:r>
              <w:rPr>
                <w:rFonts w:hint="default" w:ascii="Times New Roman" w:hAnsi="Times New Roman" w:cs="Times New Roman"/>
                <w:b w:val="0"/>
                <w:bCs w:val="0"/>
                <w:color w:val="000000"/>
                <w:kern w:val="0"/>
                <w:sz w:val="24"/>
                <w:szCs w:val="24"/>
                <w:highlight w:val="none"/>
                <w:lang w:val="en-US" w:eastAsia="zh-CN"/>
              </w:rPr>
              <w:t>本项目属于C3021水泥制品制</w:t>
            </w:r>
            <w:r>
              <w:rPr>
                <w:rFonts w:hint="eastAsia" w:cs="Times New Roman"/>
                <w:b w:val="0"/>
                <w:bCs w:val="0"/>
                <w:color w:val="000000"/>
                <w:kern w:val="0"/>
                <w:sz w:val="24"/>
                <w:szCs w:val="24"/>
                <w:highlight w:val="none"/>
                <w:lang w:val="en-US" w:eastAsia="zh-CN"/>
              </w:rPr>
              <w:t>造</w:t>
            </w:r>
            <w:r>
              <w:rPr>
                <w:rFonts w:hint="default" w:ascii="Times New Roman" w:hAnsi="Times New Roman" w:cs="Times New Roman"/>
                <w:b w:val="0"/>
                <w:bCs w:val="0"/>
                <w:color w:val="000000"/>
                <w:kern w:val="0"/>
                <w:sz w:val="24"/>
                <w:szCs w:val="24"/>
                <w:highlight w:val="none"/>
                <w:lang w:val="en-US" w:eastAsia="zh-CN"/>
              </w:rPr>
              <w:t>，根据《产业结构调整指导目录（2024年本）》本项目不属于鼓励类、限制类、淘汰类；为允许类，因此项目的建设符合国家产业政策。</w:t>
            </w:r>
          </w:p>
          <w:p>
            <w:pPr>
              <w:pStyle w:val="3"/>
              <w:keepLines w:val="0"/>
              <w:suppressLineNumbers w:val="0"/>
              <w:bidi w:val="0"/>
              <w:spacing w:before="0" w:beforeAutospacing="0" w:after="0" w:afterAutospacing="0"/>
              <w:ind w:right="0"/>
              <w:rPr>
                <w:rFonts w:hint="default" w:ascii="Times New Roman" w:hAnsi="Times New Roman" w:cs="Times New Roman"/>
              </w:rPr>
            </w:pPr>
            <w:r>
              <w:rPr>
                <w:rFonts w:hint="default" w:ascii="Times New Roman" w:hAnsi="Times New Roman" w:cs="Times New Roman"/>
                <w:lang w:val="en-US" w:eastAsia="zh-CN"/>
              </w:rPr>
              <w:t xml:space="preserve">2 </w:t>
            </w:r>
            <w:r>
              <w:rPr>
                <w:rFonts w:hint="eastAsia" w:ascii="宋体" w:hAnsi="宋体" w:eastAsia="宋体" w:cs="宋体"/>
                <w:lang w:val="en-US" w:eastAsia="zh-CN"/>
              </w:rPr>
              <w:t>“生态环境分区管控要求”</w:t>
            </w:r>
            <w:r>
              <w:rPr>
                <w:rFonts w:hint="default" w:ascii="Times New Roman" w:hAnsi="Times New Roman" w:cs="Times New Roman"/>
                <w:lang w:val="en-US" w:eastAsia="zh-CN"/>
              </w:rPr>
              <w:t>的符合性分析</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（1）《关于印发〈新疆维吾尔自治区生态环境分区管控动态更新成果〉的通知》（新环环评发〔2024〕157号）符合性分析</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项目与《关于印发〈新疆维吾尔自治区生态环境分区管控动态更新成果〉的通知》（新环环评发〔2024〕157号）符合性分析详见下表。</w:t>
            </w:r>
          </w:p>
          <w:p>
            <w:pPr>
              <w:pStyle w:val="5"/>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表1-1  《新疆维吾尔自治区生态环境分区管控动态更新成果》符合性分析</w:t>
            </w:r>
          </w:p>
          <w:tbl>
            <w:tblPr>
              <w:tblStyle w:val="3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649"/>
              <w:gridCol w:w="3223"/>
              <w:gridCol w:w="2648"/>
              <w:gridCol w:w="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884" w:type="pct"/>
                  <w:gridSpan w:val="2"/>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管控要求</w:t>
                  </w:r>
                </w:p>
              </w:tc>
              <w:tc>
                <w:tcPr>
                  <w:tcW w:w="2073"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部分环境管理政策有关要求</w:t>
                  </w:r>
                </w:p>
              </w:tc>
              <w:tc>
                <w:tcPr>
                  <w:tcW w:w="1703"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本项目情况</w:t>
                  </w:r>
                </w:p>
              </w:tc>
              <w:tc>
                <w:tcPr>
                  <w:tcW w:w="337"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7" w:type="pct"/>
                  <w:vMerge w:val="restar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A1空间布局约束</w:t>
                  </w:r>
                </w:p>
              </w:tc>
              <w:tc>
                <w:tcPr>
                  <w:tcW w:w="417" w:type="pct"/>
                  <w:vMerge w:val="restar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A1.1禁止开发建设的活动</w:t>
                  </w:r>
                </w:p>
              </w:tc>
              <w:tc>
                <w:tcPr>
                  <w:tcW w:w="2073"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〔A1.1-1〕禁止新建、扩建《产业结构调整指导目录（2024年本）》中淘汰类项目。禁止引入《市场准入负面清单（2022年版）》禁止准入类事项。</w:t>
                  </w:r>
                </w:p>
              </w:tc>
              <w:tc>
                <w:tcPr>
                  <w:tcW w:w="1703"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本项目不属于鼓励类、限制类与淘汰类，因此属于允许类，符合国家产业政策；不属于《市场准入负面清单（2025年版）》的项目。符合相关要求。</w:t>
                  </w:r>
                </w:p>
              </w:tc>
              <w:tc>
                <w:tcPr>
                  <w:tcW w:w="337"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7"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417"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2073"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A1.1-6〕禁止在自治区行政区域内引进能（水）耗不符合相关国家标准中准入要求且污染物排放和环境风险防控不符合国家（地方）标准及有关产业准入条件的高污染（排放）、高能（水）耗、高环境风险的工业项目。</w:t>
                  </w:r>
                </w:p>
              </w:tc>
              <w:tc>
                <w:tcPr>
                  <w:tcW w:w="1703"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本项目属于水泥制品制造，不属于高污染（排放）、高能（水）耗、高环境风险的工业项目。</w:t>
                  </w:r>
                </w:p>
              </w:tc>
              <w:tc>
                <w:tcPr>
                  <w:tcW w:w="337"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7"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A2污染物排放管控</w:t>
                  </w:r>
                </w:p>
              </w:tc>
              <w:tc>
                <w:tcPr>
                  <w:tcW w:w="417"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A2.2污染控制措施要求</w:t>
                  </w:r>
                </w:p>
              </w:tc>
              <w:tc>
                <w:tcPr>
                  <w:tcW w:w="2073"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A2.2-3〕强化重点区域大气污染联防联控，合理确定产业布局，推动区域内统一产业准入和排放标准。实施水泥行业错峰生产，推进散煤整治、挥发性有机污染物综合治理、钢铁、水泥、焦化和燃煤工业锅炉行业超低排放改造、燃气锅炉低氮燃烧改造、工业园区内轨道运输（大宗货物</w:t>
                  </w:r>
                  <w:r>
                    <w:rPr>
                      <w:rFonts w:hint="eastAsia" w:ascii="宋体" w:hAnsi="宋体" w:eastAsia="宋体" w:cs="宋体"/>
                      <w:lang w:val="en-US" w:eastAsia="zh-CN"/>
                    </w:rPr>
                    <w:t>“公转铁”</w:t>
                  </w:r>
                  <w:r>
                    <w:rPr>
                      <w:rFonts w:hint="default" w:ascii="Times New Roman" w:hAnsi="Times New Roman" w:cs="Times New Roman"/>
                      <w:lang w:val="en-US" w:eastAsia="zh-CN"/>
                    </w:rPr>
                    <w:t>、柴油货车治理、锅炉炉窑综合治理等工程项目。全面推行绿色施工，持续推动城市建成区重污染企业搬迁或关闭退出。</w:t>
                  </w:r>
                </w:p>
              </w:tc>
              <w:tc>
                <w:tcPr>
                  <w:tcW w:w="1703"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本项目为水泥制品制造，不涉及水泥熟料煅烧、粉磨等水泥行业核心工艺，无需执行水泥行业专项管控要求，废气、废水、固废排放按通用环保标准管控，处理后均达标排放，对区域环境影响较小。</w:t>
                  </w:r>
                </w:p>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highlight w:val="none"/>
                      <w:lang w:val="en-US" w:eastAsia="zh-CN"/>
                    </w:rPr>
                    <w:t>施工期严格落实绿色施工要求：场地设围挡及喷淋降尘设施，控制施工扬尘；采用低噪设备、合理安排施工时段，避免噪声扰民；施工废水沉淀回用、固废分类回收，施工结束后及时恢复临时占地生态，全面落实环保管控要求。</w:t>
                  </w:r>
                </w:p>
              </w:tc>
              <w:tc>
                <w:tcPr>
                  <w:tcW w:w="337"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A3环境风险防控</w:t>
                  </w:r>
                </w:p>
              </w:tc>
              <w:tc>
                <w:tcPr>
                  <w:tcW w:w="417"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A3.2联防联控要求</w:t>
                  </w:r>
                </w:p>
              </w:tc>
              <w:tc>
                <w:tcPr>
                  <w:tcW w:w="2073"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703"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为扩建项目，现有工程未编制环境应急预案。本次扩建将同步建立环境突发事件应急管理领导机构，结合项目工艺及环境风险特征，编制专项环境应急预案，按规定完成备案，并配套完善应急物资储备与信息化建设，定期开展应急演练，提升环境风险防控实战能力，满足区域联防联控要求。</w:t>
                  </w:r>
                </w:p>
              </w:tc>
              <w:tc>
                <w:tcPr>
                  <w:tcW w:w="337"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67"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A4资源利用要求</w:t>
                  </w:r>
                </w:p>
              </w:tc>
              <w:tc>
                <w:tcPr>
                  <w:tcW w:w="417"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A4.3能源利用</w:t>
                  </w:r>
                </w:p>
              </w:tc>
              <w:tc>
                <w:tcPr>
                  <w:tcW w:w="2073"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〔A4.3-5〕以碳达峰碳中和工作为引领，着力提高能源资源利用效率。引导重点行业深入实施清洁生产改造，钢铁、建材、石油化工等重点行业以及其他行业重点用能单位持续开展节能降耗。</w:t>
                  </w:r>
                </w:p>
              </w:tc>
              <w:tc>
                <w:tcPr>
                  <w:tcW w:w="1703"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w:t>
                  </w:r>
                  <w:r>
                    <w:rPr>
                      <w:rFonts w:hint="default"/>
                      <w:lang w:val="en-US" w:eastAsia="zh-CN"/>
                    </w:rPr>
                    <w:t>为水泥制品制造，不属于钢铁、建材、石油化工等重点用能行业，不纳入重点行业清洁生产改造强制管控范围。项目营运期生产废水用于成品养护，不外排，实现了水资源的循环利用，同时通过优化生产工艺、合理利用能源，落实节能降耗相关要求。</w:t>
                  </w:r>
                </w:p>
              </w:tc>
              <w:tc>
                <w:tcPr>
                  <w:tcW w:w="337"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bl>
          <w:p>
            <w:pPr>
              <w:keepNext w:val="0"/>
              <w:keepLines w:val="0"/>
              <w:suppressLineNumbers w:val="0"/>
              <w:bidi w:val="0"/>
              <w:spacing w:before="0" w:beforeAutospacing="0" w:after="0" w:afterAutospacing="0"/>
              <w:ind w:left="0" w:right="0"/>
              <w:rPr>
                <w:rFonts w:hint="default" w:ascii="Times New Roman" w:hAnsi="Times New Roman" w:cs="Times New Roman"/>
                <w:lang w:eastAsia="zh-CN"/>
              </w:rPr>
            </w:pP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lang w:val="en-US" w:eastAsia="zh-CN"/>
              </w:rPr>
              <w:t>巴音郭楞蒙古自治州</w:t>
            </w:r>
            <w:r>
              <w:rPr>
                <w:rFonts w:hint="eastAsia" w:ascii="宋体" w:hAnsi="宋体" w:eastAsia="宋体" w:cs="宋体"/>
                <w:lang w:val="en-US" w:eastAsia="zh-CN"/>
              </w:rPr>
              <w:t>“三线一单”</w:t>
            </w:r>
            <w:r>
              <w:rPr>
                <w:rFonts w:hint="default" w:ascii="Times New Roman" w:hAnsi="Times New Roman" w:cs="Times New Roman"/>
                <w:lang w:val="en-US" w:eastAsia="zh-CN"/>
              </w:rPr>
              <w:t>生态环境分区管控动态更新成果（2023年）</w:t>
            </w:r>
            <w:r>
              <w:rPr>
                <w:rFonts w:hint="default" w:ascii="Times New Roman" w:hAnsi="Times New Roman" w:cs="Times New Roman"/>
                <w:lang w:eastAsia="zh-CN"/>
              </w:rPr>
              <w:t>》符合性分析。</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本工程建设地点位于</w:t>
            </w:r>
            <w:r>
              <w:rPr>
                <w:rFonts w:hint="eastAsia" w:cs="Times New Roman"/>
                <w:lang w:val="en-US" w:eastAsia="zh-CN"/>
              </w:rPr>
              <w:t>新疆库尔勒上库高新技术产业开发区综合园安顺路69号</w:t>
            </w:r>
            <w:r>
              <w:rPr>
                <w:rFonts w:hint="default" w:ascii="Times New Roman" w:hAnsi="Times New Roman" w:cs="Times New Roman"/>
                <w:lang w:val="en-US" w:eastAsia="zh-CN"/>
              </w:rPr>
              <w:t>，根据《巴音郭楞蒙古自治州</w:t>
            </w:r>
            <w:r>
              <w:rPr>
                <w:rFonts w:hint="eastAsia" w:ascii="宋体" w:hAnsi="宋体" w:eastAsia="宋体" w:cs="宋体"/>
                <w:lang w:val="en-US" w:eastAsia="zh-CN"/>
              </w:rPr>
              <w:t>“三线一单”</w:t>
            </w:r>
            <w:r>
              <w:rPr>
                <w:rFonts w:hint="default" w:ascii="Times New Roman" w:hAnsi="Times New Roman" w:cs="Times New Roman"/>
                <w:lang w:val="en-US" w:eastAsia="zh-CN"/>
              </w:rPr>
              <w:t>生态环境分区管控动态更新成果（2023年）》（巴政办发〔2024〕32号），本工程所在环境管控单元管控要求详见下表。</w:t>
            </w:r>
          </w:p>
          <w:p>
            <w:pPr>
              <w:pStyle w:val="5"/>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表1-2  《巴音郭楞蒙古自治州生态环境准入清单》符合性分析</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818"/>
              <w:gridCol w:w="3035"/>
              <w:gridCol w:w="3040"/>
              <w:gridCol w:w="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30" w:type="pct"/>
                  <w:gridSpan w:val="2"/>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环境管控单元编码</w:t>
                  </w:r>
                </w:p>
              </w:tc>
              <w:tc>
                <w:tcPr>
                  <w:tcW w:w="1952"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ZH65280120013</w:t>
                  </w:r>
                </w:p>
              </w:tc>
              <w:tc>
                <w:tcPr>
                  <w:tcW w:w="1955" w:type="pct"/>
                  <w:vMerge w:val="restar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eastAsia="zh-CN"/>
                    </w:rPr>
                  </w:pPr>
                  <w:r>
                    <w:rPr>
                      <w:rFonts w:hint="default" w:ascii="Times New Roman" w:hAnsi="Times New Roman" w:cs="Times New Roman"/>
                      <w:lang w:val="en-US" w:eastAsia="zh-CN"/>
                    </w:rPr>
                    <w:t>本工程情况</w:t>
                  </w:r>
                </w:p>
              </w:tc>
              <w:tc>
                <w:tcPr>
                  <w:tcW w:w="261" w:type="pct"/>
                  <w:vMerge w:val="restar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gridSpan w:val="2"/>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环境管控单元名称</w:t>
                  </w:r>
                </w:p>
              </w:tc>
              <w:tc>
                <w:tcPr>
                  <w:tcW w:w="1952"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库尔勒上库高新技术产业开发区</w:t>
                  </w:r>
                </w:p>
              </w:tc>
              <w:tc>
                <w:tcPr>
                  <w:tcW w:w="1955"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eastAsia="zh-CN"/>
                    </w:rPr>
                  </w:pPr>
                </w:p>
              </w:tc>
              <w:tc>
                <w:tcPr>
                  <w:tcW w:w="261"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gridSpan w:val="2"/>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rPr>
                    <w:t>环境管控单元类别</w:t>
                  </w:r>
                </w:p>
              </w:tc>
              <w:tc>
                <w:tcPr>
                  <w:tcW w:w="1952"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重点管控单元</w:t>
                  </w:r>
                </w:p>
              </w:tc>
              <w:tc>
                <w:tcPr>
                  <w:tcW w:w="1955"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eastAsia="zh-CN"/>
                    </w:rPr>
                  </w:pPr>
                </w:p>
              </w:tc>
              <w:tc>
                <w:tcPr>
                  <w:tcW w:w="261"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vMerge w:val="restart"/>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管控要求</w:t>
                  </w:r>
                </w:p>
              </w:tc>
              <w:tc>
                <w:tcPr>
                  <w:tcW w:w="526"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空间布局约束</w:t>
                  </w:r>
                </w:p>
              </w:tc>
              <w:tc>
                <w:tcPr>
                  <w:tcW w:w="1952"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1.加大落后产能淘汰力度。对不符合国家产业政策、污染严重且经治理仍无法达标的工业企业实施关停并转；积极推动节能环保、信息技术、高端装备制造、新能源、新材料和生物科技等战略性新兴产业在工业园区内发展。</w:t>
                  </w:r>
                </w:p>
              </w:tc>
              <w:tc>
                <w:tcPr>
                  <w:tcW w:w="1955"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eastAsia="zh-CN"/>
                    </w:rPr>
                  </w:pPr>
                  <w:r>
                    <w:rPr>
                      <w:rFonts w:hint="default" w:ascii="Times New Roman" w:hAnsi="Times New Roman" w:cs="Times New Roman"/>
                      <w:lang w:val="en-US" w:eastAsia="zh-CN"/>
                    </w:rPr>
                    <w:t>本工程不属于《产业结构调整指导目录（2024年本）》中鼓励类、限制类与淘汰类，为允许类；不属于市场准入负面清单中禁止类项目；不属于高耗水、高污染、高耗能</w:t>
                  </w:r>
                  <w:r>
                    <w:rPr>
                      <w:rFonts w:hint="eastAsia" w:cs="Times New Roman"/>
                      <w:lang w:val="en-US" w:eastAsia="zh-CN"/>
                    </w:rPr>
                    <w:t>项</w:t>
                  </w:r>
                  <w:r>
                    <w:rPr>
                      <w:rFonts w:hint="default" w:ascii="Times New Roman" w:hAnsi="Times New Roman" w:cs="Times New Roman"/>
                      <w:lang w:val="en-US" w:eastAsia="zh-CN"/>
                    </w:rPr>
                    <w:t>目，本项目不使用落后工艺和设备。</w:t>
                  </w:r>
                </w:p>
              </w:tc>
              <w:tc>
                <w:tcPr>
                  <w:tcW w:w="261"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526"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污染物排放管控</w:t>
                  </w:r>
                </w:p>
              </w:tc>
              <w:tc>
                <w:tcPr>
                  <w:tcW w:w="1952"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1.上库高新技术产业开发区的火电、钢铁、水泥、石化行业和燃煤锅炉实施大气污染物特别排放限值。</w:t>
                  </w:r>
                </w:p>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2.园区地下水质量不恶化。</w:t>
                  </w:r>
                </w:p>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3.园区内土壤环境质量满足《土壤环境质量建设用地</w:t>
                  </w:r>
                  <w:r>
                    <w:rPr>
                      <w:rFonts w:hint="eastAsia" w:cs="Times New Roman"/>
                      <w:lang w:val="en-US" w:eastAsia="zh-CN"/>
                    </w:rPr>
                    <w:t>土壤</w:t>
                  </w:r>
                  <w:r>
                    <w:rPr>
                      <w:rFonts w:hint="default" w:ascii="Times New Roman" w:hAnsi="Times New Roman" w:cs="Times New Roman"/>
                      <w:lang w:val="en-US" w:eastAsia="zh-CN"/>
                    </w:rPr>
                    <w:t>污染风险管控标准》(GB36600-2018)标准中质量底线要求。</w:t>
                  </w:r>
                </w:p>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4.园区内企业污水预处理达到污水处理厂纳管要求后进入污水处理厂处理。</w:t>
                  </w:r>
                </w:p>
              </w:tc>
              <w:tc>
                <w:tcPr>
                  <w:tcW w:w="1955"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1.</w:t>
                  </w:r>
                  <w:r>
                    <w:rPr>
                      <w:rFonts w:hint="default" w:ascii="Times New Roman" w:hAnsi="Times New Roman" w:cs="Times New Roman"/>
                      <w:lang w:val="en-US" w:eastAsia="zh-CN"/>
                    </w:rPr>
                    <w:t>项目为混凝土制品生产项目，不属于水泥制造行业，废气经环保设施处理后达标排放，对环境空气质量影响较小，不会降低区域环境空气质量。</w:t>
                  </w:r>
                </w:p>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2.</w:t>
                  </w:r>
                  <w:r>
                    <w:rPr>
                      <w:rFonts w:hint="default" w:ascii="Times New Roman" w:hAnsi="Times New Roman" w:cs="Times New Roman"/>
                      <w:lang w:val="en-US" w:eastAsia="zh-CN"/>
                    </w:rPr>
                    <w:t>项目按地下水污染防控分区防控原则，对各功能区采取有效污染渗漏防控措施，地下水环境质量</w:t>
                  </w:r>
                  <w:r>
                    <w:rPr>
                      <w:rFonts w:hint="eastAsia" w:cs="Times New Roman"/>
                      <w:lang w:val="en-US" w:eastAsia="zh-CN"/>
                    </w:rPr>
                    <w:t>不恶化。</w:t>
                  </w:r>
                </w:p>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eastAsia" w:cs="Times New Roman"/>
                      <w:lang w:val="en-US" w:eastAsia="zh-CN"/>
                    </w:rPr>
                    <w:t>3.项目遵循防控分区防控原则，对各功能区采取有效污染渗漏防控措施，</w:t>
                  </w:r>
                  <w:r>
                    <w:rPr>
                      <w:rFonts w:hint="default" w:ascii="Times New Roman" w:hAnsi="Times New Roman" w:cs="Times New Roman"/>
                      <w:lang w:val="en-US" w:eastAsia="zh-CN"/>
                    </w:rPr>
                    <w:t>土壤环境质量满足《土壤环境质量建设用地土壤污染风险管控标准（GB36600-2018）》中质量底线要求，影响较小。</w:t>
                  </w:r>
                </w:p>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4.</w:t>
                  </w:r>
                  <w:r>
                    <w:rPr>
                      <w:rFonts w:hint="default" w:ascii="Times New Roman" w:hAnsi="Times New Roman" w:cs="Times New Roman"/>
                      <w:lang w:val="en-US" w:eastAsia="zh-CN"/>
                    </w:rPr>
                    <w:t>生活污水经化粪池预处理后排入铁门关市污水处理厂统一处理，满足园区污水管控要求。</w:t>
                  </w:r>
                </w:p>
              </w:tc>
              <w:tc>
                <w:tcPr>
                  <w:tcW w:w="261"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eastAsia="zh-CN"/>
                    </w:rPr>
                  </w:pPr>
                  <w:r>
                    <w:rPr>
                      <w:rFonts w:hint="default" w:ascii="Times New Roman" w:hAnsi="Times New Roman"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526"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环境风险防控</w:t>
                  </w:r>
                </w:p>
              </w:tc>
              <w:tc>
                <w:tcPr>
                  <w:tcW w:w="1952"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1.根据不同企业的生产特点，在规划居民住宅时要考虑卫生防护距离，项目卫生防护距离内不得规划、建设居民区、学校、医院等环境敏感目标，对于已存在的环境敏感目标要采取合理措施加以保护。</w:t>
                  </w:r>
                </w:p>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2.建立区域大气污染预警应急机制。加强重点控制区域极端不利气象条件下大气污染预警体系和区域大气环境质量预报系统建设，建立区域重污染事件应急预案，构建区域联动一体的应急响应体系。</w:t>
                  </w:r>
                </w:p>
              </w:tc>
              <w:tc>
                <w:tcPr>
                  <w:tcW w:w="1955"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工程位于新疆库尔勒上库高新技术产业开发区，周边无环境敏感保护目标。项目不属于火电、钢铁、水泥、石化等重点重污染行业，未纳入区域重污染天气应急减排清单。本环评已明确要求建设单位建立企业级大气污染预警应急机制，落实区域不利气象条件下的污染管控要求，配合园区联动的环境应急响应体系。</w:t>
                  </w:r>
                </w:p>
              </w:tc>
              <w:tc>
                <w:tcPr>
                  <w:tcW w:w="261"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eastAsia="zh-CN"/>
                    </w:rPr>
                  </w:pPr>
                  <w:r>
                    <w:rPr>
                      <w:rFonts w:hint="default" w:ascii="Times New Roman" w:hAnsi="Times New Roman"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526"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资源利用效率</w:t>
                  </w:r>
                </w:p>
              </w:tc>
              <w:tc>
                <w:tcPr>
                  <w:tcW w:w="1952"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1.提高水重复利用率，促进污水再生回用。严格控制企业用水定额，对排水系统首先实现清污分流，按质回收利用，符合用水要求的清水可直接回用于生产，其余废水则达标处理后经管网进入园区污水处理厂。</w:t>
                  </w:r>
                </w:p>
              </w:tc>
              <w:tc>
                <w:tcPr>
                  <w:tcW w:w="1955"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本项目设备清洗废水、模具清洗废水经沉淀收集后，用于成品养护，不外排；生活污水经化粪池预处理后排入铁门关市污水处理厂统一处理，不会影响区域水环境质量。</w:t>
                  </w:r>
                </w:p>
              </w:tc>
              <w:tc>
                <w:tcPr>
                  <w:tcW w:w="261"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eastAsia="zh-CN"/>
                    </w:rPr>
                  </w:pPr>
                  <w:r>
                    <w:rPr>
                      <w:rFonts w:hint="default" w:ascii="Times New Roman" w:hAnsi="Times New Roman" w:cs="Times New Roman"/>
                      <w:lang w:val="en-US" w:eastAsia="zh-CN"/>
                    </w:rPr>
                    <w:t>符合</w:t>
                  </w:r>
                </w:p>
              </w:tc>
            </w:tr>
          </w:tbl>
          <w:p>
            <w:pPr>
              <w:pStyle w:val="3"/>
              <w:keepLines w:val="0"/>
              <w:suppressLineNumbers w:val="0"/>
              <w:bidi w:val="0"/>
              <w:spacing w:before="0" w:beforeAutospacing="0" w:after="0" w:afterAutospacing="0"/>
              <w:ind w:right="0"/>
              <w:rPr>
                <w:rFonts w:hint="default" w:ascii="Times New Roman" w:hAnsi="Times New Roman" w:cs="Times New Roman"/>
                <w:color w:val="000000"/>
                <w:kern w:val="0"/>
                <w:sz w:val="24"/>
                <w:szCs w:val="24"/>
                <w:highlight w:val="none"/>
                <w:lang w:val="en-US" w:eastAsia="zh-CN"/>
              </w:rPr>
            </w:pPr>
            <w:r>
              <w:rPr>
                <w:rFonts w:hint="default" w:ascii="Times New Roman" w:hAnsi="Times New Roman" w:cs="Times New Roman"/>
                <w:color w:val="000000"/>
                <w:kern w:val="0"/>
                <w:sz w:val="24"/>
                <w:szCs w:val="24"/>
                <w:highlight w:val="none"/>
                <w:lang w:val="en-US" w:eastAsia="zh-CN"/>
              </w:rPr>
              <w:t>3 生态环境保护规划符合性分析</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本工程与《巴音郭楞蒙古自治州生态环境</w:t>
            </w:r>
            <w:r>
              <w:rPr>
                <w:rFonts w:hint="eastAsia" w:ascii="宋体" w:hAnsi="宋体" w:eastAsia="宋体" w:cs="宋体"/>
                <w:lang w:val="en-US" w:eastAsia="zh-CN"/>
              </w:rPr>
              <w:t>“十四五”</w:t>
            </w:r>
            <w:r>
              <w:rPr>
                <w:rFonts w:hint="default" w:ascii="Times New Roman" w:hAnsi="Times New Roman" w:cs="Times New Roman"/>
                <w:lang w:val="en-US" w:eastAsia="zh-CN"/>
              </w:rPr>
              <w:t>规划》符合性分析详细情况见表1-3。</w:t>
            </w:r>
          </w:p>
          <w:p>
            <w:pPr>
              <w:pStyle w:val="5"/>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表1-3  《巴音郭楞蒙古自治州生态环境</w:t>
            </w:r>
            <w:r>
              <w:rPr>
                <w:rFonts w:hint="eastAsia" w:ascii="宋体" w:hAnsi="宋体" w:eastAsia="宋体" w:cs="宋体"/>
                <w:lang w:val="en-US" w:eastAsia="zh-CN"/>
              </w:rPr>
              <w:t>“十四五”</w:t>
            </w:r>
            <w:r>
              <w:rPr>
                <w:rFonts w:hint="default" w:ascii="Times New Roman" w:hAnsi="Times New Roman" w:cs="Times New Roman"/>
                <w:lang w:val="en-US" w:eastAsia="zh-CN"/>
              </w:rPr>
              <w:t>规划》符合性分析</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8"/>
              <w:gridCol w:w="2940"/>
              <w:gridCol w:w="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18" w:type="dxa"/>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规划要求</w:t>
                  </w:r>
                </w:p>
              </w:tc>
              <w:tc>
                <w:tcPr>
                  <w:tcW w:w="2940" w:type="dxa"/>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本项目情况</w:t>
                  </w:r>
                </w:p>
              </w:tc>
              <w:tc>
                <w:tcPr>
                  <w:tcW w:w="416" w:type="dxa"/>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18" w:type="dxa"/>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强化大气污染分区控制和分类管理，加强污染源解析，实行差异化控制要求，制定有针对性的污染防治措施。库尔勒等大气复合型污染区域，重点针对不同时段PM</w:t>
                  </w:r>
                  <w:r>
                    <w:rPr>
                      <w:rFonts w:hint="default" w:ascii="Times New Roman" w:hAnsi="Times New Roman" w:cs="Times New Roman"/>
                      <w:vertAlign w:val="subscript"/>
                      <w:lang w:val="en-US" w:eastAsia="zh-CN"/>
                    </w:rPr>
                    <w:t>10</w:t>
                  </w:r>
                  <w:r>
                    <w:rPr>
                      <w:rFonts w:hint="default" w:ascii="Times New Roman" w:hAnsi="Times New Roman" w:cs="Times New Roman"/>
                      <w:lang w:val="en-US" w:eastAsia="zh-CN"/>
                    </w:rPr>
                    <w:t>、PM</w:t>
                  </w:r>
                  <w:r>
                    <w:rPr>
                      <w:rFonts w:hint="default" w:ascii="Times New Roman" w:hAnsi="Times New Roman" w:cs="Times New Roman"/>
                      <w:vertAlign w:val="subscript"/>
                      <w:lang w:val="en-US" w:eastAsia="zh-CN"/>
                    </w:rPr>
                    <w:t>2.5</w:t>
                  </w:r>
                  <w:r>
                    <w:rPr>
                      <w:rFonts w:hint="default" w:ascii="Times New Roman" w:hAnsi="Times New Roman" w:cs="Times New Roman"/>
                      <w:lang w:val="en-US" w:eastAsia="zh-CN"/>
                    </w:rPr>
                    <w:t>、O</w:t>
                  </w:r>
                  <w:r>
                    <w:rPr>
                      <w:rFonts w:hint="default" w:ascii="Times New Roman" w:hAnsi="Times New Roman" w:cs="Times New Roman"/>
                      <w:vertAlign w:val="subscript"/>
                      <w:lang w:val="en-US" w:eastAsia="zh-CN"/>
                    </w:rPr>
                    <w:t>3</w:t>
                  </w:r>
                  <w:r>
                    <w:rPr>
                      <w:rFonts w:hint="default" w:ascii="Times New Roman" w:hAnsi="Times New Roman" w:cs="Times New Roman"/>
                      <w:lang w:val="en-US" w:eastAsia="zh-CN"/>
                    </w:rPr>
                    <w:t>等突出问题，加强采暖季燃煤污染控制以及机动车、VOCs（挥发性有机物）污染防治；库尉轮地区及且若区域沙尘污染严重区，重点做好防风固沙、生态环境保护修复等工作，同时持续加强传统煤烟型、扬尘污染的控制，实现空气质量持续改善。</w:t>
                  </w:r>
                </w:p>
              </w:tc>
              <w:tc>
                <w:tcPr>
                  <w:tcW w:w="2940" w:type="dxa"/>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原料堆放在封闭式物料仓库内，上料过程中产生的颗粒物经袋式除尘器处理后经15m高排气筒进行达标排放；水性防腐涂料有机废气经二级活性炭吸附装置处理后由15m排气筒进行达标排放。本项目产生的无组织颗粒物通过厂房密闭和洒水抑尘的措施，有效降低无组织颗粒物的排放，本项目产生的废气经相应的环保设施处理后能够达标排放，对环境空气质量影响较小，不会降低区域环境空气质量。</w:t>
                  </w:r>
                </w:p>
              </w:tc>
              <w:tc>
                <w:tcPr>
                  <w:tcW w:w="416" w:type="dxa"/>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18" w:type="dxa"/>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加强环境噪声污染防控。加强噪声污染源监管，继续强化和深入推进交通运输、建筑施工、社会生活、工业企业、机场周边噪声污染防治，推进工业企业噪声纳入排污许可管理。优化重点区域声环境质量监测点位，加强城市环境、道路交通、功能区噪声例行监测与评价，推动库尔勒市功能区声环境质量自动监测，强化声环境功能区管理，适时调整完善声环境功能区。</w:t>
                  </w:r>
                </w:p>
              </w:tc>
              <w:tc>
                <w:tcPr>
                  <w:tcW w:w="2940" w:type="dxa"/>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噪声主要是机械、运输设备噪声。采用低噪声设备、合理布置设备位置，基础减震等措施，噪声可以达标排放；项目建设完成后，建设单位将按照排污许可管理办法，在排污行为发生之前，完成排污许可申报。</w:t>
                  </w:r>
                </w:p>
              </w:tc>
              <w:tc>
                <w:tcPr>
                  <w:tcW w:w="416" w:type="dxa"/>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18" w:type="dxa"/>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加强固体废物处置。加强固体废物源头减量和资源化利用，最大限度减少填埋量。持续开展固体废物非法转移和倾倒排查整治，推动开展塑料行业专项清理，持续推进废塑料加工利用行业整治，加强废塑料回收、利用、处置等环节的环境监管，降低污染风险。加强工业固体废物堆存场所环境整治。持续推进工业固体废物综合利用和环境整治，不断提高大宗工业固体废物资源化利用水平。</w:t>
                  </w:r>
                </w:p>
              </w:tc>
              <w:tc>
                <w:tcPr>
                  <w:tcW w:w="2940" w:type="dxa"/>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水泥筒仓滤筒式过滤器拦截的粉尘、</w:t>
                  </w:r>
                  <w:r>
                    <w:rPr>
                      <w:rFonts w:hint="eastAsia" w:cs="Times New Roman"/>
                      <w:highlight w:val="none"/>
                      <w:lang w:val="en-US" w:eastAsia="zh-CN"/>
                    </w:rPr>
                    <w:t>上料口</w:t>
                  </w:r>
                  <w:r>
                    <w:rPr>
                      <w:rFonts w:hint="default" w:ascii="Times New Roman" w:hAnsi="Times New Roman" w:cs="Times New Roman"/>
                      <w:highlight w:val="none"/>
                      <w:lang w:val="en-US" w:eastAsia="zh-CN"/>
                    </w:rPr>
                    <w:t>设置除尘器收集的粉尘、混凝土残渣</w:t>
                  </w:r>
                  <w:r>
                    <w:rPr>
                      <w:rFonts w:hint="eastAsia" w:cs="Times New Roman"/>
                      <w:highlight w:val="none"/>
                      <w:lang w:val="en-US" w:eastAsia="zh-CN"/>
                    </w:rPr>
                    <w:t>、</w:t>
                  </w:r>
                  <w:r>
                    <w:rPr>
                      <w:rFonts w:hint="default" w:ascii="Times New Roman" w:hAnsi="Times New Roman" w:cs="Times New Roman"/>
                      <w:highlight w:val="none"/>
                      <w:lang w:val="en-US" w:eastAsia="zh-CN"/>
                    </w:rPr>
                    <w:t>沉淀池底泥回用于生产；废钢筋外售综合处理；废布袋</w:t>
                  </w:r>
                  <w:r>
                    <w:rPr>
                      <w:rFonts w:hint="eastAsia" w:cs="Times New Roman"/>
                      <w:highlight w:val="none"/>
                      <w:lang w:val="en-US" w:eastAsia="zh-CN"/>
                    </w:rPr>
                    <w:t>、废滤芯、水性防腐涂料包装桶</w:t>
                  </w:r>
                  <w:r>
                    <w:rPr>
                      <w:rFonts w:hint="default" w:ascii="Times New Roman" w:hAnsi="Times New Roman" w:cs="Times New Roman"/>
                      <w:highlight w:val="none"/>
                      <w:lang w:val="en-US" w:eastAsia="zh-CN"/>
                    </w:rPr>
                    <w:t>交由厂家回收处理；</w:t>
                  </w:r>
                  <w:r>
                    <w:rPr>
                      <w:rFonts w:hint="eastAsia"/>
                      <w:lang w:val="en-US" w:eastAsia="zh-CN"/>
                    </w:rPr>
                    <w:t>水性漆</w:t>
                  </w:r>
                  <w:r>
                    <w:rPr>
                      <w:rFonts w:hint="eastAsia" w:cs="Times New Roman"/>
                      <w:lang w:val="en-US" w:eastAsia="zh-CN"/>
                    </w:rPr>
                    <w:t>漆渣交由一般工业固体废物填埋场处置；</w:t>
                  </w:r>
                  <w:r>
                    <w:rPr>
                      <w:rFonts w:hint="default" w:ascii="Times New Roman" w:hAnsi="Times New Roman" w:cs="Times New Roman"/>
                      <w:highlight w:val="none"/>
                      <w:lang w:val="en-US" w:eastAsia="zh-CN"/>
                    </w:rPr>
                    <w:t>生活垃圾分类收集后委托环卫部门及时清运，危险废物储存于危废贮存点后交由有资质单位处理。</w:t>
                  </w:r>
                </w:p>
              </w:tc>
              <w:tc>
                <w:tcPr>
                  <w:tcW w:w="416" w:type="dxa"/>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8" w:type="dxa"/>
                  <w:shd w:val="clear" w:color="auto" w:fill="auto"/>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严格落实突发环境事件应急预案制度，提升涉危险废物突发环境事件应急处置水平。</w:t>
                  </w:r>
                </w:p>
              </w:tc>
              <w:tc>
                <w:tcPr>
                  <w:tcW w:w="2940" w:type="dxa"/>
                  <w:shd w:val="clear" w:color="auto" w:fill="auto"/>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为扩建项目，现有工程未编制环境应急预案。本次扩建将同步建立环境突发事件应急管理领导机构，结合项目工艺及环境风险特征，编制专项环境应急预案，按规定完成备案，并配套完善应急物资储备与信息化建设，定期开展应急演练，提升环境风险防控实战能力，满足区域联防联控要求。</w:t>
                  </w:r>
                </w:p>
              </w:tc>
              <w:tc>
                <w:tcPr>
                  <w:tcW w:w="416" w:type="dxa"/>
                  <w:shd w:val="clear" w:color="auto" w:fill="auto"/>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bl>
          <w:p>
            <w:pPr>
              <w:pStyle w:val="3"/>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default" w:ascii="Times New Roman" w:hAnsi="Times New Roman" w:cs="Times New Roman"/>
                <w:lang w:val="en-US" w:eastAsia="zh-CN"/>
              </w:rPr>
              <w:t>4 法律法规政策符合性分析</w:t>
            </w:r>
          </w:p>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本项目环境管理政策分析见下表。</w:t>
            </w:r>
          </w:p>
          <w:p>
            <w:pPr>
              <w:pStyle w:val="5"/>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表1-4  法律法规政策符合性分析</w:t>
            </w:r>
          </w:p>
          <w:tbl>
            <w:tblPr>
              <w:tblStyle w:val="34"/>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3285"/>
              <w:gridCol w:w="2650"/>
              <w:gridCol w:w="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6"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文件</w:t>
                  </w:r>
                </w:p>
              </w:tc>
              <w:tc>
                <w:tcPr>
                  <w:tcW w:w="2136"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环境管理政策要求</w:t>
                  </w:r>
                </w:p>
              </w:tc>
              <w:tc>
                <w:tcPr>
                  <w:tcW w:w="1723"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本项目情况</w:t>
                  </w:r>
                </w:p>
              </w:tc>
              <w:tc>
                <w:tcPr>
                  <w:tcW w:w="402"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6"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eastAsia="zh-CN"/>
                    </w:rPr>
                  </w:pPr>
                  <w:r>
                    <w:rPr>
                      <w:rFonts w:hint="default" w:ascii="Times New Roman" w:hAnsi="Times New Roman" w:cs="Times New Roman"/>
                    </w:rPr>
                    <w:t>《</w:t>
                  </w:r>
                  <w:r>
                    <w:rPr>
                      <w:rFonts w:hint="default" w:ascii="Times New Roman" w:hAnsi="Times New Roman" w:cs="Times New Roman"/>
                      <w:lang w:eastAsia="zh-CN"/>
                    </w:rPr>
                    <w:t>中华人民共和国</w:t>
                  </w:r>
                  <w:r>
                    <w:rPr>
                      <w:rFonts w:hint="default" w:ascii="Times New Roman" w:hAnsi="Times New Roman" w:cs="Times New Roman"/>
                    </w:rPr>
                    <w:t>大气污染防治法》</w:t>
                  </w:r>
                  <w:r>
                    <w:rPr>
                      <w:rFonts w:hint="default" w:ascii="Times New Roman" w:hAnsi="Times New Roman" w:cs="Times New Roman"/>
                      <w:lang w:eastAsia="zh-CN"/>
                    </w:rPr>
                    <w:t>（</w:t>
                  </w:r>
                  <w:r>
                    <w:rPr>
                      <w:rFonts w:hint="default" w:ascii="Times New Roman" w:hAnsi="Times New Roman" w:cs="Times New Roman"/>
                      <w:lang w:val="en-US" w:eastAsia="zh-CN"/>
                    </w:rPr>
                    <w:t>2018-11-13</w:t>
                  </w:r>
                  <w:r>
                    <w:rPr>
                      <w:rFonts w:hint="default" w:ascii="Times New Roman" w:hAnsi="Times New Roman" w:cs="Times New Roman"/>
                      <w:lang w:eastAsia="zh-CN"/>
                    </w:rPr>
                    <w:t>）</w:t>
                  </w:r>
                </w:p>
              </w:tc>
              <w:tc>
                <w:tcPr>
                  <w:tcW w:w="2136"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eastAsia="zh-CN"/>
                    </w:rPr>
                  </w:pPr>
                  <w:r>
                    <w:rPr>
                      <w:rFonts w:hint="default" w:ascii="Times New Roman" w:hAnsi="Times New Roman" w:cs="Times New Roman"/>
                    </w:rPr>
                    <w:t>第七条：企业事业单位和其他生产经营者，应当采取有效措施，防止、减少大气污染，对所造成的损害依法承担责任</w:t>
                  </w:r>
                  <w:r>
                    <w:rPr>
                      <w:rFonts w:hint="default" w:ascii="Times New Roman" w:hAnsi="Times New Roman" w:cs="Times New Roman"/>
                      <w:lang w:eastAsia="zh-CN"/>
                    </w:rPr>
                    <w:t>。</w:t>
                  </w:r>
                </w:p>
              </w:tc>
              <w:tc>
                <w:tcPr>
                  <w:tcW w:w="1723"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eastAsia="zh-CN"/>
                    </w:rPr>
                  </w:pPr>
                  <w:r>
                    <w:rPr>
                      <w:rFonts w:hint="default" w:ascii="Times New Roman" w:hAnsi="Times New Roman" w:cs="Times New Roman"/>
                      <w:highlight w:val="none"/>
                    </w:rPr>
                    <w:t>本项目原料堆放在封闭式物料仓库内，</w:t>
                  </w:r>
                  <w:r>
                    <w:rPr>
                      <w:rFonts w:hint="eastAsia" w:cs="Times New Roman"/>
                      <w:highlight w:val="none"/>
                      <w:lang w:val="en-US" w:eastAsia="zh-CN"/>
                    </w:rPr>
                    <w:t>上料</w:t>
                  </w:r>
                  <w:r>
                    <w:rPr>
                      <w:rFonts w:hint="default" w:ascii="Times New Roman" w:hAnsi="Times New Roman" w:cs="Times New Roman"/>
                      <w:highlight w:val="none"/>
                      <w:lang w:eastAsia="zh-CN"/>
                    </w:rPr>
                    <w:t>过程中产生的颗粒物经袋式除尘器处理后经15m高排气筒进行达标排放</w:t>
                  </w:r>
                  <w:r>
                    <w:rPr>
                      <w:rFonts w:hint="eastAsia" w:cs="Times New Roman"/>
                      <w:highlight w:val="none"/>
                      <w:lang w:eastAsia="zh-CN"/>
                    </w:rPr>
                    <w:t>；</w:t>
                  </w:r>
                  <w:r>
                    <w:rPr>
                      <w:rFonts w:hint="eastAsia" w:cs="Times New Roman"/>
                      <w:highlight w:val="none"/>
                      <w:lang w:val="en-US" w:eastAsia="zh-CN"/>
                    </w:rPr>
                    <w:t>水性防腐涂料有机废气经二级活性炭吸附装置处理后由15m排气筒进行达标排放</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本项目产生的无组织颗粒物通过厂房密闭和洒水抑尘的措施，有效降低无组织颗粒物的排放。</w:t>
                  </w:r>
                </w:p>
              </w:tc>
              <w:tc>
                <w:tcPr>
                  <w:tcW w:w="402"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6"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eastAsia="zh-CN"/>
                    </w:rPr>
                  </w:pPr>
                  <w:r>
                    <w:rPr>
                      <w:rFonts w:hint="default" w:ascii="Times New Roman" w:hAnsi="Times New Roman" w:cs="Times New Roman"/>
                    </w:rPr>
                    <w:t>《中华人民共和国噪声污染防治法》</w:t>
                  </w:r>
                  <w:r>
                    <w:rPr>
                      <w:rFonts w:hint="default" w:ascii="Times New Roman" w:hAnsi="Times New Roman" w:cs="Times New Roman"/>
                      <w:lang w:eastAsia="zh-CN"/>
                    </w:rPr>
                    <w:t>（</w:t>
                  </w:r>
                  <w:r>
                    <w:rPr>
                      <w:rFonts w:hint="default" w:ascii="Times New Roman" w:hAnsi="Times New Roman" w:cs="Times New Roman"/>
                      <w:lang w:val="en-US" w:eastAsia="zh-CN"/>
                    </w:rPr>
                    <w:t>2021-12-25</w:t>
                  </w:r>
                  <w:r>
                    <w:rPr>
                      <w:rFonts w:hint="default" w:ascii="Times New Roman" w:hAnsi="Times New Roman" w:cs="Times New Roman"/>
                      <w:lang w:eastAsia="zh-CN"/>
                    </w:rPr>
                    <w:t>）</w:t>
                  </w:r>
                </w:p>
              </w:tc>
              <w:tc>
                <w:tcPr>
                  <w:tcW w:w="2136"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第三十六条</w:t>
                  </w:r>
                  <w:r>
                    <w:rPr>
                      <w:rFonts w:hint="default" w:ascii="Times New Roman" w:hAnsi="Times New Roman" w:cs="Times New Roman"/>
                      <w:lang w:eastAsia="zh-CN"/>
                    </w:rPr>
                    <w:t>：</w:t>
                  </w:r>
                  <w:r>
                    <w:rPr>
                      <w:rFonts w:hint="default" w:ascii="Times New Roman" w:hAnsi="Times New Roman" w:cs="Times New Roman"/>
                    </w:rPr>
                    <w:t>排放工业噪声的企业事业单位和其他生产经营者，应当采取有效措施，减少振动、降低噪声，依法取得排污许可证或者填报排污登记表。</w:t>
                  </w:r>
                </w:p>
              </w:tc>
              <w:tc>
                <w:tcPr>
                  <w:tcW w:w="1723"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rPr>
                    <w:t>对各类主要噪声源采用低噪声源设备、并采取减振、隔声等措施</w:t>
                  </w:r>
                  <w:r>
                    <w:rPr>
                      <w:rFonts w:hint="default" w:ascii="Times New Roman" w:hAnsi="Times New Roman" w:cs="Times New Roman"/>
                      <w:lang w:eastAsia="zh-CN"/>
                    </w:rPr>
                    <w:t>，</w:t>
                  </w:r>
                  <w:r>
                    <w:rPr>
                      <w:rFonts w:hint="default" w:ascii="Times New Roman" w:hAnsi="Times New Roman" w:cs="Times New Roman"/>
                      <w:lang w:val="en-US" w:eastAsia="zh-CN"/>
                    </w:rPr>
                    <w:t>可正常使用，符合相关标准。企业在生产前完成排污许可证的申请。</w:t>
                  </w:r>
                </w:p>
              </w:tc>
              <w:tc>
                <w:tcPr>
                  <w:tcW w:w="402"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eastAsia="zh-CN"/>
                    </w:rPr>
                  </w:pPr>
                  <w:r>
                    <w:rPr>
                      <w:rFonts w:hint="default" w:ascii="Times New Roman" w:hAnsi="Times New Roman" w:cs="Times New Roman"/>
                    </w:rPr>
                    <w:t>《中华人民共和国固体废物污染环境防治法》</w:t>
                  </w:r>
                  <w:r>
                    <w:rPr>
                      <w:rFonts w:hint="default" w:ascii="Times New Roman" w:hAnsi="Times New Roman" w:cs="Times New Roman"/>
                      <w:lang w:eastAsia="zh-CN"/>
                    </w:rPr>
                    <w:t>（</w:t>
                  </w:r>
                  <w:r>
                    <w:rPr>
                      <w:rFonts w:hint="default" w:ascii="Times New Roman" w:hAnsi="Times New Roman" w:cs="Times New Roman"/>
                      <w:lang w:val="en-US" w:eastAsia="zh-CN"/>
                    </w:rPr>
                    <w:t>2020-04-30</w:t>
                  </w:r>
                  <w:r>
                    <w:rPr>
                      <w:rFonts w:hint="default" w:ascii="Times New Roman" w:hAnsi="Times New Roman" w:cs="Times New Roman"/>
                      <w:lang w:eastAsia="zh-CN"/>
                    </w:rPr>
                    <w:t>）</w:t>
                  </w:r>
                </w:p>
              </w:tc>
              <w:tc>
                <w:tcPr>
                  <w:tcW w:w="2136"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第十九条：收集、贮存、运输、利用、处置固体废物的单位和其他生产经营者，应当加强对相关设施、设备和场所的管理和维护，保证其正常运行和使用。</w:t>
                  </w:r>
                </w:p>
              </w:tc>
              <w:tc>
                <w:tcPr>
                  <w:tcW w:w="1723"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highlight w:val="none"/>
                      <w:lang w:val="en-US" w:eastAsia="zh-CN"/>
                    </w:rPr>
                    <w:t>水泥筒仓滤筒式过滤器拦截的粉尘、</w:t>
                  </w:r>
                  <w:r>
                    <w:rPr>
                      <w:rFonts w:hint="eastAsia" w:cs="Times New Roman"/>
                      <w:highlight w:val="none"/>
                      <w:lang w:val="en-US" w:eastAsia="zh-CN"/>
                    </w:rPr>
                    <w:t>上料口</w:t>
                  </w:r>
                  <w:r>
                    <w:rPr>
                      <w:rFonts w:hint="default" w:ascii="Times New Roman" w:hAnsi="Times New Roman" w:cs="Times New Roman"/>
                      <w:highlight w:val="none"/>
                      <w:lang w:val="en-US" w:eastAsia="zh-CN"/>
                    </w:rPr>
                    <w:t>设置除尘器收集的粉尘、混凝土残渣</w:t>
                  </w:r>
                  <w:r>
                    <w:rPr>
                      <w:rFonts w:hint="eastAsia" w:cs="Times New Roman"/>
                      <w:highlight w:val="none"/>
                      <w:lang w:val="en-US" w:eastAsia="zh-CN"/>
                    </w:rPr>
                    <w:t>、</w:t>
                  </w:r>
                  <w:r>
                    <w:rPr>
                      <w:rFonts w:hint="default" w:ascii="Times New Roman" w:hAnsi="Times New Roman" w:cs="Times New Roman"/>
                      <w:highlight w:val="none"/>
                      <w:lang w:val="en-US" w:eastAsia="zh-CN"/>
                    </w:rPr>
                    <w:t>沉淀池底泥回用于生产；废布袋、废滤芯、水性防腐涂料包装桶交由厂家回收处理；</w:t>
                  </w:r>
                  <w:r>
                    <w:rPr>
                      <w:rFonts w:hint="eastAsia" w:cs="Times New Roman"/>
                      <w:highlight w:val="none"/>
                      <w:lang w:val="en-US" w:eastAsia="zh-CN"/>
                    </w:rPr>
                    <w:t>水性漆</w:t>
                  </w:r>
                  <w:r>
                    <w:rPr>
                      <w:rFonts w:hint="eastAsia" w:cs="Times New Roman"/>
                      <w:lang w:val="en-US" w:eastAsia="zh-CN"/>
                    </w:rPr>
                    <w:t>漆渣交由一般工业固体废物填埋场处置；</w:t>
                  </w:r>
                  <w:r>
                    <w:rPr>
                      <w:rFonts w:hint="default" w:ascii="Times New Roman" w:hAnsi="Times New Roman" w:cs="Times New Roman"/>
                      <w:highlight w:val="none"/>
                      <w:lang w:val="en-US" w:eastAsia="zh-CN"/>
                    </w:rPr>
                    <w:t>废钢筋外售综合处理；生活垃圾分类收集后委托环卫部门及时清运，危险废物储存于危废贮存点后交由有资质单位处理。</w:t>
                  </w:r>
                </w:p>
              </w:tc>
              <w:tc>
                <w:tcPr>
                  <w:tcW w:w="402"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eastAsia="zh-CN"/>
                    </w:rPr>
                  </w:pPr>
                  <w:r>
                    <w:rPr>
                      <w:rFonts w:hint="default" w:ascii="Times New Roman" w:hAnsi="Times New Roman" w:cs="Times New Roman"/>
                    </w:rPr>
                    <w:t>《中华人民共和国水污染防治法》</w:t>
                  </w:r>
                  <w:r>
                    <w:rPr>
                      <w:rFonts w:hint="default" w:ascii="Times New Roman" w:hAnsi="Times New Roman" w:cs="Times New Roman"/>
                      <w:lang w:eastAsia="zh-CN"/>
                    </w:rPr>
                    <w:t>（</w:t>
                  </w:r>
                  <w:r>
                    <w:rPr>
                      <w:rFonts w:hint="default" w:ascii="Times New Roman" w:hAnsi="Times New Roman" w:cs="Times New Roman"/>
                      <w:lang w:val="en-US" w:eastAsia="zh-CN"/>
                    </w:rPr>
                    <w:t>2018-01-01</w:t>
                  </w:r>
                  <w:r>
                    <w:rPr>
                      <w:rFonts w:hint="default" w:ascii="Times New Roman" w:hAnsi="Times New Roman" w:cs="Times New Roman"/>
                      <w:lang w:eastAsia="zh-CN"/>
                    </w:rPr>
                    <w:t>）</w:t>
                  </w:r>
                </w:p>
              </w:tc>
              <w:tc>
                <w:tcPr>
                  <w:tcW w:w="2136"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第五十条</w:t>
                  </w:r>
                  <w:r>
                    <w:rPr>
                      <w:rFonts w:hint="default" w:ascii="Times New Roman" w:hAnsi="Times New Roman" w:cs="Times New Roman"/>
                      <w:lang w:eastAsia="zh-CN"/>
                    </w:rPr>
                    <w:t>：</w:t>
                  </w:r>
                  <w:r>
                    <w:rPr>
                      <w:rFonts w:hint="default" w:ascii="Times New Roman" w:hAnsi="Times New Roman" w:cs="Times New Roman"/>
                    </w:rPr>
                    <w:t>向城镇污水集中处理设施排放水污染物，应当符合国家或者地方规定的水污染物排放标准。</w:t>
                  </w:r>
                </w:p>
              </w:tc>
              <w:tc>
                <w:tcPr>
                  <w:tcW w:w="1723"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项目设备清洗废水、模具清洗废水经沉淀收集后，用于成品养护，不外排；生活污水经化粪池预处理后排入铁门关市污水处理厂统一处理。</w:t>
                  </w:r>
                </w:p>
              </w:tc>
              <w:tc>
                <w:tcPr>
                  <w:tcW w:w="402"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《新疆维吾尔自治区2025年</w:t>
                  </w:r>
                </w:p>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空气质量持续改善行动实施方案》</w:t>
                  </w:r>
                </w:p>
              </w:tc>
              <w:tc>
                <w:tcPr>
                  <w:tcW w:w="2136"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eastAsia="zh-CN"/>
                    </w:rPr>
                  </w:pPr>
                  <w:r>
                    <w:rPr>
                      <w:rFonts w:hint="default" w:ascii="Times New Roman" w:hAnsi="Times New Roman" w:cs="Times New Roman"/>
                      <w:lang w:eastAsia="zh-CN"/>
                    </w:rPr>
                    <w:t>（一）坚决遏制高耗能、高排放、低水平项目盲目上马。（</w:t>
                  </w:r>
                  <w:r>
                    <w:rPr>
                      <w:rFonts w:hint="default" w:ascii="Times New Roman" w:hAnsi="Times New Roman" w:cs="Times New Roman"/>
                      <w:lang w:val="en-US" w:eastAsia="zh-CN"/>
                    </w:rPr>
                    <w:t>二</w:t>
                  </w:r>
                  <w:r>
                    <w:rPr>
                      <w:rFonts w:hint="default" w:ascii="Times New Roman" w:hAnsi="Times New Roman" w:cs="Times New Roman"/>
                      <w:lang w:eastAsia="zh-CN"/>
                    </w:rPr>
                    <w:t>）持续开展重点行业污染深度治理。高质量推进钢铁、水泥、焦化等行业超低排放改造，到2025年底，全区钢铁行业80%的产能完成超低排放改造，联防联控区水泥、焦化行业基本完成超低排放改造。</w:t>
                  </w:r>
                </w:p>
              </w:tc>
              <w:tc>
                <w:tcPr>
                  <w:tcW w:w="1723"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val="en-US"/>
                    </w:rPr>
                  </w:pPr>
                  <w:r>
                    <w:rPr>
                      <w:rFonts w:hint="default" w:ascii="Times New Roman" w:hAnsi="Times New Roman" w:cs="Times New Roman"/>
                      <w:lang w:val="en-US" w:eastAsia="zh-CN"/>
                    </w:rPr>
                    <w:t>本项目为水泥制品制造，不属于高耗能、高排放、低水平项目。</w:t>
                  </w:r>
                </w:p>
              </w:tc>
              <w:tc>
                <w:tcPr>
                  <w:tcW w:w="402"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eastAsia="zh-CN"/>
                    </w:rPr>
                  </w:pPr>
                  <w:r>
                    <w:rPr>
                      <w:rFonts w:hint="default" w:ascii="Times New Roman" w:hAnsi="Times New Roman" w:cs="Times New Roman"/>
                    </w:rPr>
                    <w:t>《巴音郭楞蒙古自治州大气污染防治</w:t>
                  </w:r>
                  <w:r>
                    <w:rPr>
                      <w:rFonts w:hint="default" w:ascii="Times New Roman" w:hAnsi="Times New Roman" w:cs="Times New Roman"/>
                      <w:lang w:val="en-US" w:eastAsia="zh-CN"/>
                    </w:rPr>
                    <w:t>办</w:t>
                  </w:r>
                  <w:r>
                    <w:rPr>
                      <w:rFonts w:hint="default" w:ascii="Times New Roman" w:hAnsi="Times New Roman" w:cs="Times New Roman"/>
                    </w:rPr>
                    <w:t>法》</w:t>
                  </w:r>
                  <w:r>
                    <w:rPr>
                      <w:rFonts w:hint="default" w:ascii="Times New Roman" w:hAnsi="Times New Roman" w:cs="Times New Roman"/>
                      <w:lang w:eastAsia="zh-CN"/>
                    </w:rPr>
                    <w:t>（</w:t>
                  </w:r>
                  <w:r>
                    <w:rPr>
                      <w:rFonts w:hint="default" w:ascii="Times New Roman" w:hAnsi="Times New Roman" w:cs="Times New Roman"/>
                      <w:lang w:val="en-US" w:eastAsia="zh-CN"/>
                    </w:rPr>
                    <w:t>2019年10月1日起施行</w:t>
                  </w:r>
                  <w:r>
                    <w:rPr>
                      <w:rFonts w:hint="default" w:ascii="Times New Roman" w:hAnsi="Times New Roman" w:cs="Times New Roman"/>
                      <w:lang w:eastAsia="zh-CN"/>
                    </w:rPr>
                    <w:t>）</w:t>
                  </w:r>
                </w:p>
              </w:tc>
              <w:tc>
                <w:tcPr>
                  <w:tcW w:w="2136"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第十八条</w:t>
                  </w:r>
                  <w:r>
                    <w:rPr>
                      <w:rFonts w:hint="default" w:ascii="Times New Roman" w:hAnsi="Times New Roman" w:cs="Times New Roman"/>
                      <w:lang w:eastAsia="zh-CN"/>
                    </w:rPr>
                    <w:t>：</w:t>
                  </w:r>
                  <w:r>
                    <w:rPr>
                      <w:rFonts w:hint="default" w:ascii="Times New Roman" w:hAnsi="Times New Roman" w:cs="Times New Roman"/>
                    </w:rPr>
                    <w:t>堆放易产生扬尘污染物料的堆场以及预拌混凝土和预拌砂浆等生产企业应当符合下列要求：</w:t>
                  </w:r>
                </w:p>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rPr>
                    <w:t>一</w:t>
                  </w:r>
                  <w:r>
                    <w:rPr>
                      <w:rFonts w:hint="default" w:ascii="Times New Roman" w:hAnsi="Times New Roman" w:cs="Times New Roman"/>
                      <w:lang w:eastAsia="zh-CN"/>
                    </w:rPr>
                    <w:t>）</w:t>
                  </w:r>
                  <w:r>
                    <w:rPr>
                      <w:rFonts w:hint="default" w:ascii="Times New Roman" w:hAnsi="Times New Roman" w:cs="Times New Roman"/>
                    </w:rPr>
                    <w:t>采用围挡或者其他封闭仓储设施，配备喷淋或者其他抑尘设备；</w:t>
                  </w:r>
                  <w:r>
                    <w:rPr>
                      <w:rFonts w:hint="default" w:ascii="Times New Roman" w:hAnsi="Times New Roman" w:cs="Times New Roman"/>
                      <w:lang w:eastAsia="zh-CN"/>
                    </w:rPr>
                    <w:t>（</w:t>
                  </w:r>
                  <w:r>
                    <w:rPr>
                      <w:rFonts w:hint="default" w:ascii="Times New Roman" w:hAnsi="Times New Roman" w:cs="Times New Roman"/>
                    </w:rPr>
                    <w:t>二</w:t>
                  </w:r>
                  <w:r>
                    <w:rPr>
                      <w:rFonts w:hint="default" w:ascii="Times New Roman" w:hAnsi="Times New Roman" w:cs="Times New Roman"/>
                      <w:lang w:eastAsia="zh-CN"/>
                    </w:rPr>
                    <w:t>）</w:t>
                  </w:r>
                  <w:r>
                    <w:rPr>
                      <w:rFonts w:hint="default" w:ascii="Times New Roman" w:hAnsi="Times New Roman" w:cs="Times New Roman"/>
                    </w:rPr>
                    <w:t>生产用原料需要频繁装卸作业的，在密闭车间进行，堆场露天装卸作业的，采取洒水等抑尘措施；</w:t>
                  </w:r>
                  <w:r>
                    <w:rPr>
                      <w:rFonts w:hint="default" w:ascii="Times New Roman" w:hAnsi="Times New Roman" w:cs="Times New Roman"/>
                      <w:lang w:eastAsia="zh-CN"/>
                    </w:rPr>
                    <w:t>（</w:t>
                  </w:r>
                  <w:r>
                    <w:rPr>
                      <w:rFonts w:hint="default" w:ascii="Times New Roman" w:hAnsi="Times New Roman" w:cs="Times New Roman"/>
                    </w:rPr>
                    <w:t>三</w:t>
                  </w:r>
                  <w:r>
                    <w:rPr>
                      <w:rFonts w:hint="default" w:ascii="Times New Roman" w:hAnsi="Times New Roman" w:cs="Times New Roman"/>
                      <w:lang w:eastAsia="zh-CN"/>
                    </w:rPr>
                    <w:t>）</w:t>
                  </w:r>
                  <w:r>
                    <w:rPr>
                      <w:rFonts w:hint="default" w:ascii="Times New Roman" w:hAnsi="Times New Roman" w:cs="Times New Roman"/>
                    </w:rPr>
                    <w:t>采用密闭输送设备作业的，在装料､卸料处配备吸尘、喷淋等防尘设施，并保持防尘设施的正常使用。</w:t>
                  </w:r>
                </w:p>
              </w:tc>
              <w:tc>
                <w:tcPr>
                  <w:tcW w:w="1723"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highlight w:val="none"/>
                    </w:rPr>
                    <w:t>本项目原料堆放在封闭式物料仓库内，</w:t>
                  </w:r>
                  <w:r>
                    <w:rPr>
                      <w:rFonts w:hint="eastAsia" w:cs="Times New Roman"/>
                      <w:b w:val="0"/>
                      <w:bCs w:val="0"/>
                      <w:highlight w:val="none"/>
                      <w:lang w:val="en-US" w:eastAsia="zh-CN"/>
                    </w:rPr>
                    <w:t>上料</w:t>
                  </w:r>
                  <w:r>
                    <w:rPr>
                      <w:rFonts w:hint="default" w:ascii="Times New Roman" w:hAnsi="Times New Roman" w:cs="Times New Roman"/>
                      <w:highlight w:val="none"/>
                      <w:lang w:eastAsia="zh-CN"/>
                    </w:rPr>
                    <w:t>过程中产生的颗粒物经袋式除尘器处理后经15m高排气筒进行达标排放</w:t>
                  </w:r>
                  <w:r>
                    <w:rPr>
                      <w:rFonts w:hint="eastAsia" w:cs="Times New Roman"/>
                      <w:highlight w:val="none"/>
                      <w:lang w:eastAsia="zh-CN"/>
                    </w:rPr>
                    <w:t>；</w:t>
                  </w:r>
                  <w:r>
                    <w:rPr>
                      <w:rFonts w:hint="eastAsia" w:cs="Times New Roman"/>
                      <w:highlight w:val="none"/>
                      <w:lang w:val="en-US" w:eastAsia="zh-CN"/>
                    </w:rPr>
                    <w:t>水性防腐涂料有机废气经二级活性炭吸附装置处理后由15m排气筒进行达标排放</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本项目产生的无组织颗粒物通过厂房密闭和洒水抑尘的措施，有效降低无组织颗粒物的排放。</w:t>
                  </w:r>
                </w:p>
              </w:tc>
              <w:tc>
                <w:tcPr>
                  <w:tcW w:w="402"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lang w:val="en-US" w:eastAsia="zh-CN"/>
                    </w:rPr>
                    <w:t>《自治州大气污染防治三年攻坚行动方案》（2023-2025年）</w:t>
                  </w:r>
                </w:p>
              </w:tc>
              <w:tc>
                <w:tcPr>
                  <w:tcW w:w="2136"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严格项目准入关。坚决遏制高耗能、高排放、低水平项目盲目发展，严把高耗能高排放项目准入关口，依法依规淘汰落后产能和化解过剩产能。严禁新增水泥熟料、平板玻璃等产能。</w:t>
                  </w:r>
                </w:p>
              </w:tc>
              <w:tc>
                <w:tcPr>
                  <w:tcW w:w="1723"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lang w:val="en-US" w:eastAsia="zh-CN"/>
                    </w:rPr>
                    <w:t>本工程不属于《产业结构调整指导目录（2024年本）》中鼓励类、限制类与淘汰类，为允许类；不属于高耗水、高污染、高耗能项目。</w:t>
                  </w:r>
                </w:p>
              </w:tc>
              <w:tc>
                <w:tcPr>
                  <w:tcW w:w="402"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6"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lang w:val="en-US" w:eastAsia="zh-CN"/>
                    </w:rPr>
                    <w:t>《国务院关于印发空气质量持续改善行动计划的通知》（国发〔2023〕24号）</w:t>
                  </w:r>
                </w:p>
              </w:tc>
              <w:tc>
                <w:tcPr>
                  <w:tcW w:w="2136"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四）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1723"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lang w:val="en-US" w:eastAsia="zh-CN"/>
                    </w:rPr>
                    <w:t>为水泥制品制造，不属于高耗能、高排放、低水平项目</w:t>
                  </w:r>
                  <w:r>
                    <w:rPr>
                      <w:rFonts w:hint="default" w:ascii="Times New Roman" w:hAnsi="Times New Roman" w:cs="Times New Roman"/>
                    </w:rPr>
                    <w:t>。</w:t>
                  </w:r>
                </w:p>
              </w:tc>
              <w:tc>
                <w:tcPr>
                  <w:tcW w:w="402"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6"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lang w:val="en-US" w:eastAsia="zh-CN"/>
                    </w:rPr>
                    <w:t>《工业料堆场扬尘整治规范》（DB 65/T4061-2017）</w:t>
                  </w:r>
                </w:p>
              </w:tc>
              <w:tc>
                <w:tcPr>
                  <w:tcW w:w="2136"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lang w:val="en-US" w:eastAsia="zh-CN"/>
                    </w:rPr>
                    <w:t>重点控制区、规模300~10000m³，风速2~4m/s，粒径：粉体≤0.5mm</w:t>
                  </w:r>
                  <w:r>
                    <w:rPr>
                      <w:rFonts w:hint="eastAsia" w:cs="Times New Roman"/>
                      <w:lang w:val="en-US" w:eastAsia="zh-CN"/>
                    </w:rPr>
                    <w:t xml:space="preserve"> </w:t>
                  </w:r>
                  <w:r>
                    <w:rPr>
                      <w:rFonts w:hint="default" w:ascii="Times New Roman" w:hAnsi="Times New Roman" w:cs="Times New Roman"/>
                      <w:lang w:val="en-US" w:eastAsia="zh-CN"/>
                    </w:rPr>
                    <w:t>Ⅰ类堆场；颗粒：0.5~13mm</w:t>
                  </w:r>
                  <w:r>
                    <w:rPr>
                      <w:rFonts w:hint="eastAsia" w:cs="Times New Roman"/>
                      <w:lang w:val="en-US" w:eastAsia="zh-CN"/>
                    </w:rPr>
                    <w:t xml:space="preserve"> </w:t>
                  </w:r>
                  <w:r>
                    <w:rPr>
                      <w:rFonts w:hint="default" w:ascii="Times New Roman" w:hAnsi="Times New Roman" w:eastAsia="宋体" w:cs="Times New Roman"/>
                      <w:lang w:val="en-US" w:eastAsia="zh-CN"/>
                    </w:rPr>
                    <w:t>Ⅰ</w:t>
                  </w:r>
                  <w:r>
                    <w:rPr>
                      <w:rFonts w:hint="default" w:ascii="Times New Roman" w:hAnsi="Times New Roman" w:cs="Times New Roman"/>
                      <w:lang w:val="en-US" w:eastAsia="zh-CN"/>
                    </w:rPr>
                    <w:t>类堆场；块体：≥13mmⅡ类堆场；Ⅰ类料堆场：（1）筒仓；（2）圆形料仓；（3）其他全封闭性仓库</w:t>
                  </w:r>
                  <w:r>
                    <w:rPr>
                      <w:rFonts w:hint="eastAsia" w:cs="Times New Roman"/>
                      <w:lang w:val="en-US" w:eastAsia="zh-CN"/>
                    </w:rPr>
                    <w:t>。</w:t>
                  </w:r>
                </w:p>
              </w:tc>
              <w:tc>
                <w:tcPr>
                  <w:tcW w:w="1723"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本项目涉及Ⅰ类堆场。本项目设置全封闭原料堆场。</w:t>
                  </w:r>
                </w:p>
              </w:tc>
              <w:tc>
                <w:tcPr>
                  <w:tcW w:w="402" w:type="pct"/>
                  <w:noWrap w:val="0"/>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bl>
          <w:p>
            <w:pPr>
              <w:keepNext w:val="0"/>
              <w:keepLines w:val="0"/>
              <w:suppressLineNumbers w:val="0"/>
              <w:bidi w:val="0"/>
              <w:spacing w:before="0" w:beforeAutospacing="0" w:after="0" w:afterAutospacing="0"/>
              <w:ind w:left="0" w:leftChars="0" w:right="0" w:firstLine="0" w:firstLineChars="0"/>
              <w:rPr>
                <w:rFonts w:hint="default"/>
                <w:lang w:eastAsia="zh-CN"/>
              </w:rPr>
            </w:pPr>
          </w:p>
          <w:p>
            <w:pPr>
              <w:keepNext w:val="0"/>
              <w:keepLines w:val="0"/>
              <w:suppressLineNumbers w:val="0"/>
              <w:bidi w:val="0"/>
              <w:spacing w:before="0" w:beforeAutospacing="0" w:after="0" w:afterAutospacing="0"/>
              <w:ind w:left="0" w:leftChars="0" w:right="0" w:firstLine="0" w:firstLineChars="0"/>
              <w:rPr>
                <w:rFonts w:hint="default"/>
                <w:lang w:eastAsia="zh-CN"/>
              </w:rPr>
            </w:pPr>
          </w:p>
          <w:p>
            <w:pPr>
              <w:keepNext w:val="0"/>
              <w:keepLines w:val="0"/>
              <w:suppressLineNumbers w:val="0"/>
              <w:bidi w:val="0"/>
              <w:spacing w:before="0" w:beforeAutospacing="0" w:after="0" w:afterAutospacing="0"/>
              <w:ind w:left="0" w:leftChars="0" w:right="0" w:firstLine="0" w:firstLineChars="0"/>
              <w:rPr>
                <w:rFonts w:hint="default"/>
                <w:lang w:eastAsia="zh-CN"/>
              </w:rPr>
            </w:pPr>
          </w:p>
          <w:p>
            <w:pPr>
              <w:keepNext w:val="0"/>
              <w:keepLines w:val="0"/>
              <w:suppressLineNumbers w:val="0"/>
              <w:bidi w:val="0"/>
              <w:spacing w:before="0" w:beforeAutospacing="0" w:after="0" w:afterAutospacing="0"/>
              <w:ind w:left="0" w:leftChars="0" w:right="0" w:firstLine="0" w:firstLineChars="0"/>
              <w:rPr>
                <w:rFonts w:hint="default"/>
                <w:lang w:eastAsia="zh-CN"/>
              </w:rPr>
            </w:pPr>
          </w:p>
          <w:p>
            <w:pPr>
              <w:keepNext w:val="0"/>
              <w:keepLines w:val="0"/>
              <w:suppressLineNumbers w:val="0"/>
              <w:bidi w:val="0"/>
              <w:spacing w:before="0" w:beforeAutospacing="0" w:after="0" w:afterAutospacing="0"/>
              <w:ind w:left="0" w:leftChars="0" w:right="0" w:firstLine="0" w:firstLineChars="0"/>
              <w:rPr>
                <w:rFonts w:hint="default"/>
                <w:lang w:eastAsia="zh-CN"/>
              </w:rPr>
            </w:pPr>
          </w:p>
          <w:p>
            <w:pPr>
              <w:keepNext w:val="0"/>
              <w:keepLines w:val="0"/>
              <w:suppressLineNumbers w:val="0"/>
              <w:bidi w:val="0"/>
              <w:spacing w:before="0" w:beforeAutospacing="0" w:after="0" w:afterAutospacing="0"/>
              <w:ind w:left="0" w:leftChars="0" w:right="0" w:firstLine="0" w:firstLineChars="0"/>
              <w:rPr>
                <w:rFonts w:hint="default"/>
                <w:lang w:eastAsia="zh-CN"/>
              </w:rPr>
            </w:pPr>
          </w:p>
          <w:p>
            <w:pPr>
              <w:keepNext w:val="0"/>
              <w:keepLines w:val="0"/>
              <w:suppressLineNumbers w:val="0"/>
              <w:bidi w:val="0"/>
              <w:spacing w:before="0" w:beforeAutospacing="0" w:after="0" w:afterAutospacing="0"/>
              <w:ind w:left="0" w:leftChars="0" w:right="0" w:firstLine="0" w:firstLineChars="0"/>
              <w:rPr>
                <w:rFonts w:hint="default"/>
                <w:lang w:eastAsia="zh-CN"/>
              </w:rPr>
            </w:pPr>
          </w:p>
          <w:p>
            <w:pPr>
              <w:keepNext w:val="0"/>
              <w:keepLines w:val="0"/>
              <w:suppressLineNumbers w:val="0"/>
              <w:bidi w:val="0"/>
              <w:spacing w:before="0" w:beforeAutospacing="0" w:after="0" w:afterAutospacing="0"/>
              <w:ind w:left="0" w:leftChars="0" w:right="0" w:firstLine="0" w:firstLineChars="0"/>
              <w:rPr>
                <w:rFonts w:hint="default"/>
                <w:lang w:eastAsia="zh-CN"/>
              </w:rPr>
            </w:pPr>
          </w:p>
          <w:p>
            <w:pPr>
              <w:keepNext w:val="0"/>
              <w:keepLines w:val="0"/>
              <w:suppressLineNumbers w:val="0"/>
              <w:bidi w:val="0"/>
              <w:spacing w:before="0" w:beforeAutospacing="0" w:after="0" w:afterAutospacing="0"/>
              <w:ind w:left="0" w:leftChars="0" w:right="0" w:firstLine="0" w:firstLineChars="0"/>
              <w:rPr>
                <w:rFonts w:hint="default"/>
                <w:lang w:eastAsia="zh-CN"/>
              </w:rPr>
            </w:pPr>
          </w:p>
          <w:p>
            <w:pPr>
              <w:keepNext w:val="0"/>
              <w:keepLines w:val="0"/>
              <w:suppressLineNumbers w:val="0"/>
              <w:bidi w:val="0"/>
              <w:spacing w:before="0" w:beforeAutospacing="0" w:after="0" w:afterAutospacing="0"/>
              <w:ind w:left="0" w:leftChars="0" w:right="0" w:firstLine="0" w:firstLineChars="0"/>
              <w:rPr>
                <w:rFonts w:hint="default"/>
                <w:lang w:eastAsia="zh-CN"/>
              </w:rPr>
            </w:pPr>
          </w:p>
          <w:p>
            <w:pPr>
              <w:keepNext w:val="0"/>
              <w:keepLines w:val="0"/>
              <w:suppressLineNumbers w:val="0"/>
              <w:bidi w:val="0"/>
              <w:spacing w:before="0" w:beforeAutospacing="0" w:after="0" w:afterAutospacing="0"/>
              <w:ind w:left="0" w:leftChars="0" w:right="0" w:firstLine="0" w:firstLineChars="0"/>
              <w:rPr>
                <w:rFonts w:hint="default"/>
                <w:lang w:eastAsia="zh-CN"/>
              </w:rPr>
            </w:pPr>
          </w:p>
          <w:p>
            <w:pPr>
              <w:keepNext w:val="0"/>
              <w:keepLines w:val="0"/>
              <w:suppressLineNumbers w:val="0"/>
              <w:bidi w:val="0"/>
              <w:spacing w:before="0" w:beforeAutospacing="0" w:after="0" w:afterAutospacing="0"/>
              <w:ind w:left="0" w:leftChars="0" w:right="0" w:firstLine="0" w:firstLineChars="0"/>
              <w:rPr>
                <w:rFonts w:hint="default"/>
                <w:lang w:eastAsia="zh-CN"/>
              </w:rPr>
            </w:pPr>
          </w:p>
          <w:p>
            <w:pPr>
              <w:keepNext w:val="0"/>
              <w:keepLines w:val="0"/>
              <w:suppressLineNumbers w:val="0"/>
              <w:bidi w:val="0"/>
              <w:spacing w:before="0" w:beforeAutospacing="0" w:after="0" w:afterAutospacing="0"/>
              <w:ind w:left="0" w:leftChars="0" w:right="0" w:firstLine="0" w:firstLineChars="0"/>
              <w:rPr>
                <w:rFonts w:hint="default"/>
                <w:lang w:eastAsia="zh-CN"/>
              </w:rPr>
            </w:pPr>
          </w:p>
        </w:tc>
      </w:tr>
    </w:tbl>
    <w:p>
      <w:pPr>
        <w:spacing w:line="360" w:lineRule="auto"/>
        <w:outlineLvl w:val="0"/>
        <w:rPr>
          <w:rFonts w:hint="default" w:ascii="Times New Roman" w:hAnsi="Times New Roman" w:eastAsia="黑体" w:cs="Times New Roman"/>
          <w:color w:val="000000"/>
          <w:sz w:val="30"/>
          <w:highlight w:val="none"/>
        </w:rPr>
        <w:sectPr>
          <w:headerReference r:id="rId5" w:type="default"/>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default" w:ascii="Times New Roman" w:hAnsi="Times New Roman" w:eastAsia="黑体" w:cs="Times New Roman"/>
          <w:snapToGrid w:val="0"/>
          <w:color w:val="000000"/>
          <w:sz w:val="30"/>
          <w:szCs w:val="30"/>
          <w:highlight w:val="none"/>
        </w:rPr>
      </w:pPr>
      <w:r>
        <w:rPr>
          <w:rFonts w:hint="default" w:ascii="Times New Roman" w:hAnsi="Times New Roman" w:eastAsia="黑体" w:cs="Times New Roman"/>
          <w:snapToGrid w:val="0"/>
          <w:color w:val="000000"/>
          <w:sz w:val="30"/>
          <w:szCs w:val="30"/>
          <w:highlight w:val="none"/>
        </w:rPr>
        <w:t>二、建设项目工程分析</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72"/>
        <w:gridCol w:w="798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13" w:hRule="atLeast"/>
          <w:jc w:val="center"/>
        </w:trPr>
        <w:tc>
          <w:tcPr>
            <w:tcW w:w="1072"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bCs/>
                <w:color w:val="000000"/>
                <w:kern w:val="2"/>
                <w:szCs w:val="28"/>
                <w:highlight w:val="none"/>
              </w:rPr>
            </w:pPr>
            <w:r>
              <w:rPr>
                <w:rFonts w:hint="default" w:ascii="Times New Roman" w:hAnsi="Times New Roman" w:cs="Times New Roman"/>
              </w:rPr>
              <w:t>建设内容</w:t>
            </w:r>
          </w:p>
        </w:tc>
        <w:tc>
          <w:tcPr>
            <w:tcW w:w="7988" w:type="dxa"/>
            <w:noWrap w:val="0"/>
            <w:vAlign w:val="top"/>
          </w:tcPr>
          <w:p>
            <w:pPr>
              <w:pStyle w:val="3"/>
              <w:keepLines w:val="0"/>
              <w:suppressLineNumbers w:val="0"/>
              <w:bidi w:val="0"/>
              <w:spacing w:before="0" w:beforeAutospacing="0" w:after="0" w:afterAutospacing="0"/>
              <w:ind w:right="0"/>
              <w:rPr>
                <w:rFonts w:hint="default" w:ascii="Times New Roman" w:hAnsi="Times New Roman" w:cs="Times New Roman"/>
                <w:lang w:val="zh-CN"/>
              </w:rPr>
            </w:pPr>
            <w:r>
              <w:rPr>
                <w:rFonts w:hint="default" w:ascii="Times New Roman" w:hAnsi="Times New Roman" w:cs="Times New Roman"/>
                <w:lang w:val="en-US" w:eastAsia="zh-CN"/>
              </w:rPr>
              <w:t xml:space="preserve">1 </w:t>
            </w:r>
            <w:r>
              <w:rPr>
                <w:rFonts w:hint="default" w:ascii="Times New Roman" w:hAnsi="Times New Roman" w:cs="Times New Roman"/>
              </w:rPr>
              <w:t>项目由来</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highlight w:val="none"/>
              </w:rPr>
              <w:t>巴州安禄能建材有限公司成立于2013年</w:t>
            </w:r>
            <w:r>
              <w:rPr>
                <w:rFonts w:hint="default" w:ascii="Times New Roman" w:hAnsi="Times New Roman" w:cs="Times New Roman"/>
                <w:highlight w:val="none"/>
                <w:lang w:val="en-US" w:eastAsia="zh-CN"/>
              </w:rPr>
              <w:t>，</w:t>
            </w:r>
            <w:r>
              <w:rPr>
                <w:rFonts w:hint="eastAsia" w:cs="Times New Roman"/>
                <w:highlight w:val="none"/>
                <w:lang w:val="en-US" w:eastAsia="zh-CN"/>
              </w:rPr>
              <w:t>建设地点位于新疆库尔勒上库高新技术产业开发区综合园安顺路69号。公司一期</w:t>
            </w:r>
            <w:r>
              <w:rPr>
                <w:rFonts w:hint="default" w:ascii="Times New Roman" w:hAnsi="Times New Roman" w:cs="Times New Roman"/>
                <w:highlight w:val="none"/>
                <w:lang w:val="en-US" w:eastAsia="zh-CN"/>
              </w:rPr>
              <w:t>投资建设10万m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/年砖、板及路沿石生产加工建设项目。</w:t>
            </w:r>
            <w:r>
              <w:rPr>
                <w:rFonts w:hint="eastAsia" w:cs="Times New Roman"/>
                <w:highlight w:val="none"/>
                <w:lang w:val="en-US" w:eastAsia="zh-CN"/>
              </w:rPr>
              <w:t>一期项目于2014年2月13日取得《关于巴州安禄能建材有限公司〈年产10万m</w:t>
            </w:r>
            <w:r>
              <w:rPr>
                <w:rFonts w:hint="eastAsia" w:cs="Times New Roman"/>
                <w:highlight w:val="none"/>
                <w:vertAlign w:val="superscript"/>
                <w:lang w:val="en-US" w:eastAsia="zh-CN"/>
              </w:rPr>
              <w:t>2</w:t>
            </w:r>
            <w:r>
              <w:rPr>
                <w:rFonts w:hint="eastAsia" w:cs="Times New Roman"/>
                <w:highlight w:val="none"/>
                <w:lang w:val="en-US" w:eastAsia="zh-CN"/>
              </w:rPr>
              <w:t>/年砖、板及路沿石生产加工建设项目环境影响报告表〉的批复》（巴环评价函〔2014〕43号），2020年5月委托巴州永诚环境监测技术服务有限公司开展项目竣工环保验收工作，并通过环保验收。</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为了增强企业竞争力，满足市场需求，公司拟建设巴州安禄能建材有限公司二期装配式水泥制品项目</w:t>
            </w:r>
            <w:r>
              <w:rPr>
                <w:rFonts w:hint="eastAsia" w:cs="Times New Roman"/>
                <w:highlight w:val="none"/>
                <w:lang w:val="en-US" w:eastAsia="zh-CN"/>
              </w:rPr>
              <w:t>。新增用地14354.91m</w:t>
            </w:r>
            <w:r>
              <w:rPr>
                <w:rFonts w:hint="eastAsia" w:cs="Times New Roman"/>
                <w:highlight w:val="none"/>
                <w:vertAlign w:val="superscript"/>
                <w:lang w:val="en-US" w:eastAsia="zh-CN"/>
              </w:rPr>
              <w:t>2</w:t>
            </w:r>
            <w:r>
              <w:rPr>
                <w:rFonts w:hint="eastAsia" w:cs="Times New Roman"/>
                <w:highlight w:val="none"/>
                <w:lang w:val="en-US" w:eastAsia="zh-CN"/>
              </w:rPr>
              <w:t>，建成后</w:t>
            </w:r>
            <w:r>
              <w:rPr>
                <w:rFonts w:hint="default" w:ascii="Times New Roman" w:hAnsi="Times New Roman" w:cs="Times New Roman"/>
                <w:highlight w:val="none"/>
                <w:lang w:val="en-US" w:eastAsia="zh-CN"/>
              </w:rPr>
              <w:t>年产</w:t>
            </w:r>
            <w:r>
              <w:rPr>
                <w:rFonts w:hint="eastAsia" w:cs="Times New Roman"/>
                <w:highlight w:val="none"/>
                <w:lang w:val="en-US" w:eastAsia="zh-CN"/>
              </w:rPr>
              <w:t>10000套检查井</w:t>
            </w:r>
            <w:r>
              <w:rPr>
                <w:rFonts w:hint="default" w:ascii="Times New Roman" w:hAnsi="Times New Roman" w:cs="Times New Roman"/>
                <w:highlight w:val="none"/>
                <w:lang w:val="en-US" w:eastAsia="zh-CN"/>
              </w:rPr>
              <w:t>、</w:t>
            </w:r>
            <w:r>
              <w:rPr>
                <w:rFonts w:hint="eastAsia" w:cs="Times New Roman"/>
                <w:highlight w:val="none"/>
                <w:lang w:val="en-US" w:eastAsia="zh-CN"/>
              </w:rPr>
              <w:t>5万m</w:t>
            </w:r>
            <w:r>
              <w:rPr>
                <w:rFonts w:hint="eastAsia" w:cs="Times New Roman"/>
                <w:highlight w:val="none"/>
                <w:vertAlign w:val="superscript"/>
                <w:lang w:val="en-US" w:eastAsia="zh-CN"/>
              </w:rPr>
              <w:t>3</w:t>
            </w:r>
            <w:r>
              <w:rPr>
                <w:rFonts w:hint="eastAsia" w:cs="Times New Roman"/>
                <w:highlight w:val="none"/>
                <w:lang w:val="en-US" w:eastAsia="zh-CN"/>
              </w:rPr>
              <w:t>化粪池/消防池</w:t>
            </w:r>
            <w:r>
              <w:rPr>
                <w:rFonts w:hint="default" w:ascii="Times New Roman" w:hAnsi="Times New Roman" w:cs="Times New Roman"/>
                <w:highlight w:val="none"/>
                <w:lang w:val="en-US" w:eastAsia="zh-CN"/>
              </w:rPr>
              <w:t>。</w:t>
            </w:r>
          </w:p>
          <w:p>
            <w:pPr>
              <w:keepNext w:val="0"/>
              <w:keepLines w:val="0"/>
              <w:suppressLineNumbers w:val="0"/>
              <w:bidi w:val="0"/>
              <w:spacing w:before="0" w:beforeAutospacing="0" w:after="0" w:afterAutospacing="0"/>
              <w:ind w:left="0" w:right="0"/>
              <w:rPr>
                <w:rFonts w:hint="default" w:ascii="Times New Roman" w:hAnsi="Times New Roman" w:cs="Times New Roman"/>
                <w:lang w:val="zh-CN"/>
              </w:rPr>
            </w:pPr>
            <w:r>
              <w:rPr>
                <w:rFonts w:hint="default" w:ascii="Times New Roman" w:hAnsi="Times New Roman" w:cs="Times New Roman"/>
                <w:lang w:val="zh-CN"/>
              </w:rPr>
              <w:t>根据《中华人民共和国环境保护法》《建设项目环境保护管理条例》和《建设项目环境影响评价分类管理名录》等有关法律、法规规定，本项目属《名录》所列</w:t>
            </w:r>
            <w:r>
              <w:rPr>
                <w:rFonts w:hint="eastAsia" w:ascii="宋体" w:hAnsi="宋体" w:eastAsia="宋体" w:cs="宋体"/>
                <w:lang w:val="zh-CN"/>
              </w:rPr>
              <w:t>“二十七、非金属矿物制品业-</w:t>
            </w:r>
            <w:r>
              <w:rPr>
                <w:rFonts w:hint="default" w:ascii="Times New Roman" w:hAnsi="Times New Roman" w:eastAsia="宋体" w:cs="Times New Roman"/>
                <w:lang w:val="zh-CN"/>
              </w:rPr>
              <w:t>55</w:t>
            </w:r>
            <w:r>
              <w:rPr>
                <w:rFonts w:hint="eastAsia" w:ascii="宋体" w:hAnsi="宋体" w:eastAsia="宋体" w:cs="宋体"/>
                <w:lang w:val="zh-CN"/>
              </w:rPr>
              <w:t>石膏、水泥制品及类似制品制造</w:t>
            </w:r>
            <w:r>
              <w:rPr>
                <w:rFonts w:hint="eastAsia" w:ascii="宋体" w:hAnsi="宋体" w:cs="宋体"/>
                <w:lang w:val="zh-CN"/>
              </w:rPr>
              <w:t>”</w:t>
            </w:r>
            <w:r>
              <w:rPr>
                <w:rFonts w:hint="eastAsia" w:ascii="宋体" w:hAnsi="宋体" w:eastAsia="宋体" w:cs="宋体"/>
                <w:lang w:val="zh-CN"/>
              </w:rPr>
              <w:t>中</w:t>
            </w:r>
            <w:r>
              <w:rPr>
                <w:rFonts w:hint="eastAsia" w:ascii="宋体" w:hAnsi="宋体" w:cs="宋体"/>
                <w:lang w:val="zh-CN"/>
              </w:rPr>
              <w:t>“</w:t>
            </w:r>
            <w:r>
              <w:rPr>
                <w:rFonts w:hint="eastAsia" w:ascii="宋体" w:hAnsi="宋体" w:eastAsia="宋体" w:cs="宋体"/>
                <w:lang w:val="zh-CN"/>
              </w:rPr>
              <w:t>水泥制品制造”</w:t>
            </w:r>
            <w:r>
              <w:rPr>
                <w:rFonts w:hint="default" w:ascii="Times New Roman" w:hAnsi="Times New Roman" w:cs="Times New Roman"/>
                <w:lang w:val="zh-CN" w:eastAsia="zh-CN"/>
              </w:rPr>
              <w:t>应编制报告表。</w:t>
            </w:r>
            <w:r>
              <w:rPr>
                <w:rFonts w:hint="default" w:ascii="Times New Roman" w:hAnsi="Times New Roman" w:cs="Times New Roman"/>
                <w:lang w:val="zh-CN"/>
              </w:rPr>
              <w:t>受建设单位委托，新疆领畅环保科技有限公司承担了本项目的环境影响评价工作。接受委托后，环评单位在现场踏勘和资料收集的基础上，编制完成了</w:t>
            </w:r>
            <w:r>
              <w:rPr>
                <w:rFonts w:hint="default" w:ascii="Times New Roman" w:hAnsi="Times New Roman" w:cs="Times New Roman"/>
                <w:highlight w:val="none"/>
                <w:lang w:val="zh-CN"/>
              </w:rPr>
              <w:t>《</w:t>
            </w:r>
            <w:r>
              <w:rPr>
                <w:rFonts w:hint="eastAsia" w:cs="Times New Roman"/>
                <w:highlight w:val="none"/>
                <w:lang w:val="zh-CN" w:eastAsia="zh-CN"/>
              </w:rPr>
              <w:t>巴州安禄能建材有限公司二期装配式水泥制品项目</w:t>
            </w:r>
            <w:r>
              <w:rPr>
                <w:rFonts w:hint="default" w:ascii="Times New Roman" w:hAnsi="Times New Roman" w:cs="Times New Roman"/>
                <w:highlight w:val="none"/>
                <w:lang w:val="en-US" w:eastAsia="zh-CN"/>
              </w:rPr>
              <w:t>环境影响报告表</w:t>
            </w:r>
            <w:r>
              <w:rPr>
                <w:rFonts w:hint="default" w:ascii="Times New Roman" w:hAnsi="Times New Roman" w:cs="Times New Roman"/>
                <w:highlight w:val="none"/>
                <w:lang w:val="zh-CN"/>
              </w:rPr>
              <w:t>》，</w:t>
            </w:r>
            <w:r>
              <w:rPr>
                <w:rFonts w:hint="default" w:ascii="Times New Roman" w:hAnsi="Times New Roman" w:cs="Times New Roman"/>
                <w:lang w:val="zh-CN"/>
              </w:rPr>
              <w:t>建设单位递交环境影响报告表呈报环境保护行政主管部门，审批后作为环保部门和该企业进行环保管理的依据。</w:t>
            </w:r>
          </w:p>
          <w:p>
            <w:pPr>
              <w:pStyle w:val="3"/>
              <w:keepLines w:val="0"/>
              <w:suppressLineNumbers w:val="0"/>
              <w:bidi w:val="0"/>
              <w:spacing w:before="0" w:beforeAutospacing="0" w:after="0" w:afterAutospacing="0"/>
              <w:ind w:right="0"/>
              <w:rPr>
                <w:rFonts w:hint="default" w:ascii="Times New Roman" w:hAnsi="Times New Roman" w:cs="Times New Roman"/>
                <w:lang w:val="zh-CN" w:eastAsia="zh-CN"/>
              </w:rPr>
            </w:pPr>
            <w:r>
              <w:rPr>
                <w:rFonts w:hint="default" w:ascii="Times New Roman" w:hAnsi="Times New Roman" w:cs="Times New Roman"/>
                <w:lang w:val="zh-CN" w:eastAsia="zh-CN"/>
              </w:rPr>
              <w:t>2</w:t>
            </w:r>
            <w:r>
              <w:rPr>
                <w:rFonts w:hint="default" w:ascii="Times New Roman" w:hAnsi="Times New Roman" w:cs="Times New Roman"/>
                <w:lang w:val="en-US" w:eastAsia="zh-CN"/>
              </w:rPr>
              <w:t xml:space="preserve"> </w:t>
            </w:r>
            <w:r>
              <w:rPr>
                <w:rFonts w:hint="default" w:ascii="Times New Roman" w:hAnsi="Times New Roman" w:cs="Times New Roman"/>
                <w:lang w:val="zh-CN" w:eastAsia="zh-CN"/>
              </w:rPr>
              <w:t>地理位置及周边环境</w:t>
            </w:r>
          </w:p>
          <w:p>
            <w:pPr>
              <w:keepNext w:val="0"/>
              <w:keepLines w:val="0"/>
              <w:suppressLineNumbers w:val="0"/>
              <w:spacing w:before="0" w:beforeAutospacing="0" w:after="0" w:afterAutospacing="0"/>
              <w:ind w:left="0" w:right="0"/>
              <w:rPr>
                <w:rFonts w:hint="default"/>
                <w:lang w:val="zh-CN" w:eastAsia="zh-CN"/>
              </w:rPr>
            </w:pPr>
            <w:r>
              <w:rPr>
                <w:rFonts w:hint="default"/>
                <w:lang w:val="zh-CN" w:eastAsia="zh-CN"/>
              </w:rPr>
              <w:t>本项目位于新疆库尔勒上库高新技术产业开发区综合园安顺路69号安禄能建材有限公司厂区</w:t>
            </w:r>
            <w:r>
              <w:rPr>
                <w:rFonts w:hint="eastAsia"/>
                <w:lang w:val="en-US" w:eastAsia="zh-CN"/>
              </w:rPr>
              <w:t>北</w:t>
            </w:r>
            <w:r>
              <w:rPr>
                <w:rFonts w:hint="default"/>
                <w:lang w:val="zh-CN" w:eastAsia="zh-CN"/>
              </w:rPr>
              <w:t>侧区域</w:t>
            </w:r>
            <w:r>
              <w:rPr>
                <w:rFonts w:hint="eastAsia"/>
                <w:lang w:val="zh-CN" w:eastAsia="zh-CN"/>
              </w:rPr>
              <w:t>，</w:t>
            </w:r>
            <w:r>
              <w:rPr>
                <w:rFonts w:hint="eastAsia"/>
                <w:lang w:val="en-US" w:eastAsia="zh-CN"/>
              </w:rPr>
              <w:t>中心坐标：东经</w:t>
            </w:r>
            <w:r>
              <w:rPr>
                <w:rFonts w:hint="default" w:ascii="Times New Roman" w:hAnsi="Times New Roman" w:cs="Times New Roman"/>
                <w:lang w:val="en-US" w:eastAsia="zh-CN"/>
              </w:rPr>
              <w:t>85°54′17.591″，北纬41°51′3.395″</w:t>
            </w:r>
            <w:r>
              <w:rPr>
                <w:rFonts w:hint="default"/>
                <w:lang w:val="zh-CN" w:eastAsia="zh-CN"/>
              </w:rPr>
              <w:t>。本项目东侧为空置厂区，西侧</w:t>
            </w:r>
            <w:r>
              <w:rPr>
                <w:rFonts w:hint="eastAsia"/>
                <w:lang w:val="zh-CN" w:eastAsia="zh-CN"/>
              </w:rPr>
              <w:t>为</w:t>
            </w:r>
            <w:r>
              <w:rPr>
                <w:rFonts w:hint="default"/>
                <w:lang w:val="zh-CN" w:eastAsia="zh-CN"/>
              </w:rPr>
              <w:t>金曼电器</w:t>
            </w:r>
            <w:r>
              <w:rPr>
                <w:rFonts w:hint="eastAsia"/>
                <w:lang w:val="en-US" w:eastAsia="zh-CN"/>
              </w:rPr>
              <w:t>有限公司</w:t>
            </w:r>
            <w:r>
              <w:rPr>
                <w:rFonts w:hint="default"/>
                <w:lang w:val="zh-CN" w:eastAsia="zh-CN"/>
              </w:rPr>
              <w:t>建工程，南侧45m为新凯防水有限责任公司，北侧紧邻沃兰生物科技有限公司。具体地理位置详见附图1《建设项目地理位置示意图》及附图2《周边关系示意图》。</w:t>
            </w:r>
          </w:p>
          <w:p>
            <w:pPr>
              <w:pStyle w:val="3"/>
              <w:keepLines w:val="0"/>
              <w:suppressLineNumbers w:val="0"/>
              <w:bidi w:val="0"/>
              <w:spacing w:before="0" w:beforeAutospacing="0" w:after="0" w:afterAutospacing="0"/>
              <w:ind w:right="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 xml:space="preserve"> 工程概况</w:t>
            </w:r>
          </w:p>
          <w:p>
            <w:pPr>
              <w:pStyle w:val="4"/>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.1 建设规模及建设内容</w:t>
            </w:r>
          </w:p>
          <w:p>
            <w:pPr>
              <w:keepNext w:val="0"/>
              <w:keepLines w:val="0"/>
              <w:suppressLineNumbers w:val="0"/>
              <w:bidi w:val="0"/>
              <w:spacing w:before="0" w:beforeAutospacing="0" w:after="0" w:afterAutospacing="0"/>
              <w:ind w:left="0" w:right="0"/>
              <w:rPr>
                <w:rFonts w:hint="default" w:ascii="Times New Roman" w:hAnsi="Times New Roman" w:cs="Times New Roman"/>
                <w:color w:val="000000"/>
                <w:szCs w:val="28"/>
                <w:highlight w:val="none"/>
              </w:rPr>
            </w:pPr>
            <w:r>
              <w:rPr>
                <w:rFonts w:hint="default" w:ascii="Times New Roman" w:hAnsi="Times New Roman" w:cs="Times New Roman"/>
                <w:lang w:val="en-US" w:eastAsia="zh-CN"/>
              </w:rPr>
              <w:t>本项目</w:t>
            </w:r>
            <w:r>
              <w:rPr>
                <w:rFonts w:hint="eastAsia" w:cs="Times New Roman"/>
                <w:lang w:val="en-US" w:eastAsia="zh-CN"/>
              </w:rPr>
              <w:t>在厂区北侧新增占地，</w:t>
            </w:r>
            <w:r>
              <w:rPr>
                <w:rFonts w:hint="default" w:ascii="Times New Roman" w:hAnsi="Times New Roman" w:cs="Times New Roman"/>
                <w:lang w:val="en-US" w:eastAsia="zh-CN"/>
              </w:rPr>
              <w:t>建设水泥制品生产线</w:t>
            </w:r>
            <w:r>
              <w:rPr>
                <w:rFonts w:hint="eastAsia" w:cs="Times New Roman"/>
                <w:lang w:val="en-US" w:eastAsia="zh-CN"/>
              </w:rPr>
              <w:t>，</w:t>
            </w:r>
            <w:r>
              <w:rPr>
                <w:rFonts w:hint="eastAsia" w:cs="Times New Roman"/>
                <w:highlight w:val="none"/>
                <w:lang w:val="en-US" w:eastAsia="zh-CN"/>
              </w:rPr>
              <w:t>建成后</w:t>
            </w:r>
            <w:r>
              <w:rPr>
                <w:rFonts w:hint="default" w:ascii="Times New Roman" w:hAnsi="Times New Roman" w:cs="Times New Roman"/>
                <w:highlight w:val="none"/>
                <w:lang w:val="en-US" w:eastAsia="zh-CN"/>
              </w:rPr>
              <w:t>年产</w:t>
            </w:r>
            <w:r>
              <w:rPr>
                <w:rFonts w:hint="eastAsia" w:cs="Times New Roman"/>
                <w:highlight w:val="none"/>
                <w:lang w:val="en-US" w:eastAsia="zh-CN"/>
              </w:rPr>
              <w:t>10000套检查井</w:t>
            </w:r>
            <w:r>
              <w:rPr>
                <w:rFonts w:hint="default" w:ascii="Times New Roman" w:hAnsi="Times New Roman" w:cs="Times New Roman"/>
                <w:highlight w:val="none"/>
                <w:lang w:val="en-US" w:eastAsia="zh-CN"/>
              </w:rPr>
              <w:t>、</w:t>
            </w:r>
            <w:r>
              <w:rPr>
                <w:rFonts w:hint="eastAsia" w:cs="Times New Roman"/>
                <w:highlight w:val="none"/>
                <w:lang w:val="en-US" w:eastAsia="zh-CN"/>
              </w:rPr>
              <w:t>5万m</w:t>
            </w:r>
            <w:r>
              <w:rPr>
                <w:rFonts w:hint="eastAsia" w:cs="Times New Roman"/>
                <w:highlight w:val="none"/>
                <w:vertAlign w:val="superscript"/>
                <w:lang w:val="en-US" w:eastAsia="zh-CN"/>
              </w:rPr>
              <w:t>3</w:t>
            </w:r>
            <w:r>
              <w:rPr>
                <w:rFonts w:hint="eastAsia" w:cs="Times New Roman"/>
                <w:highlight w:val="none"/>
                <w:lang w:val="en-US" w:eastAsia="zh-CN"/>
              </w:rPr>
              <w:t>化粪池/消防池</w:t>
            </w:r>
            <w:r>
              <w:rPr>
                <w:rFonts w:hint="default" w:ascii="Times New Roman" w:hAnsi="Times New Roman" w:cs="Times New Roman"/>
                <w:lang w:val="en-US" w:eastAsia="zh-CN"/>
              </w:rPr>
              <w:t>。项目工程建设内容见表2-</w:t>
            </w:r>
            <w:r>
              <w:rPr>
                <w:rFonts w:hint="eastAsia" w:cs="Times New Roman"/>
                <w:lang w:val="en-US" w:eastAsia="zh-CN"/>
              </w:rPr>
              <w:t>1</w:t>
            </w:r>
            <w:r>
              <w:rPr>
                <w:rFonts w:hint="default" w:ascii="Times New Roman" w:hAnsi="Times New Roman" w:cs="Times New Roman"/>
                <w:lang w:val="en-US" w:eastAsia="zh-CN"/>
              </w:rPr>
              <w:t>。</w:t>
            </w:r>
          </w:p>
          <w:p>
            <w:pPr>
              <w:pStyle w:val="5"/>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2</w:t>
            </w:r>
            <w:r>
              <w:rPr>
                <w:rFonts w:hint="default" w:ascii="Times New Roman" w:hAnsi="Times New Roman" w:cs="Times New Roman"/>
              </w:rPr>
              <w:t>-</w:t>
            </w:r>
            <w:r>
              <w:rPr>
                <w:rFonts w:hint="eastAsia" w:cs="Times New Roman"/>
                <w:lang w:val="en-US" w:eastAsia="zh-CN"/>
              </w:rPr>
              <w:t xml:space="preserve">1 </w:t>
            </w:r>
            <w:r>
              <w:rPr>
                <w:rFonts w:hint="default" w:ascii="Times New Roman" w:hAnsi="Times New Roman" w:cs="Times New Roman"/>
                <w:lang w:val="en-US" w:eastAsia="zh-CN"/>
              </w:rPr>
              <w:t xml:space="preserve"> </w:t>
            </w:r>
            <w:r>
              <w:rPr>
                <w:rFonts w:hint="default" w:ascii="Times New Roman" w:hAnsi="Times New Roman" w:cs="Times New Roman"/>
              </w:rPr>
              <w:t>项目建设情况</w:t>
            </w:r>
          </w:p>
          <w:tbl>
            <w:tblPr>
              <w:tblStyle w:val="33"/>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1275"/>
              <w:gridCol w:w="426"/>
              <w:gridCol w:w="1104"/>
              <w:gridCol w:w="2923"/>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347"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序号</w:t>
                  </w:r>
                </w:p>
              </w:tc>
              <w:tc>
                <w:tcPr>
                  <w:tcW w:w="822"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名称</w:t>
                  </w:r>
                </w:p>
              </w:tc>
              <w:tc>
                <w:tcPr>
                  <w:tcW w:w="2868" w:type="pct"/>
                  <w:gridSpan w:val="3"/>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新建</w:t>
                  </w:r>
                  <w:r>
                    <w:rPr>
                      <w:rFonts w:hint="default" w:ascii="Times New Roman" w:hAnsi="Times New Roman" w:cs="Times New Roman"/>
                    </w:rPr>
                    <w:t>工程内容和规模</w:t>
                  </w:r>
                </w:p>
              </w:tc>
              <w:tc>
                <w:tcPr>
                  <w:tcW w:w="962"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347" w:type="pct"/>
                  <w:vMerge w:val="restar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cs="Times New Roman"/>
                      <w:lang w:val="en-US" w:eastAsia="zh-CN"/>
                    </w:rPr>
                    <w:t>主体工程</w:t>
                  </w:r>
                </w:p>
              </w:tc>
              <w:tc>
                <w:tcPr>
                  <w:tcW w:w="822"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钢筋加工车间</w:t>
                  </w:r>
                </w:p>
              </w:tc>
              <w:tc>
                <w:tcPr>
                  <w:tcW w:w="2868" w:type="pct"/>
                  <w:gridSpan w:val="3"/>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占地面积</w:t>
                  </w:r>
                  <w:r>
                    <w:rPr>
                      <w:rFonts w:hint="eastAsia" w:cs="Times New Roman"/>
                      <w:lang w:val="en-US" w:eastAsia="zh-CN"/>
                    </w:rPr>
                    <w:t>372.05</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，主要进行钢筋加工作业，采取密闭措施。</w:t>
                  </w:r>
                </w:p>
              </w:tc>
              <w:tc>
                <w:tcPr>
                  <w:tcW w:w="962" w:type="pct"/>
                  <w:noWrap w:val="0"/>
                  <w:vAlign w:val="center"/>
                </w:tcPr>
                <w:p>
                  <w:pPr>
                    <w:pStyle w:val="27"/>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eastAsia" w:cs="Times New Roman"/>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trPr>
              <w:tc>
                <w:tcPr>
                  <w:tcW w:w="347"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822" w:type="pct"/>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水泥制品加工区域</w:t>
                  </w:r>
                </w:p>
              </w:tc>
              <w:tc>
                <w:tcPr>
                  <w:tcW w:w="2868" w:type="pct"/>
                  <w:gridSpan w:val="3"/>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占地面积</w:t>
                  </w:r>
                  <w:r>
                    <w:rPr>
                      <w:rFonts w:hint="eastAsia" w:cs="Times New Roman"/>
                      <w:lang w:val="en-US" w:eastAsia="zh-CN"/>
                    </w:rPr>
                    <w:t>20</w:t>
                  </w:r>
                  <w:r>
                    <w:rPr>
                      <w:rFonts w:hint="default" w:ascii="Times New Roman" w:hAnsi="Times New Roman" w:cs="Times New Roman"/>
                      <w:lang w:val="en-US" w:eastAsia="zh-CN"/>
                    </w:rPr>
                    <w:t>00m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，露天生产，生产场地地面水泥硬化处理，主要为混凝土拌合和模具成型，混凝土采用全密闭式搅拌机搅拌，上料口采取三面一顶围挡+软帘措施。</w:t>
                  </w:r>
                </w:p>
              </w:tc>
              <w:tc>
                <w:tcPr>
                  <w:tcW w:w="962" w:type="pct"/>
                  <w:noWrap w:val="0"/>
                  <w:vAlign w:val="center"/>
                </w:tcPr>
                <w:p>
                  <w:pPr>
                    <w:pStyle w:val="27"/>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trPr>
              <w:tc>
                <w:tcPr>
                  <w:tcW w:w="347"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822" w:type="pct"/>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水性防腐涂料</w:t>
                  </w:r>
                  <w:r>
                    <w:rPr>
                      <w:rFonts w:hint="eastAsia" w:cs="Times New Roman"/>
                      <w:lang w:val="en-US" w:eastAsia="zh-CN"/>
                    </w:rPr>
                    <w:t>刷涂车间</w:t>
                  </w:r>
                </w:p>
              </w:tc>
              <w:tc>
                <w:tcPr>
                  <w:tcW w:w="2868" w:type="pct"/>
                  <w:gridSpan w:val="3"/>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占地面积</w:t>
                  </w:r>
                  <w:r>
                    <w:rPr>
                      <w:rFonts w:hint="eastAsia" w:cs="Times New Roman"/>
                      <w:lang w:val="en-US" w:eastAsia="zh-CN"/>
                    </w:rPr>
                    <w:t>200</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w:t>
                  </w:r>
                  <w:r>
                    <w:rPr>
                      <w:rFonts w:hint="eastAsia" w:cs="Times New Roman"/>
                      <w:lang w:val="en-US" w:eastAsia="zh-CN"/>
                    </w:rPr>
                    <w:t>用于水性防腐涂料刷涂和刷涂产品阴干</w:t>
                  </w:r>
                  <w:r>
                    <w:rPr>
                      <w:rFonts w:hint="default" w:ascii="Times New Roman" w:hAnsi="Times New Roman" w:cs="Times New Roman"/>
                      <w:lang w:val="en-US" w:eastAsia="zh-CN"/>
                    </w:rPr>
                    <w:t>，采取密闭措施，集气罩安装于喷涂工位正上方</w:t>
                  </w:r>
                  <w:r>
                    <w:rPr>
                      <w:rFonts w:hint="eastAsia" w:cs="Times New Roman"/>
                      <w:lang w:val="en-US" w:eastAsia="zh-CN"/>
                    </w:rPr>
                    <w:t>。</w:t>
                  </w:r>
                </w:p>
              </w:tc>
              <w:tc>
                <w:tcPr>
                  <w:tcW w:w="962" w:type="pct"/>
                  <w:noWrap w:val="0"/>
                  <w:vAlign w:val="center"/>
                </w:tcPr>
                <w:p>
                  <w:pPr>
                    <w:pStyle w:val="27"/>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cs="Times New Roman"/>
                      <w:lang w:val="en-US" w:eastAsia="zh-CN"/>
                    </w:rPr>
                  </w:pPr>
                  <w:r>
                    <w:rPr>
                      <w:rFonts w:hint="eastAsia" w:cs="Times New Roman"/>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47" w:type="pct"/>
                  <w:vMerge w:val="restar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储运工程</w:t>
                  </w:r>
                </w:p>
              </w:tc>
              <w:tc>
                <w:tcPr>
                  <w:tcW w:w="822"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原料堆场</w:t>
                  </w:r>
                </w:p>
              </w:tc>
              <w:tc>
                <w:tcPr>
                  <w:tcW w:w="2868" w:type="pct"/>
                  <w:gridSpan w:val="3"/>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占地面积</w:t>
                  </w:r>
                  <w:r>
                    <w:rPr>
                      <w:rFonts w:hint="eastAsia" w:cs="Times New Roman"/>
                      <w:lang w:val="en-US" w:eastAsia="zh-CN"/>
                    </w:rPr>
                    <w:t>2128</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，存放石子、砂子等原料，</w:t>
                  </w:r>
                  <w:r>
                    <w:rPr>
                      <w:rFonts w:hint="eastAsia" w:cs="Times New Roman"/>
                      <w:lang w:val="en-US" w:eastAsia="zh-CN"/>
                    </w:rPr>
                    <w:t>为全封闭原料堆场</w:t>
                  </w:r>
                  <w:r>
                    <w:rPr>
                      <w:rFonts w:hint="default" w:ascii="Times New Roman" w:hAnsi="Times New Roman" w:cs="Times New Roman"/>
                      <w:lang w:val="en-US" w:eastAsia="zh-CN"/>
                    </w:rPr>
                    <w:t>。</w:t>
                  </w:r>
                </w:p>
              </w:tc>
              <w:tc>
                <w:tcPr>
                  <w:tcW w:w="962"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47"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822" w:type="pct"/>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水泥筒仓</w:t>
                  </w:r>
                </w:p>
              </w:tc>
              <w:tc>
                <w:tcPr>
                  <w:tcW w:w="2868" w:type="pct"/>
                  <w:gridSpan w:val="3"/>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占地面积</w:t>
                  </w:r>
                  <w:r>
                    <w:rPr>
                      <w:rFonts w:hint="eastAsia" w:ascii="Times New Roman" w:hAnsi="Times New Roman" w:cs="Times New Roman"/>
                      <w:lang w:val="en-US" w:eastAsia="zh-CN"/>
                    </w:rPr>
                    <w:t>4</w:t>
                  </w:r>
                  <w:r>
                    <w:rPr>
                      <w:rFonts w:hint="default" w:ascii="Times New Roman" w:hAnsi="Times New Roman" w:cs="Times New Roman"/>
                      <w:lang w:val="en-US" w:eastAsia="zh-CN"/>
                    </w:rPr>
                    <w:t>0m</w:t>
                  </w:r>
                  <w:r>
                    <w:rPr>
                      <w:rFonts w:hint="default" w:ascii="Times New Roman" w:hAnsi="Times New Roman" w:cs="Times New Roman"/>
                      <w:vertAlign w:val="superscript"/>
                      <w:lang w:val="en-US" w:eastAsia="zh-CN"/>
                    </w:rPr>
                    <w:t>2</w:t>
                  </w:r>
                  <w:r>
                    <w:rPr>
                      <w:rFonts w:hint="eastAsia" w:ascii="宋体" w:hAnsi="宋体" w:eastAsia="宋体" w:cs="宋体"/>
                      <w:vertAlign w:val="baseline"/>
                      <w:lang w:val="en-US" w:eastAsia="zh-CN"/>
                    </w:rPr>
                    <w:t>,</w:t>
                  </w:r>
                  <w:r>
                    <w:rPr>
                      <w:rFonts w:hint="default" w:ascii="Times New Roman" w:hAnsi="Times New Roman" w:cs="Times New Roman"/>
                      <w:lang w:val="en-US" w:eastAsia="zh-CN"/>
                    </w:rPr>
                    <w:t>设容量100吨的密闭筒仓</w:t>
                  </w:r>
                  <w:r>
                    <w:rPr>
                      <w:rFonts w:hint="eastAsia" w:ascii="Times New Roman" w:hAnsi="Times New Roman" w:cs="Times New Roman"/>
                      <w:lang w:val="en-US" w:eastAsia="zh-CN"/>
                    </w:rPr>
                    <w:t>2</w:t>
                  </w:r>
                  <w:r>
                    <w:rPr>
                      <w:rFonts w:hint="default" w:ascii="Times New Roman" w:hAnsi="Times New Roman" w:cs="Times New Roman"/>
                      <w:lang w:val="en-US" w:eastAsia="zh-CN"/>
                    </w:rPr>
                    <w:t>个。</w:t>
                  </w:r>
                </w:p>
              </w:tc>
              <w:tc>
                <w:tcPr>
                  <w:tcW w:w="962" w:type="pct"/>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2" w:hRule="atLeast"/>
              </w:trPr>
              <w:tc>
                <w:tcPr>
                  <w:tcW w:w="347"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822"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成品堆场</w:t>
                  </w:r>
                </w:p>
              </w:tc>
              <w:tc>
                <w:tcPr>
                  <w:tcW w:w="2868" w:type="pct"/>
                  <w:gridSpan w:val="3"/>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占地面积</w:t>
                  </w:r>
                  <w:r>
                    <w:rPr>
                      <w:rFonts w:hint="eastAsia" w:cs="Times New Roman"/>
                      <w:lang w:val="en-US" w:eastAsia="zh-CN"/>
                    </w:rPr>
                    <w:t>1235</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w:t>
                  </w:r>
                  <w:r>
                    <w:rPr>
                      <w:rFonts w:hint="default" w:ascii="Times New Roman" w:hAnsi="Times New Roman" w:cs="Times New Roman"/>
                      <w:highlight w:val="none"/>
                      <w:lang w:val="en-US" w:eastAsia="zh-CN"/>
                    </w:rPr>
                    <w:t>存放</w:t>
                  </w:r>
                  <w:r>
                    <w:rPr>
                      <w:rFonts w:hint="eastAsia" w:cs="Times New Roman"/>
                      <w:highlight w:val="none"/>
                      <w:lang w:val="en-US" w:eastAsia="zh-CN"/>
                    </w:rPr>
                    <w:t>成品</w:t>
                  </w:r>
                  <w:r>
                    <w:rPr>
                      <w:rFonts w:hint="default" w:ascii="Times New Roman" w:hAnsi="Times New Roman" w:cs="Times New Roman"/>
                      <w:highlight w:val="none"/>
                      <w:lang w:val="en-US" w:eastAsia="zh-CN"/>
                    </w:rPr>
                    <w:t>。</w:t>
                  </w:r>
                </w:p>
              </w:tc>
              <w:tc>
                <w:tcPr>
                  <w:tcW w:w="962"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47" w:type="pct"/>
                  <w:vMerge w:val="restar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辅助工程</w:t>
                  </w:r>
                </w:p>
              </w:tc>
              <w:tc>
                <w:tcPr>
                  <w:tcW w:w="822" w:type="pct"/>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eastAsia"/>
                      <w:highlight w:val="none"/>
                      <w:lang w:val="en-US" w:eastAsia="zh-CN"/>
                    </w:rPr>
                    <w:t>综合办公楼</w:t>
                  </w:r>
                </w:p>
              </w:tc>
              <w:tc>
                <w:tcPr>
                  <w:tcW w:w="2868" w:type="pct"/>
                  <w:gridSpan w:val="3"/>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vertAlign w:val="baseline"/>
                      <w:lang w:val="en-US" w:eastAsia="zh-CN"/>
                    </w:rPr>
                  </w:pPr>
                  <w:r>
                    <w:rPr>
                      <w:rFonts w:hint="eastAsia"/>
                      <w:highlight w:val="none"/>
                      <w:lang w:val="en-US" w:eastAsia="zh-CN"/>
                    </w:rPr>
                    <w:t>依托一期现有综合办公楼，</w:t>
                  </w:r>
                  <w:r>
                    <w:rPr>
                      <w:rFonts w:hint="default"/>
                      <w:highlight w:val="none"/>
                      <w:lang w:val="en-US" w:eastAsia="zh-CN"/>
                    </w:rPr>
                    <w:t>占地</w:t>
                  </w:r>
                  <w:r>
                    <w:rPr>
                      <w:rFonts w:hint="eastAsia"/>
                      <w:highlight w:val="none"/>
                      <w:lang w:val="en-US" w:eastAsia="zh-CN"/>
                    </w:rPr>
                    <w:t>935</w:t>
                  </w:r>
                  <w:r>
                    <w:rPr>
                      <w:rFonts w:hint="default"/>
                      <w:highlight w:val="none"/>
                      <w:lang w:val="en-US" w:eastAsia="zh-CN"/>
                    </w:rPr>
                    <w:t>m</w:t>
                  </w:r>
                  <w:r>
                    <w:rPr>
                      <w:rFonts w:hint="default"/>
                      <w:highlight w:val="none"/>
                      <w:vertAlign w:val="superscript"/>
                      <w:lang w:val="en-US" w:eastAsia="zh-CN"/>
                    </w:rPr>
                    <w:t>2</w:t>
                  </w:r>
                  <w:r>
                    <w:rPr>
                      <w:rFonts w:hint="eastAsia"/>
                      <w:highlight w:val="none"/>
                      <w:vertAlign w:val="baseline"/>
                      <w:lang w:val="en-US" w:eastAsia="zh-CN"/>
                    </w:rPr>
                    <w:t>，用于日常办公及食宿。</w:t>
                  </w:r>
                </w:p>
              </w:tc>
              <w:tc>
                <w:tcPr>
                  <w:tcW w:w="962" w:type="pct"/>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eastAsia"/>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2" w:hRule="atLeast"/>
              </w:trPr>
              <w:tc>
                <w:tcPr>
                  <w:tcW w:w="347"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822"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沉淀池</w:t>
                  </w:r>
                </w:p>
              </w:tc>
              <w:tc>
                <w:tcPr>
                  <w:tcW w:w="2868" w:type="pct"/>
                  <w:gridSpan w:val="3"/>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设1个沉淀池，位于水泥制品加工区域，</w:t>
                  </w:r>
                  <w:r>
                    <w:rPr>
                      <w:rFonts w:hint="default" w:ascii="Times New Roman" w:hAnsi="Times New Roman" w:cs="Times New Roman"/>
                      <w:highlight w:val="none"/>
                      <w:lang w:val="en-US" w:eastAsia="zh-CN"/>
                    </w:rPr>
                    <w:t>尺寸2m×2m×2m。</w:t>
                  </w:r>
                </w:p>
              </w:tc>
              <w:tc>
                <w:tcPr>
                  <w:tcW w:w="962"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7"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822"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危废贮存点</w:t>
                  </w:r>
                </w:p>
              </w:tc>
              <w:tc>
                <w:tcPr>
                  <w:tcW w:w="2868" w:type="pct"/>
                  <w:gridSpan w:val="3"/>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占地5m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，高2.5m，</w:t>
                  </w:r>
                  <w:r>
                    <w:rPr>
                      <w:rFonts w:hint="eastAsia" w:cs="Times New Roman"/>
                      <w:lang w:val="en-US" w:eastAsia="zh-CN"/>
                    </w:rPr>
                    <w:t>依托一期现有危废贮存点，</w:t>
                  </w:r>
                  <w:r>
                    <w:rPr>
                      <w:rFonts w:hint="default" w:ascii="Times New Roman" w:hAnsi="Times New Roman" w:cs="Times New Roman"/>
                      <w:lang w:val="en-US" w:eastAsia="zh-CN"/>
                    </w:rPr>
                    <w:t>用于厂区危险废物贮存。</w:t>
                  </w:r>
                </w:p>
              </w:tc>
              <w:tc>
                <w:tcPr>
                  <w:tcW w:w="962"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7" w:type="pct"/>
                  <w:vMerge w:val="restar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公用工程</w:t>
                  </w:r>
                </w:p>
              </w:tc>
              <w:tc>
                <w:tcPr>
                  <w:tcW w:w="822"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供水</w:t>
                  </w:r>
                </w:p>
              </w:tc>
              <w:tc>
                <w:tcPr>
                  <w:tcW w:w="2868" w:type="pct"/>
                  <w:gridSpan w:val="3"/>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cs="Times New Roman"/>
                      <w:lang w:val="en-US" w:eastAsia="zh-CN"/>
                    </w:rPr>
                    <w:t>园区供水管网</w:t>
                  </w:r>
                </w:p>
              </w:tc>
              <w:tc>
                <w:tcPr>
                  <w:tcW w:w="962"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47"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822"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供电</w:t>
                  </w:r>
                </w:p>
              </w:tc>
              <w:tc>
                <w:tcPr>
                  <w:tcW w:w="2868" w:type="pct"/>
                  <w:gridSpan w:val="3"/>
                  <w:noWrap w:val="0"/>
                  <w:vAlign w:val="center"/>
                </w:tcPr>
                <w:p>
                  <w:pPr>
                    <w:pStyle w:val="27"/>
                    <w:keepNext w:val="0"/>
                    <w:keepLines w:val="0"/>
                    <w:suppressLineNumbers w:val="0"/>
                    <w:bidi w:val="0"/>
                    <w:spacing w:before="0" w:beforeAutospacing="0" w:after="0" w:afterAutospacing="0"/>
                    <w:ind w:left="0" w:right="0"/>
                    <w:jc w:val="center"/>
                    <w:rPr>
                      <w:rFonts w:hint="default" w:ascii="Times New Roman" w:hAnsi="Times New Roman" w:cs="Times New Roman"/>
                      <w:lang w:eastAsia="zh-CN"/>
                    </w:rPr>
                  </w:pPr>
                  <w:r>
                    <w:rPr>
                      <w:rFonts w:hint="default" w:ascii="Times New Roman" w:hAnsi="Times New Roman" w:cs="Times New Roman"/>
                      <w:lang w:val="en-US" w:eastAsia="zh-CN"/>
                    </w:rPr>
                    <w:t>园区</w:t>
                  </w:r>
                  <w:r>
                    <w:rPr>
                      <w:rFonts w:hint="default" w:ascii="Times New Roman" w:hAnsi="Times New Roman" w:cs="Times New Roman"/>
                    </w:rPr>
                    <w:t>电网</w:t>
                  </w:r>
                </w:p>
              </w:tc>
              <w:tc>
                <w:tcPr>
                  <w:tcW w:w="962"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7"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822"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供暖</w:t>
                  </w:r>
                </w:p>
              </w:tc>
              <w:tc>
                <w:tcPr>
                  <w:tcW w:w="2868" w:type="pct"/>
                  <w:gridSpan w:val="3"/>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电采暖</w:t>
                  </w:r>
                </w:p>
              </w:tc>
              <w:tc>
                <w:tcPr>
                  <w:tcW w:w="962"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7"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822"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排水</w:t>
                  </w:r>
                </w:p>
              </w:tc>
              <w:tc>
                <w:tcPr>
                  <w:tcW w:w="3830" w:type="pct"/>
                  <w:gridSpan w:val="4"/>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生产废水回用，不外排</w:t>
                  </w:r>
                  <w:r>
                    <w:rPr>
                      <w:rFonts w:hint="default" w:ascii="Times New Roman" w:hAnsi="Times New Roman" w:cs="Times New Roman"/>
                      <w:lang w:val="en-US" w:eastAsia="zh-CN"/>
                    </w:rPr>
                    <w:t>；生活污水经化粪池预处理后</w:t>
                  </w:r>
                  <w:r>
                    <w:rPr>
                      <w:rFonts w:hint="eastAsia" w:cs="Times New Roman"/>
                      <w:lang w:val="en-US" w:eastAsia="zh-CN"/>
                    </w:rPr>
                    <w:t>排</w:t>
                  </w:r>
                  <w:r>
                    <w:rPr>
                      <w:rFonts w:hint="default" w:ascii="Times New Roman" w:hAnsi="Times New Roman" w:cs="Times New Roman"/>
                      <w:lang w:val="en-US" w:eastAsia="zh-CN"/>
                    </w:rPr>
                    <w:t>入铁门关市污水处理厂统一处理。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347" w:type="pct"/>
                  <w:vMerge w:val="restar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环保工程</w:t>
                  </w:r>
                </w:p>
              </w:tc>
              <w:tc>
                <w:tcPr>
                  <w:tcW w:w="822" w:type="pct"/>
                  <w:vMerge w:val="restar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废气治理</w:t>
                  </w:r>
                </w:p>
              </w:tc>
              <w:tc>
                <w:tcPr>
                  <w:tcW w:w="274" w:type="pct"/>
                  <w:vMerge w:val="restar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无组织</w:t>
                  </w:r>
                </w:p>
              </w:tc>
              <w:tc>
                <w:tcPr>
                  <w:tcW w:w="711" w:type="pct"/>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原料储存</w:t>
                  </w:r>
                </w:p>
              </w:tc>
              <w:tc>
                <w:tcPr>
                  <w:tcW w:w="2844" w:type="pct"/>
                  <w:gridSpan w:val="2"/>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砂子，石子储存在原料堆场，采用密闭堆场+洒水降尘措施。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347"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822"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274"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711" w:type="pct"/>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水泥筒仓粉尘</w:t>
                  </w:r>
                </w:p>
              </w:tc>
              <w:tc>
                <w:tcPr>
                  <w:tcW w:w="2844" w:type="pct"/>
                  <w:gridSpan w:val="2"/>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水泥入料仓时产生的粉尘经仓顶滤筒式过滤器处理后无组织排放。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347"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822"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274"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711" w:type="pct"/>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物料搅拌</w:t>
                  </w:r>
                </w:p>
              </w:tc>
              <w:tc>
                <w:tcPr>
                  <w:tcW w:w="2844" w:type="pct"/>
                  <w:gridSpan w:val="2"/>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全封闭</w:t>
                  </w:r>
                  <w:r>
                    <w:rPr>
                      <w:rFonts w:hint="eastAsia" w:cs="Times New Roman"/>
                      <w:highlight w:val="none"/>
                      <w:lang w:val="en-US" w:eastAsia="zh-CN"/>
                    </w:rPr>
                    <w:t>搅拌</w:t>
                  </w:r>
                  <w:r>
                    <w:rPr>
                      <w:rFonts w:hint="default" w:ascii="Times New Roman" w:hAnsi="Times New Roman" w:cs="Times New Roman"/>
                      <w:highlight w:val="none"/>
                      <w:lang w:val="en-US" w:eastAsia="zh-CN"/>
                    </w:rPr>
                    <w:t>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347"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822"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274"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711" w:type="pct"/>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焊接废气</w:t>
                  </w:r>
                </w:p>
              </w:tc>
              <w:tc>
                <w:tcPr>
                  <w:tcW w:w="2844" w:type="pct"/>
                  <w:gridSpan w:val="2"/>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移动式烟尘净化器+密闭厂房。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347"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822"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274" w:type="pct"/>
                  <w:vMerge w:val="restar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有组织</w:t>
                  </w:r>
                </w:p>
              </w:tc>
              <w:tc>
                <w:tcPr>
                  <w:tcW w:w="711" w:type="pct"/>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上料粉尘</w:t>
                  </w:r>
                </w:p>
              </w:tc>
              <w:tc>
                <w:tcPr>
                  <w:tcW w:w="2844" w:type="pct"/>
                  <w:gridSpan w:val="2"/>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在上料口处设置三面一顶围挡+软帘，并安装集气罩收集粉尘，粉尘经过布袋除尘器处理后，通过15m高排气筒（DA001）排放。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347"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822"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274"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711" w:type="pct"/>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水性防腐涂料有机废气</w:t>
                  </w:r>
                </w:p>
              </w:tc>
              <w:tc>
                <w:tcPr>
                  <w:tcW w:w="2844" w:type="pct"/>
                  <w:gridSpan w:val="2"/>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eastAsia" w:cs="Times New Roman"/>
                      <w:highlight w:val="none"/>
                      <w:lang w:val="en-US" w:eastAsia="zh-CN"/>
                    </w:rPr>
                    <w:t>采取密闭厂房，并安装集气罩收集VOC</w:t>
                  </w:r>
                  <w:r>
                    <w:rPr>
                      <w:rFonts w:hint="eastAsia" w:cs="Times New Roman"/>
                      <w:highlight w:val="none"/>
                      <w:vertAlign w:val="subscript"/>
                      <w:lang w:val="en-US" w:eastAsia="zh-CN"/>
                    </w:rPr>
                    <w:t>S</w:t>
                  </w:r>
                  <w:r>
                    <w:rPr>
                      <w:rFonts w:hint="eastAsia" w:cs="Times New Roman"/>
                      <w:highlight w:val="none"/>
                      <w:vertAlign w:val="baseline"/>
                      <w:lang w:val="en-US" w:eastAsia="zh-CN"/>
                    </w:rPr>
                    <w:t>废气，VOC</w:t>
                  </w:r>
                  <w:r>
                    <w:rPr>
                      <w:rFonts w:hint="eastAsia" w:cs="Times New Roman"/>
                      <w:highlight w:val="none"/>
                      <w:vertAlign w:val="subscript"/>
                      <w:lang w:val="en-US" w:eastAsia="zh-CN"/>
                    </w:rPr>
                    <w:t>S</w:t>
                  </w:r>
                  <w:r>
                    <w:rPr>
                      <w:rFonts w:hint="eastAsia" w:cs="Times New Roman"/>
                      <w:highlight w:val="none"/>
                      <w:vertAlign w:val="baseline"/>
                      <w:lang w:val="en-US" w:eastAsia="zh-CN"/>
                    </w:rPr>
                    <w:t>废气经</w:t>
                  </w:r>
                  <w:r>
                    <w:rPr>
                      <w:rFonts w:hint="default" w:ascii="Times New Roman" w:hAnsi="Times New Roman" w:cs="Times New Roman"/>
                      <w:highlight w:val="none"/>
                      <w:lang w:val="en-US" w:eastAsia="zh-CN"/>
                    </w:rPr>
                    <w:t>二级活性炭吸附装置处理后，通过15m高排气筒（DA001）排放。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47"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822" w:type="pct"/>
                  <w:vMerge w:val="restar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废水治理</w:t>
                  </w:r>
                </w:p>
              </w:tc>
              <w:tc>
                <w:tcPr>
                  <w:tcW w:w="985" w:type="pct"/>
                  <w:gridSpan w:val="2"/>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生产废水</w:t>
                  </w:r>
                </w:p>
              </w:tc>
              <w:tc>
                <w:tcPr>
                  <w:tcW w:w="2844" w:type="pct"/>
                  <w:gridSpan w:val="2"/>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eastAsia="zh-CN"/>
                    </w:rPr>
                    <w:t>搅拌用水部分进入产品，或自然蒸发，不外排；搅拌设备清洗废水</w:t>
                  </w:r>
                  <w:r>
                    <w:rPr>
                      <w:rFonts w:hint="default" w:ascii="Times New Roman" w:hAnsi="Times New Roman" w:cs="Times New Roman"/>
                      <w:highlight w:val="none"/>
                      <w:lang w:val="en-US" w:eastAsia="zh-CN"/>
                    </w:rPr>
                    <w:t>和模具清洗用水排入沉淀池沉淀后，用于成品养护，不外排；脱模剂配置用水全部自然蒸发，不外排；水性防腐涂料配置用水全部自然蒸发，不外排；洒水降尘用水，自然蒸发，不外排</w:t>
                  </w:r>
                  <w:r>
                    <w:rPr>
                      <w:rFonts w:hint="eastAsia" w:cs="Times New Roman"/>
                      <w:highlight w:val="none"/>
                      <w:lang w:val="en-US" w:eastAsia="zh-CN"/>
                    </w:rPr>
                    <w:t>；成品养护用水，自然蒸发，不外排</w:t>
                  </w:r>
                  <w:r>
                    <w:rPr>
                      <w:rFonts w:hint="default" w:ascii="Times New Roman" w:hAnsi="Times New Roman" w:cs="Times New Roman"/>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47"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822"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985" w:type="pct"/>
                  <w:gridSpan w:val="2"/>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生活污水</w:t>
                  </w:r>
                </w:p>
              </w:tc>
              <w:tc>
                <w:tcPr>
                  <w:tcW w:w="2844" w:type="pct"/>
                  <w:gridSpan w:val="2"/>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生活污水经化粪池预处理后</w:t>
                  </w:r>
                  <w:r>
                    <w:rPr>
                      <w:rFonts w:hint="eastAsia" w:cs="Times New Roman"/>
                      <w:lang w:val="en-US" w:eastAsia="zh-CN"/>
                    </w:rPr>
                    <w:t>排</w:t>
                  </w:r>
                  <w:r>
                    <w:rPr>
                      <w:rFonts w:hint="default" w:ascii="Times New Roman" w:hAnsi="Times New Roman" w:cs="Times New Roman"/>
                      <w:lang w:val="en-US" w:eastAsia="zh-CN"/>
                    </w:rPr>
                    <w:t>入铁门关市污水处理厂统一处理。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47"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822"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噪声治理</w:t>
                  </w:r>
                </w:p>
              </w:tc>
              <w:tc>
                <w:tcPr>
                  <w:tcW w:w="3830" w:type="pct"/>
                  <w:gridSpan w:val="4"/>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cs="Times New Roman"/>
                    </w:rPr>
                    <w:t>基础减振、隔声罩、绿化</w:t>
                  </w:r>
                  <w:r>
                    <w:rPr>
                      <w:rFonts w:hint="default"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347"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822"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固体废物处理</w:t>
                  </w:r>
                </w:p>
              </w:tc>
              <w:tc>
                <w:tcPr>
                  <w:tcW w:w="3830" w:type="pct"/>
                  <w:gridSpan w:val="4"/>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cs="Times New Roman"/>
                    </w:rPr>
                    <w:t>水泥筒仓滤筒式过滤器拦截的</w:t>
                  </w:r>
                  <w:r>
                    <w:rPr>
                      <w:rFonts w:hint="default" w:ascii="Times New Roman" w:hAnsi="Times New Roman" w:cs="Times New Roman"/>
                      <w:lang w:val="en-US" w:eastAsia="zh-CN"/>
                    </w:rPr>
                    <w:t>粉</w:t>
                  </w:r>
                  <w:r>
                    <w:rPr>
                      <w:rFonts w:hint="default" w:ascii="Times New Roman" w:hAnsi="Times New Roman" w:cs="Times New Roman"/>
                    </w:rPr>
                    <w:t>尘、</w:t>
                  </w:r>
                  <w:r>
                    <w:rPr>
                      <w:rFonts w:hint="eastAsia" w:cs="Times New Roman"/>
                      <w:lang w:val="en-US" w:eastAsia="zh-CN"/>
                    </w:rPr>
                    <w:t>搅拌器</w:t>
                  </w:r>
                  <w:r>
                    <w:rPr>
                      <w:rFonts w:hint="default" w:ascii="Times New Roman" w:hAnsi="Times New Roman" w:cs="Times New Roman"/>
                    </w:rPr>
                    <w:t>设置除尘器收集的粉尘、混凝土残渣</w:t>
                  </w:r>
                  <w:r>
                    <w:rPr>
                      <w:rFonts w:hint="default" w:ascii="Times New Roman" w:hAnsi="Times New Roman" w:cs="Times New Roman"/>
                      <w:lang w:eastAsia="zh-CN"/>
                    </w:rPr>
                    <w:t>、</w:t>
                  </w:r>
                  <w:r>
                    <w:rPr>
                      <w:rFonts w:hint="default" w:ascii="Times New Roman" w:hAnsi="Times New Roman" w:cs="Times New Roman"/>
                    </w:rPr>
                    <w:t>沉淀池底泥回用于生产；</w:t>
                  </w:r>
                  <w:r>
                    <w:rPr>
                      <w:rFonts w:hint="default" w:ascii="Times New Roman" w:hAnsi="Times New Roman" w:cs="Times New Roman"/>
                      <w:lang w:val="en-US" w:eastAsia="zh-CN"/>
                    </w:rPr>
                    <w:t>废钢筋和焊渣外售综合处理；</w:t>
                  </w:r>
                  <w:r>
                    <w:rPr>
                      <w:rFonts w:hint="default" w:ascii="Times New Roman" w:hAnsi="Times New Roman" w:cs="Times New Roman"/>
                    </w:rPr>
                    <w:t>废布袋</w:t>
                  </w:r>
                  <w:r>
                    <w:rPr>
                      <w:rFonts w:hint="eastAsia" w:cs="Times New Roman"/>
                      <w:lang w:eastAsia="zh-CN"/>
                    </w:rPr>
                    <w:t>、</w:t>
                  </w:r>
                  <w:r>
                    <w:rPr>
                      <w:rFonts w:hint="eastAsia" w:cs="Times New Roman"/>
                      <w:lang w:val="en-US" w:eastAsia="zh-CN"/>
                    </w:rPr>
                    <w:t>废滤芯</w:t>
                  </w:r>
                  <w:r>
                    <w:rPr>
                      <w:rFonts w:hint="eastAsia" w:cs="Times New Roman"/>
                      <w:lang w:eastAsia="zh-CN"/>
                    </w:rPr>
                    <w:t>、</w:t>
                  </w:r>
                  <w:r>
                    <w:rPr>
                      <w:rFonts w:hint="eastAsia" w:cs="Times New Roman"/>
                      <w:lang w:val="en-US" w:eastAsia="zh-CN"/>
                    </w:rPr>
                    <w:t>水性防腐涂料包装桶</w:t>
                  </w:r>
                  <w:r>
                    <w:rPr>
                      <w:rFonts w:hint="default" w:ascii="Times New Roman" w:hAnsi="Times New Roman" w:cs="Times New Roman"/>
                    </w:rPr>
                    <w:t>交由厂家回收处理</w:t>
                  </w:r>
                  <w:r>
                    <w:rPr>
                      <w:rFonts w:hint="eastAsia" w:cs="Times New Roman"/>
                      <w:lang w:val="en-US" w:eastAsia="zh-CN"/>
                    </w:rPr>
                    <w:t>；水性漆漆渣交由一般工业固体废物填埋场处置；</w:t>
                  </w:r>
                  <w:r>
                    <w:rPr>
                      <w:rFonts w:hint="default" w:ascii="Times New Roman" w:hAnsi="Times New Roman" w:cs="Times New Roman"/>
                    </w:rPr>
                    <w:t>生活垃圾分类收集后委托环卫部门及时清运，</w:t>
                  </w:r>
                  <w:r>
                    <w:rPr>
                      <w:rFonts w:hint="eastAsia" w:cs="Times New Roman"/>
                      <w:lang w:val="en-US" w:eastAsia="zh-CN"/>
                    </w:rPr>
                    <w:t>废活性炭、</w:t>
                  </w:r>
                  <w:r>
                    <w:rPr>
                      <w:rFonts w:hint="default" w:ascii="Times New Roman" w:hAnsi="Times New Roman" w:cs="Times New Roman"/>
                      <w:lang w:val="en-US" w:eastAsia="zh-CN"/>
                    </w:rPr>
                    <w:t>废润滑油、废润滑油桶、废液压油和废液压油桶</w:t>
                  </w:r>
                  <w:r>
                    <w:rPr>
                      <w:rFonts w:hint="default" w:ascii="Times New Roman" w:hAnsi="Times New Roman" w:cs="Times New Roman"/>
                    </w:rPr>
                    <w:t>储存于危废贮存点后交由有资质单位处理</w:t>
                  </w:r>
                  <w:r>
                    <w:rPr>
                      <w:rFonts w:hint="default"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347" w:type="pct"/>
                  <w:vMerge w:val="continue"/>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822"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环境风险防范工程</w:t>
                  </w:r>
                </w:p>
              </w:tc>
              <w:tc>
                <w:tcPr>
                  <w:tcW w:w="3830" w:type="pct"/>
                  <w:gridSpan w:val="4"/>
                  <w:noWrap w:val="0"/>
                  <w:vAlign w:val="center"/>
                </w:tcPr>
                <w:p>
                  <w:pPr>
                    <w:pStyle w:val="27"/>
                    <w:keepNext w:val="0"/>
                    <w:keepLines w:val="0"/>
                    <w:suppressLineNumbers w:val="0"/>
                    <w:bidi w:val="0"/>
                    <w:spacing w:before="0"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①简单防渗：钢筋加工车间、水泥制品加工区域、原料堆场、成品堆场</w:t>
                  </w:r>
                  <w:r>
                    <w:rPr>
                      <w:rFonts w:hint="eastAsia" w:cs="Times New Roman"/>
                      <w:lang w:val="en-US" w:eastAsia="zh-CN"/>
                    </w:rPr>
                    <w:t>、水性防腐涂料刷涂车间</w:t>
                  </w:r>
                  <w:r>
                    <w:rPr>
                      <w:rFonts w:hint="default" w:ascii="Times New Roman" w:hAnsi="Times New Roman" w:cs="Times New Roman"/>
                      <w:lang w:val="en-US" w:eastAsia="zh-CN"/>
                    </w:rPr>
                    <w:t>进行一般地面硬化；</w:t>
                  </w:r>
                </w:p>
                <w:p>
                  <w:pPr>
                    <w:pStyle w:val="27"/>
                    <w:keepNext w:val="0"/>
                    <w:keepLines w:val="0"/>
                    <w:suppressLineNumbers w:val="0"/>
                    <w:bidi w:val="0"/>
                    <w:spacing w:before="0" w:beforeAutospacing="0" w:after="0" w:afterAutospacing="0"/>
                    <w:ind w:left="0" w:right="0"/>
                    <w:jc w:val="left"/>
                    <w:rPr>
                      <w:rFonts w:hint="default" w:ascii="Times New Roman" w:hAnsi="Times New Roman" w:cs="Times New Roman"/>
                    </w:rPr>
                  </w:pPr>
                  <w:r>
                    <w:rPr>
                      <w:rFonts w:hint="default" w:ascii="Times New Roman" w:hAnsi="Times New Roman" w:cs="Times New Roman"/>
                      <w:lang w:val="en-US" w:eastAsia="zh-CN"/>
                    </w:rPr>
                    <w:t>②一般防渗：沉淀池，以混凝土浇筑底板，并设有防渗层，等效黏土防渗层Mb≥1.5m，渗透系数≤10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cm/s。</w:t>
                  </w:r>
                </w:p>
              </w:tc>
            </w:tr>
          </w:tbl>
          <w:p>
            <w:pPr>
              <w:pStyle w:val="4"/>
              <w:keepNext w:val="0"/>
              <w:keepLines w:val="0"/>
              <w:suppressLineNumbers w:val="0"/>
              <w:bidi w:val="0"/>
              <w:ind w:left="0" w:right="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.2</w:t>
            </w:r>
            <w:r>
              <w:rPr>
                <w:rFonts w:hint="default" w:ascii="Times New Roman" w:hAnsi="Times New Roman" w:cs="Times New Roman"/>
                <w:lang w:val="en-US" w:eastAsia="zh-CN"/>
              </w:rPr>
              <w:t xml:space="preserve"> </w:t>
            </w:r>
            <w:r>
              <w:rPr>
                <w:rFonts w:hint="default" w:ascii="Times New Roman" w:hAnsi="Times New Roman" w:cs="Times New Roman"/>
              </w:rPr>
              <w:t>主要仪器、设备</w:t>
            </w:r>
          </w:p>
          <w:p>
            <w:pPr>
              <w:keepNext w:val="0"/>
              <w:keepLines w:val="0"/>
              <w:suppressLineNumbers w:val="0"/>
              <w:bidi w:val="0"/>
              <w:spacing w:before="0" w:beforeAutospacing="0" w:after="0" w:afterAutospacing="0"/>
              <w:ind w:left="0" w:right="0"/>
              <w:rPr>
                <w:rFonts w:hint="default" w:ascii="Times New Roman" w:hAnsi="Times New Roman" w:eastAsia="黑体" w:cs="Times New Roman"/>
                <w:color w:val="000000"/>
                <w:highlight w:val="none"/>
              </w:rPr>
            </w:pPr>
            <w:r>
              <w:rPr>
                <w:rFonts w:hint="default" w:ascii="Times New Roman" w:hAnsi="Times New Roman" w:cs="Times New Roman"/>
              </w:rPr>
              <w:t>本项目主要仪器、设备见表</w:t>
            </w:r>
            <w:r>
              <w:rPr>
                <w:rFonts w:hint="default" w:ascii="Times New Roman" w:hAnsi="Times New Roman" w:cs="Times New Roman"/>
                <w:lang w:val="en-US" w:eastAsia="zh-CN"/>
              </w:rPr>
              <w:t>2</w:t>
            </w:r>
            <w:r>
              <w:rPr>
                <w:rFonts w:hint="default" w:ascii="Times New Roman" w:hAnsi="Times New Roman" w:cs="Times New Roman"/>
              </w:rPr>
              <w:t>-</w:t>
            </w:r>
            <w:r>
              <w:rPr>
                <w:rFonts w:hint="eastAsia" w:cs="Times New Roman"/>
                <w:lang w:val="en-US" w:eastAsia="zh-CN"/>
              </w:rPr>
              <w:t>2</w:t>
            </w:r>
            <w:r>
              <w:rPr>
                <w:rFonts w:hint="default" w:ascii="Times New Roman" w:hAnsi="Times New Roman" w:cs="Times New Roman"/>
              </w:rPr>
              <w:t>。</w:t>
            </w:r>
          </w:p>
          <w:p>
            <w:pPr>
              <w:pStyle w:val="5"/>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表</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w:t>
            </w:r>
            <w:r>
              <w:rPr>
                <w:rFonts w:hint="eastAsia" w:cs="Times New Roman"/>
                <w:highlight w:val="none"/>
                <w:lang w:val="en-US" w:eastAsia="zh-CN"/>
              </w:rPr>
              <w:t>2</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项目主要生产设备一览表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4376"/>
              <w:gridCol w:w="1135"/>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jc w:val="center"/>
              </w:trPr>
              <w:tc>
                <w:tcPr>
                  <w:tcW w:w="773"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序号</w:t>
                  </w:r>
                </w:p>
              </w:tc>
              <w:tc>
                <w:tcPr>
                  <w:tcW w:w="2819"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设备名称</w:t>
                  </w:r>
                </w:p>
              </w:tc>
              <w:tc>
                <w:tcPr>
                  <w:tcW w:w="731"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单位</w:t>
                  </w:r>
                </w:p>
              </w:tc>
              <w:tc>
                <w:tcPr>
                  <w:tcW w:w="675"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3"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1</w:t>
                  </w:r>
                </w:p>
              </w:tc>
              <w:tc>
                <w:tcPr>
                  <w:tcW w:w="2819"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铲车</w:t>
                  </w:r>
                </w:p>
              </w:tc>
              <w:tc>
                <w:tcPr>
                  <w:tcW w:w="731"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台</w:t>
                  </w:r>
                </w:p>
              </w:tc>
              <w:tc>
                <w:tcPr>
                  <w:tcW w:w="675"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773"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2</w:t>
                  </w:r>
                </w:p>
              </w:tc>
              <w:tc>
                <w:tcPr>
                  <w:tcW w:w="2819"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配料机</w:t>
                  </w:r>
                </w:p>
              </w:tc>
              <w:tc>
                <w:tcPr>
                  <w:tcW w:w="731"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台</w:t>
                  </w:r>
                </w:p>
              </w:tc>
              <w:tc>
                <w:tcPr>
                  <w:tcW w:w="675"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73"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3</w:t>
                  </w:r>
                </w:p>
              </w:tc>
              <w:tc>
                <w:tcPr>
                  <w:tcW w:w="2819"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lang w:val="en-US" w:eastAsia="zh-CN"/>
                    </w:rPr>
                    <w:t>搅拌器</w:t>
                  </w:r>
                </w:p>
              </w:tc>
              <w:tc>
                <w:tcPr>
                  <w:tcW w:w="731"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台</w:t>
                  </w:r>
                </w:p>
              </w:tc>
              <w:tc>
                <w:tcPr>
                  <w:tcW w:w="675"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73"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4</w:t>
                  </w:r>
                </w:p>
              </w:tc>
              <w:tc>
                <w:tcPr>
                  <w:tcW w:w="2819"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叉车</w:t>
                  </w:r>
                </w:p>
              </w:tc>
              <w:tc>
                <w:tcPr>
                  <w:tcW w:w="731"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lang w:val="en-US" w:eastAsia="zh-CN"/>
                    </w:rPr>
                    <w:t>台</w:t>
                  </w:r>
                </w:p>
              </w:tc>
              <w:tc>
                <w:tcPr>
                  <w:tcW w:w="675"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73"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eastAsia="宋体" w:cs="Times New Roman"/>
                      <w:highlight w:val="none"/>
                      <w:lang w:eastAsia="zh-CN"/>
                    </w:rPr>
                  </w:pPr>
                  <w:r>
                    <w:rPr>
                      <w:rFonts w:hint="default" w:ascii="Times New Roman" w:hAnsi="Times New Roman" w:cs="Times New Roman"/>
                      <w:highlight w:val="none"/>
                      <w:lang w:val="en-US" w:eastAsia="zh-CN"/>
                    </w:rPr>
                    <w:t>5</w:t>
                  </w:r>
                </w:p>
              </w:tc>
              <w:tc>
                <w:tcPr>
                  <w:tcW w:w="2819"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模具</w:t>
                  </w:r>
                </w:p>
              </w:tc>
              <w:tc>
                <w:tcPr>
                  <w:tcW w:w="731"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套</w:t>
                  </w:r>
                </w:p>
              </w:tc>
              <w:tc>
                <w:tcPr>
                  <w:tcW w:w="675"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73" w:type="pct"/>
                  <w:noWrap w:val="0"/>
                  <w:vAlign w:val="center"/>
                </w:tcPr>
                <w:p>
                  <w:pPr>
                    <w:pStyle w:val="27"/>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rPr>
                  </w:pPr>
                  <w:r>
                    <w:rPr>
                      <w:rFonts w:hint="default" w:ascii="Times New Roman" w:hAnsi="Times New Roman" w:cs="Times New Roman"/>
                      <w:highlight w:val="none"/>
                    </w:rPr>
                    <w:t>6</w:t>
                  </w:r>
                </w:p>
              </w:tc>
              <w:tc>
                <w:tcPr>
                  <w:tcW w:w="2819"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振动台</w:t>
                  </w:r>
                </w:p>
              </w:tc>
              <w:tc>
                <w:tcPr>
                  <w:tcW w:w="731"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个</w:t>
                  </w:r>
                </w:p>
              </w:tc>
              <w:tc>
                <w:tcPr>
                  <w:tcW w:w="675"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73" w:type="pct"/>
                  <w:noWrap w:val="0"/>
                  <w:vAlign w:val="center"/>
                </w:tcPr>
                <w:p>
                  <w:pPr>
                    <w:pStyle w:val="27"/>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rPr>
                  </w:pPr>
                  <w:r>
                    <w:rPr>
                      <w:rFonts w:hint="default" w:ascii="Times New Roman" w:hAnsi="Times New Roman" w:cs="Times New Roman"/>
                      <w:highlight w:val="none"/>
                    </w:rPr>
                    <w:t>7</w:t>
                  </w:r>
                </w:p>
              </w:tc>
              <w:tc>
                <w:tcPr>
                  <w:tcW w:w="2819"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水泥筒仓</w:t>
                  </w:r>
                </w:p>
              </w:tc>
              <w:tc>
                <w:tcPr>
                  <w:tcW w:w="731"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个</w:t>
                  </w:r>
                </w:p>
              </w:tc>
              <w:tc>
                <w:tcPr>
                  <w:tcW w:w="675"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73" w:type="pct"/>
                  <w:noWrap w:val="0"/>
                  <w:vAlign w:val="center"/>
                </w:tcPr>
                <w:p>
                  <w:pPr>
                    <w:pStyle w:val="27"/>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highlight w:val="none"/>
                      <w:lang w:eastAsia="zh-CN"/>
                    </w:rPr>
                  </w:pPr>
                  <w:r>
                    <w:rPr>
                      <w:rFonts w:hint="default" w:ascii="Times New Roman" w:hAnsi="Times New Roman" w:cs="Times New Roman"/>
                      <w:highlight w:val="none"/>
                      <w:lang w:val="en-US" w:eastAsia="zh-CN"/>
                    </w:rPr>
                    <w:t>8</w:t>
                  </w:r>
                </w:p>
              </w:tc>
              <w:tc>
                <w:tcPr>
                  <w:tcW w:w="2819"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龙门吊</w:t>
                  </w:r>
                </w:p>
              </w:tc>
              <w:tc>
                <w:tcPr>
                  <w:tcW w:w="731"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台</w:t>
                  </w:r>
                </w:p>
              </w:tc>
              <w:tc>
                <w:tcPr>
                  <w:tcW w:w="675"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lang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73" w:type="pct"/>
                  <w:noWrap w:val="0"/>
                  <w:vAlign w:val="center"/>
                </w:tcPr>
                <w:p>
                  <w:pPr>
                    <w:pStyle w:val="27"/>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9</w:t>
                  </w:r>
                </w:p>
              </w:tc>
              <w:tc>
                <w:tcPr>
                  <w:tcW w:w="2819"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除尘引风机</w:t>
                  </w:r>
                </w:p>
              </w:tc>
              <w:tc>
                <w:tcPr>
                  <w:tcW w:w="731"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台</w:t>
                  </w:r>
                </w:p>
              </w:tc>
              <w:tc>
                <w:tcPr>
                  <w:tcW w:w="675"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73" w:type="pct"/>
                  <w:noWrap w:val="0"/>
                  <w:vAlign w:val="center"/>
                </w:tcPr>
                <w:p>
                  <w:pPr>
                    <w:pStyle w:val="27"/>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w:t>
                  </w:r>
                  <w:r>
                    <w:rPr>
                      <w:rFonts w:hint="eastAsia" w:cs="Times New Roman"/>
                      <w:highlight w:val="none"/>
                      <w:lang w:val="en-US" w:eastAsia="zh-CN"/>
                    </w:rPr>
                    <w:t>0</w:t>
                  </w:r>
                </w:p>
              </w:tc>
              <w:tc>
                <w:tcPr>
                  <w:tcW w:w="2819"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镦头机</w:t>
                  </w:r>
                </w:p>
              </w:tc>
              <w:tc>
                <w:tcPr>
                  <w:tcW w:w="731" w:type="pct"/>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台</w:t>
                  </w:r>
                </w:p>
              </w:tc>
              <w:tc>
                <w:tcPr>
                  <w:tcW w:w="675"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73" w:type="pct"/>
                  <w:noWrap w:val="0"/>
                  <w:vAlign w:val="center"/>
                </w:tcPr>
                <w:p>
                  <w:pPr>
                    <w:pStyle w:val="27"/>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w:t>
                  </w:r>
                  <w:r>
                    <w:rPr>
                      <w:rFonts w:hint="eastAsia" w:cs="Times New Roman"/>
                      <w:highlight w:val="none"/>
                      <w:lang w:val="en-US" w:eastAsia="zh-CN"/>
                    </w:rPr>
                    <w:t>1</w:t>
                  </w:r>
                </w:p>
              </w:tc>
              <w:tc>
                <w:tcPr>
                  <w:tcW w:w="2819"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滚焊机</w:t>
                  </w:r>
                </w:p>
              </w:tc>
              <w:tc>
                <w:tcPr>
                  <w:tcW w:w="731" w:type="pct"/>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台</w:t>
                  </w:r>
                </w:p>
              </w:tc>
              <w:tc>
                <w:tcPr>
                  <w:tcW w:w="675"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73" w:type="pct"/>
                  <w:noWrap w:val="0"/>
                  <w:vAlign w:val="center"/>
                </w:tcPr>
                <w:p>
                  <w:pPr>
                    <w:pStyle w:val="27"/>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w:t>
                  </w:r>
                  <w:r>
                    <w:rPr>
                      <w:rFonts w:hint="eastAsia" w:cs="Times New Roman"/>
                      <w:highlight w:val="none"/>
                      <w:lang w:val="en-US" w:eastAsia="zh-CN"/>
                    </w:rPr>
                    <w:t>2</w:t>
                  </w:r>
                </w:p>
              </w:tc>
              <w:tc>
                <w:tcPr>
                  <w:tcW w:w="2819"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空气压缩机</w:t>
                  </w:r>
                </w:p>
              </w:tc>
              <w:tc>
                <w:tcPr>
                  <w:tcW w:w="731" w:type="pct"/>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台</w:t>
                  </w:r>
                </w:p>
              </w:tc>
              <w:tc>
                <w:tcPr>
                  <w:tcW w:w="675"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73" w:type="pct"/>
                  <w:noWrap w:val="0"/>
                  <w:vAlign w:val="center"/>
                </w:tcPr>
                <w:p>
                  <w:pPr>
                    <w:pStyle w:val="27"/>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w:t>
                  </w:r>
                  <w:r>
                    <w:rPr>
                      <w:rFonts w:hint="eastAsia" w:cs="Times New Roman"/>
                      <w:highlight w:val="none"/>
                      <w:lang w:val="en-US" w:eastAsia="zh-CN"/>
                    </w:rPr>
                    <w:t>3</w:t>
                  </w:r>
                </w:p>
              </w:tc>
              <w:tc>
                <w:tcPr>
                  <w:tcW w:w="2819"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钢筋切断机</w:t>
                  </w:r>
                </w:p>
              </w:tc>
              <w:tc>
                <w:tcPr>
                  <w:tcW w:w="731" w:type="pct"/>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台</w:t>
                  </w:r>
                </w:p>
              </w:tc>
              <w:tc>
                <w:tcPr>
                  <w:tcW w:w="675"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73" w:type="pct"/>
                  <w:noWrap w:val="0"/>
                  <w:vAlign w:val="center"/>
                </w:tcPr>
                <w:p>
                  <w:pPr>
                    <w:pStyle w:val="27"/>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eastAsia" w:cs="Times New Roman"/>
                      <w:highlight w:val="none"/>
                      <w:lang w:val="en-US" w:eastAsia="zh-CN"/>
                    </w:rPr>
                    <w:t>14</w:t>
                  </w:r>
                </w:p>
              </w:tc>
              <w:tc>
                <w:tcPr>
                  <w:tcW w:w="2819"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手动电焊机</w:t>
                  </w:r>
                </w:p>
              </w:tc>
              <w:tc>
                <w:tcPr>
                  <w:tcW w:w="731" w:type="pct"/>
                  <w:noWrap w:val="0"/>
                  <w:vAlign w:val="center"/>
                </w:tcPr>
                <w:p>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eastAsia" w:cs="Times New Roman"/>
                      <w:highlight w:val="none"/>
                      <w:lang w:val="en-US" w:eastAsia="zh-CN"/>
                    </w:rPr>
                    <w:t>台</w:t>
                  </w:r>
                </w:p>
              </w:tc>
              <w:tc>
                <w:tcPr>
                  <w:tcW w:w="675" w:type="pct"/>
                  <w:noWrap w:val="0"/>
                  <w:vAlign w:val="center"/>
                </w:tcPr>
                <w:p>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4</w:t>
                  </w:r>
                </w:p>
              </w:tc>
            </w:tr>
          </w:tbl>
          <w:p>
            <w:pPr>
              <w:pStyle w:val="4"/>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3</w:t>
            </w:r>
            <w:r>
              <w:rPr>
                <w:rFonts w:hint="default" w:ascii="Times New Roman" w:hAnsi="Times New Roman" w:cs="Times New Roman"/>
              </w:rPr>
              <w:t>.3 主要原辅材料</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项目生产所需的原材料主要为水泥、石子、</w:t>
            </w:r>
            <w:r>
              <w:rPr>
                <w:rFonts w:hint="default" w:ascii="Times New Roman" w:hAnsi="Times New Roman" w:cs="Times New Roman"/>
                <w:lang w:eastAsia="zh-CN"/>
              </w:rPr>
              <w:t>砂子</w:t>
            </w:r>
            <w:r>
              <w:rPr>
                <w:rFonts w:hint="eastAsia" w:cs="Times New Roman"/>
                <w:lang w:eastAsia="zh-CN"/>
              </w:rPr>
              <w:t>、</w:t>
            </w:r>
            <w:r>
              <w:rPr>
                <w:rFonts w:hint="eastAsia" w:cs="Times New Roman"/>
                <w:lang w:val="en-US" w:eastAsia="zh-CN"/>
              </w:rPr>
              <w:t>水性防腐涂料</w:t>
            </w:r>
            <w:r>
              <w:rPr>
                <w:rFonts w:hint="default" w:ascii="Times New Roman" w:hAnsi="Times New Roman" w:cs="Times New Roman"/>
              </w:rPr>
              <w:t>等。</w:t>
            </w:r>
            <w:r>
              <w:rPr>
                <w:rFonts w:hint="default" w:ascii="Times New Roman" w:hAnsi="Times New Roman" w:cs="Times New Roman"/>
                <w:lang w:val="zh-CN"/>
              </w:rPr>
              <w:t>所</w:t>
            </w:r>
            <w:r>
              <w:rPr>
                <w:rFonts w:hint="default" w:ascii="Times New Roman" w:hAnsi="Times New Roman" w:cs="Times New Roman"/>
              </w:rPr>
              <w:t>需材料由项目当地提供，产品质量有保证；</w:t>
            </w:r>
            <w:r>
              <w:rPr>
                <w:rFonts w:hint="default" w:ascii="Times New Roman" w:hAnsi="Times New Roman" w:cs="Times New Roman"/>
                <w:lang w:val="en-US" w:eastAsia="zh-CN"/>
              </w:rPr>
              <w:t>项目用水采用园区供水管网；用电接入园区供电网络，满足项目全流程运营的电力供给</w:t>
            </w:r>
            <w:r>
              <w:rPr>
                <w:rFonts w:hint="default" w:ascii="Times New Roman" w:hAnsi="Times New Roman" w:cs="Times New Roman"/>
              </w:rPr>
              <w:t>。项目原辅料来源可靠，供应有保证。本项目生产过程中原辅材料及能源见</w:t>
            </w:r>
            <w:r>
              <w:rPr>
                <w:rFonts w:hint="default" w:ascii="Times New Roman" w:hAnsi="Times New Roman" w:cs="Times New Roman"/>
                <w:lang w:val="en-US" w:eastAsia="zh-CN"/>
              </w:rPr>
              <w:t>下</w:t>
            </w:r>
            <w:r>
              <w:rPr>
                <w:rFonts w:hint="default" w:ascii="Times New Roman" w:hAnsi="Times New Roman" w:cs="Times New Roman"/>
              </w:rPr>
              <w:t>表。</w:t>
            </w:r>
          </w:p>
          <w:p>
            <w:pPr>
              <w:pStyle w:val="5"/>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2</w:t>
            </w:r>
            <w:r>
              <w:rPr>
                <w:rFonts w:hint="default" w:ascii="Times New Roman" w:hAnsi="Times New Roman" w:cs="Times New Roman"/>
              </w:rPr>
              <w:t>-</w:t>
            </w:r>
            <w:r>
              <w:rPr>
                <w:rFonts w:hint="eastAsia" w:cs="Times New Roman"/>
                <w:lang w:val="en-US" w:eastAsia="zh-CN"/>
              </w:rPr>
              <w:t>3</w:t>
            </w:r>
            <w:r>
              <w:rPr>
                <w:rFonts w:hint="default" w:ascii="Times New Roman" w:hAnsi="Times New Roman" w:cs="Times New Roman"/>
                <w:lang w:val="en-US" w:eastAsia="zh-CN"/>
              </w:rPr>
              <w:t xml:space="preserve">  </w:t>
            </w:r>
            <w:r>
              <w:rPr>
                <w:rFonts w:hint="default" w:ascii="Times New Roman" w:hAnsi="Times New Roman" w:cs="Times New Roman"/>
              </w:rPr>
              <w:t>项目主要</w:t>
            </w:r>
            <w:r>
              <w:rPr>
                <w:rFonts w:hint="default" w:ascii="Times New Roman" w:hAnsi="Times New Roman" w:cs="Times New Roman"/>
                <w:lang w:val="en-US" w:eastAsia="zh-CN"/>
              </w:rPr>
              <w:t>原辅</w:t>
            </w:r>
            <w:r>
              <w:rPr>
                <w:rFonts w:hint="default" w:ascii="Times New Roman" w:hAnsi="Times New Roman" w:cs="Times New Roman"/>
              </w:rPr>
              <w:t>材料用量</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127"/>
              <w:gridCol w:w="1268"/>
              <w:gridCol w:w="1352"/>
              <w:gridCol w:w="3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40"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726"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主要原料名称</w:t>
                  </w:r>
                </w:p>
              </w:tc>
              <w:tc>
                <w:tcPr>
                  <w:tcW w:w="817"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本项目原辅料消耗量</w:t>
                  </w:r>
                </w:p>
              </w:tc>
              <w:tc>
                <w:tcPr>
                  <w:tcW w:w="871"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b w:val="0"/>
                      <w:bCs w:val="0"/>
                      <w:sz w:val="21"/>
                      <w:szCs w:val="21"/>
                      <w:lang w:val="en-US" w:eastAsia="zh-CN"/>
                    </w:rPr>
                    <w:t>现有项目原辅料消耗量</w:t>
                  </w:r>
                </w:p>
              </w:tc>
              <w:tc>
                <w:tcPr>
                  <w:tcW w:w="2145"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726"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钢材原料</w:t>
                  </w:r>
                </w:p>
              </w:tc>
              <w:tc>
                <w:tcPr>
                  <w:tcW w:w="817" w:type="pct"/>
                  <w:noWrap w:val="0"/>
                  <w:vAlign w:val="center"/>
                </w:tcPr>
                <w:p>
                  <w:pPr>
                    <w:pStyle w:val="6"/>
                    <w:suppressLineNumbers w:val="0"/>
                    <w:bidi w:val="0"/>
                    <w:spacing w:before="0" w:beforeAutospacing="0" w:after="0" w:afterAutospacing="0"/>
                    <w:ind w:left="0" w:right="0" w:firstLine="0" w:firstLineChars="0"/>
                    <w:rPr>
                      <w:rFonts w:hint="default" w:ascii="Times New Roman" w:hAnsi="Times New Roman" w:eastAsia="宋体" w:cs="Times New Roman"/>
                      <w:sz w:val="21"/>
                      <w:szCs w:val="21"/>
                      <w:highlight w:val="none"/>
                      <w:lang w:val="en-US" w:eastAsia="zh-CN"/>
                    </w:rPr>
                  </w:pPr>
                  <w:r>
                    <w:rPr>
                      <w:rFonts w:hint="eastAsia" w:cs="Times New Roman"/>
                      <w:highlight w:val="none"/>
                      <w:lang w:val="en-US" w:eastAsia="zh-CN"/>
                    </w:rPr>
                    <w:t>1001</w:t>
                  </w:r>
                  <w:r>
                    <w:rPr>
                      <w:rFonts w:hint="default" w:ascii="Times New Roman" w:hAnsi="Times New Roman" w:cs="Times New Roman"/>
                      <w:sz w:val="21"/>
                      <w:szCs w:val="21"/>
                      <w:highlight w:val="none"/>
                      <w:lang w:val="en-US" w:eastAsia="zh-CN"/>
                    </w:rPr>
                    <w:t>t/a</w:t>
                  </w:r>
                </w:p>
              </w:tc>
              <w:tc>
                <w:tcPr>
                  <w:tcW w:w="871"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sz w:val="21"/>
                      <w:szCs w:val="21"/>
                      <w:highlight w:val="none"/>
                      <w:lang w:val="en-US" w:eastAsia="zh-CN"/>
                    </w:rPr>
                    <w:t>/</w:t>
                  </w:r>
                </w:p>
              </w:tc>
              <w:tc>
                <w:tcPr>
                  <w:tcW w:w="2145"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shd w:val="clear" w:color="auto" w:fill="auto"/>
                  <w:noWrap w:val="0"/>
                  <w:vAlign w:val="center"/>
                </w:tcPr>
                <w:p>
                  <w:pPr>
                    <w:pStyle w:val="17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 w:val="21"/>
                      <w:szCs w:val="21"/>
                    </w:rPr>
                    <w:t>2</w:t>
                  </w:r>
                </w:p>
              </w:tc>
              <w:tc>
                <w:tcPr>
                  <w:tcW w:w="726"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水泥</w:t>
                  </w:r>
                </w:p>
              </w:tc>
              <w:tc>
                <w:tcPr>
                  <w:tcW w:w="817" w:type="pct"/>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eastAsia" w:cs="Times New Roman"/>
                      <w:highlight w:val="none"/>
                      <w:lang w:val="en-US" w:eastAsia="zh-CN"/>
                    </w:rPr>
                    <w:t>26400</w:t>
                  </w:r>
                  <w:r>
                    <w:rPr>
                      <w:rFonts w:hint="default" w:ascii="Times New Roman" w:hAnsi="Times New Roman" w:cs="Times New Roman"/>
                      <w:highlight w:val="none"/>
                      <w:lang w:val="en-US" w:eastAsia="zh-CN"/>
                    </w:rPr>
                    <w:t>t/a</w:t>
                  </w:r>
                </w:p>
              </w:tc>
              <w:tc>
                <w:tcPr>
                  <w:tcW w:w="871"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sz w:val="21"/>
                      <w:szCs w:val="21"/>
                      <w:highlight w:val="none"/>
                      <w:lang w:val="en-US" w:eastAsia="zh-CN"/>
                    </w:rPr>
                  </w:pPr>
                  <w:r>
                    <w:rPr>
                      <w:rFonts w:hint="eastAsia" w:ascii="Times New Roman" w:hAnsi="Times New Roman" w:cs="Times New Roman"/>
                      <w:highlight w:val="none"/>
                      <w:lang w:val="en-US" w:eastAsia="zh-CN"/>
                    </w:rPr>
                    <w:t>1650</w:t>
                  </w:r>
                  <w:r>
                    <w:rPr>
                      <w:rFonts w:hint="default" w:ascii="Times New Roman" w:hAnsi="Times New Roman" w:cs="Times New Roman"/>
                      <w:highlight w:val="none"/>
                      <w:lang w:val="en-US" w:eastAsia="zh-CN"/>
                    </w:rPr>
                    <w:t>t/a</w:t>
                  </w:r>
                </w:p>
              </w:tc>
              <w:tc>
                <w:tcPr>
                  <w:tcW w:w="2145"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sz w:val="21"/>
                      <w:szCs w:val="21"/>
                      <w:lang w:val="en-US" w:eastAsia="zh-CN"/>
                    </w:rPr>
                  </w:pPr>
                  <w:r>
                    <w:rPr>
                      <w:rFonts w:hint="default" w:ascii="Times New Roman" w:hAnsi="Times New Roman" w:cs="Times New Roman"/>
                      <w:lang w:val="zh-CN"/>
                    </w:rPr>
                    <w:t>对应筒仓存储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shd w:val="clear" w:color="auto" w:fill="auto"/>
                  <w:noWrap w:val="0"/>
                  <w:vAlign w:val="center"/>
                </w:tcPr>
                <w:p>
                  <w:pPr>
                    <w:pStyle w:val="17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 w:val="21"/>
                      <w:szCs w:val="21"/>
                      <w:lang w:val="en-US" w:eastAsia="zh-CN"/>
                    </w:rPr>
                    <w:t>3</w:t>
                  </w:r>
                </w:p>
              </w:tc>
              <w:tc>
                <w:tcPr>
                  <w:tcW w:w="726"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石子</w:t>
                  </w:r>
                </w:p>
              </w:tc>
              <w:tc>
                <w:tcPr>
                  <w:tcW w:w="817" w:type="pct"/>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z w:val="21"/>
                      <w:szCs w:val="21"/>
                      <w:highlight w:val="none"/>
                      <w:lang w:val="en-US" w:eastAsia="zh-CN"/>
                    </w:rPr>
                  </w:pPr>
                  <w:r>
                    <w:rPr>
                      <w:rFonts w:hint="eastAsia" w:cs="Times New Roman"/>
                      <w:highlight w:val="none"/>
                      <w:lang w:val="en-US" w:eastAsia="zh-CN"/>
                    </w:rPr>
                    <w:t>74000</w:t>
                  </w:r>
                  <w:r>
                    <w:rPr>
                      <w:rFonts w:hint="default" w:ascii="Times New Roman" w:hAnsi="Times New Roman" w:cs="Times New Roman"/>
                      <w:highlight w:val="none"/>
                      <w:lang w:val="en-US" w:eastAsia="zh-CN"/>
                    </w:rPr>
                    <w:t>t/a</w:t>
                  </w:r>
                </w:p>
              </w:tc>
              <w:tc>
                <w:tcPr>
                  <w:tcW w:w="871"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6900</w:t>
                  </w:r>
                  <w:r>
                    <w:rPr>
                      <w:rFonts w:hint="default" w:ascii="Times New Roman" w:hAnsi="Times New Roman" w:cs="Times New Roman"/>
                      <w:highlight w:val="none"/>
                      <w:lang w:val="en-US" w:eastAsia="zh-CN"/>
                    </w:rPr>
                    <w:t>t/a</w:t>
                  </w:r>
                </w:p>
              </w:tc>
              <w:tc>
                <w:tcPr>
                  <w:tcW w:w="2145"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rPr>
                    <w:t>堆放在原料</w:t>
                  </w:r>
                  <w:r>
                    <w:rPr>
                      <w:rFonts w:hint="default" w:ascii="Times New Roman" w:hAnsi="Times New Roman" w:cs="Times New Roman"/>
                      <w:lang w:val="en-US" w:eastAsia="zh-CN"/>
                    </w:rPr>
                    <w:t>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shd w:val="clear" w:color="auto" w:fill="auto"/>
                  <w:noWrap w:val="0"/>
                  <w:vAlign w:val="center"/>
                </w:tcPr>
                <w:p>
                  <w:pPr>
                    <w:pStyle w:val="17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 w:val="21"/>
                      <w:szCs w:val="21"/>
                      <w:lang w:val="en-US" w:eastAsia="zh-CN"/>
                    </w:rPr>
                    <w:t>4</w:t>
                  </w:r>
                </w:p>
              </w:tc>
              <w:tc>
                <w:tcPr>
                  <w:tcW w:w="726"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砂子</w:t>
                  </w:r>
                </w:p>
              </w:tc>
              <w:tc>
                <w:tcPr>
                  <w:tcW w:w="817" w:type="pct"/>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eastAsia" w:cs="Times New Roman"/>
                      <w:highlight w:val="none"/>
                      <w:lang w:val="en-US" w:eastAsia="zh-CN"/>
                    </w:rPr>
                    <w:t>43000t/a</w:t>
                  </w:r>
                </w:p>
              </w:tc>
              <w:tc>
                <w:tcPr>
                  <w:tcW w:w="871"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w:t>
                  </w:r>
                  <w:r>
                    <w:rPr>
                      <w:rFonts w:hint="eastAsia" w:cs="Times New Roman"/>
                      <w:highlight w:val="none"/>
                      <w:lang w:val="en-US" w:eastAsia="zh-CN"/>
                    </w:rPr>
                    <w:t>9</w:t>
                  </w:r>
                  <w:r>
                    <w:rPr>
                      <w:rFonts w:hint="default" w:ascii="Times New Roman" w:hAnsi="Times New Roman" w:cs="Times New Roman"/>
                      <w:highlight w:val="none"/>
                      <w:lang w:val="en-US" w:eastAsia="zh-CN"/>
                    </w:rPr>
                    <w:t>00t/a</w:t>
                  </w:r>
                </w:p>
              </w:tc>
              <w:tc>
                <w:tcPr>
                  <w:tcW w:w="2145"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rPr>
                    <w:t>堆放在原料</w:t>
                  </w:r>
                  <w:r>
                    <w:rPr>
                      <w:rFonts w:hint="default" w:ascii="Times New Roman" w:hAnsi="Times New Roman" w:cs="Times New Roman"/>
                      <w:lang w:val="en-US" w:eastAsia="zh-CN"/>
                    </w:rPr>
                    <w:t>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shd w:val="clear" w:color="auto" w:fill="auto"/>
                  <w:noWrap w:val="0"/>
                  <w:vAlign w:val="center"/>
                </w:tcPr>
                <w:p>
                  <w:pPr>
                    <w:pStyle w:val="17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 w:val="21"/>
                      <w:szCs w:val="21"/>
                      <w:lang w:val="en-US" w:eastAsia="zh-CN"/>
                    </w:rPr>
                    <w:t>5</w:t>
                  </w:r>
                </w:p>
              </w:tc>
              <w:tc>
                <w:tcPr>
                  <w:tcW w:w="726"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石英</w:t>
                  </w:r>
                </w:p>
              </w:tc>
              <w:tc>
                <w:tcPr>
                  <w:tcW w:w="817" w:type="pct"/>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eastAsia" w:cs="Times New Roman"/>
                      <w:highlight w:val="none"/>
                      <w:lang w:val="en-US" w:eastAsia="zh-CN"/>
                    </w:rPr>
                    <w:t>/</w:t>
                  </w:r>
                </w:p>
              </w:tc>
              <w:tc>
                <w:tcPr>
                  <w:tcW w:w="871"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2600t/a</w:t>
                  </w:r>
                </w:p>
              </w:tc>
              <w:tc>
                <w:tcPr>
                  <w:tcW w:w="2145" w:type="pct"/>
                  <w:noWrap w:val="0"/>
                  <w:vAlign w:val="center"/>
                </w:tcPr>
                <w:p>
                  <w:pPr>
                    <w:pStyle w:val="6"/>
                    <w:suppressLineNumbers w:val="0"/>
                    <w:bidi w:val="0"/>
                    <w:spacing w:before="0" w:beforeAutospacing="0" w:after="0" w:afterAutospacing="0"/>
                    <w:ind w:left="0" w:right="0"/>
                    <w:rPr>
                      <w:rFonts w:hint="default"/>
                    </w:rPr>
                  </w:pPr>
                  <w:r>
                    <w:rPr>
                      <w:rFonts w:hint="defaul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40" w:type="pct"/>
                  <w:shd w:val="clear" w:color="auto" w:fill="auto"/>
                  <w:noWrap w:val="0"/>
                  <w:vAlign w:val="center"/>
                </w:tcPr>
                <w:p>
                  <w:pPr>
                    <w:pStyle w:val="17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sz w:val="21"/>
                      <w:szCs w:val="21"/>
                      <w:highlight w:val="none"/>
                      <w:lang w:val="en-US" w:eastAsia="zh-CN"/>
                    </w:rPr>
                    <w:t>6</w:t>
                  </w:r>
                </w:p>
              </w:tc>
              <w:tc>
                <w:tcPr>
                  <w:tcW w:w="726"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石粉</w:t>
                  </w:r>
                </w:p>
              </w:tc>
              <w:tc>
                <w:tcPr>
                  <w:tcW w:w="817" w:type="pct"/>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eastAsia" w:cs="Times New Roman"/>
                      <w:highlight w:val="none"/>
                      <w:lang w:val="en-US" w:eastAsia="zh-CN"/>
                    </w:rPr>
                    <w:t>/</w:t>
                  </w:r>
                </w:p>
              </w:tc>
              <w:tc>
                <w:tcPr>
                  <w:tcW w:w="871"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2000t/a</w:t>
                  </w:r>
                </w:p>
              </w:tc>
              <w:tc>
                <w:tcPr>
                  <w:tcW w:w="2145" w:type="pct"/>
                  <w:noWrap w:val="0"/>
                  <w:vAlign w:val="center"/>
                </w:tcPr>
                <w:p>
                  <w:pPr>
                    <w:pStyle w:val="6"/>
                    <w:suppressLineNumbers w:val="0"/>
                    <w:bidi w:val="0"/>
                    <w:spacing w:before="0" w:beforeAutospacing="0" w:after="0" w:afterAutospacing="0"/>
                    <w:ind w:left="0" w:right="0"/>
                    <w:rPr>
                      <w:rFonts w:hint="default"/>
                    </w:rPr>
                  </w:pPr>
                  <w:r>
                    <w:rPr>
                      <w:rFonts w:hint="defaul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40" w:type="pct"/>
                  <w:shd w:val="clear" w:color="auto" w:fill="auto"/>
                  <w:noWrap w:val="0"/>
                  <w:vAlign w:val="center"/>
                </w:tcPr>
                <w:p>
                  <w:pPr>
                    <w:pStyle w:val="17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sz w:val="21"/>
                      <w:szCs w:val="21"/>
                      <w:highlight w:val="none"/>
                      <w:lang w:val="en-US" w:eastAsia="zh-CN"/>
                    </w:rPr>
                    <w:t>7</w:t>
                  </w:r>
                </w:p>
              </w:tc>
              <w:tc>
                <w:tcPr>
                  <w:tcW w:w="726"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粉煤灰</w:t>
                  </w:r>
                </w:p>
              </w:tc>
              <w:tc>
                <w:tcPr>
                  <w:tcW w:w="817" w:type="pct"/>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eastAsia" w:cs="Times New Roman"/>
                      <w:highlight w:val="none"/>
                      <w:lang w:val="en-US" w:eastAsia="zh-CN"/>
                    </w:rPr>
                    <w:t>/</w:t>
                  </w:r>
                </w:p>
              </w:tc>
              <w:tc>
                <w:tcPr>
                  <w:tcW w:w="871"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1500t/a</w:t>
                  </w:r>
                </w:p>
              </w:tc>
              <w:tc>
                <w:tcPr>
                  <w:tcW w:w="2145" w:type="pct"/>
                  <w:noWrap w:val="0"/>
                  <w:vAlign w:val="center"/>
                </w:tcPr>
                <w:p>
                  <w:pPr>
                    <w:pStyle w:val="6"/>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ascii="Times New Roman" w:hAnsi="Times New Roman" w:cs="Times New Roman"/>
                      <w:lang w:val="en-US" w:eastAsia="zh-CN"/>
                    </w:rPr>
                    <w:t>粉煤灰筒仓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40" w:type="pct"/>
                  <w:shd w:val="clear" w:color="auto" w:fill="auto"/>
                  <w:noWrap w:val="0"/>
                  <w:vAlign w:val="center"/>
                </w:tcPr>
                <w:p>
                  <w:pPr>
                    <w:pStyle w:val="17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sz w:val="21"/>
                      <w:szCs w:val="21"/>
                      <w:highlight w:val="none"/>
                      <w:lang w:val="en-US" w:eastAsia="zh-CN"/>
                    </w:rPr>
                    <w:t>8</w:t>
                  </w:r>
                </w:p>
              </w:tc>
              <w:tc>
                <w:tcPr>
                  <w:tcW w:w="726"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碎玻璃</w:t>
                  </w:r>
                </w:p>
              </w:tc>
              <w:tc>
                <w:tcPr>
                  <w:tcW w:w="817" w:type="pct"/>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eastAsia" w:cs="Times New Roman"/>
                      <w:highlight w:val="none"/>
                      <w:lang w:val="en-US" w:eastAsia="zh-CN"/>
                    </w:rPr>
                    <w:t>/</w:t>
                  </w:r>
                </w:p>
              </w:tc>
              <w:tc>
                <w:tcPr>
                  <w:tcW w:w="871"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10t/a</w:t>
                  </w:r>
                </w:p>
              </w:tc>
              <w:tc>
                <w:tcPr>
                  <w:tcW w:w="2145" w:type="pct"/>
                  <w:noWrap w:val="0"/>
                  <w:vAlign w:val="center"/>
                </w:tcPr>
                <w:p>
                  <w:pPr>
                    <w:pStyle w:val="6"/>
                    <w:suppressLineNumbers w:val="0"/>
                    <w:bidi w:val="0"/>
                    <w:spacing w:before="0" w:beforeAutospacing="0" w:after="0" w:afterAutospacing="0"/>
                    <w:ind w:left="0" w:right="0"/>
                    <w:rPr>
                      <w:rFonts w:hint="default"/>
                    </w:rPr>
                  </w:pPr>
                  <w:r>
                    <w:rPr>
                      <w:rFonts w:hint="defaul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shd w:val="clear" w:color="auto" w:fill="auto"/>
                  <w:noWrap w:val="0"/>
                  <w:vAlign w:val="center"/>
                </w:tcPr>
                <w:p>
                  <w:pPr>
                    <w:pStyle w:val="17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9</w:t>
                  </w:r>
                </w:p>
              </w:tc>
              <w:tc>
                <w:tcPr>
                  <w:tcW w:w="726"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氧化铁染料</w:t>
                  </w:r>
                </w:p>
              </w:tc>
              <w:tc>
                <w:tcPr>
                  <w:tcW w:w="817" w:type="pct"/>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eastAsia" w:cs="Times New Roman"/>
                      <w:highlight w:val="none"/>
                      <w:lang w:val="en-US" w:eastAsia="zh-CN"/>
                    </w:rPr>
                    <w:t>/</w:t>
                  </w:r>
                </w:p>
              </w:tc>
              <w:tc>
                <w:tcPr>
                  <w:tcW w:w="871"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5t/a</w:t>
                  </w:r>
                </w:p>
              </w:tc>
              <w:tc>
                <w:tcPr>
                  <w:tcW w:w="2145" w:type="pct"/>
                  <w:noWrap w:val="0"/>
                  <w:vAlign w:val="center"/>
                </w:tcPr>
                <w:p>
                  <w:pPr>
                    <w:pStyle w:val="6"/>
                    <w:suppressLineNumbers w:val="0"/>
                    <w:bidi w:val="0"/>
                    <w:spacing w:before="0" w:beforeAutospacing="0" w:after="0" w:afterAutospacing="0"/>
                    <w:ind w:left="0" w:right="0"/>
                    <w:rPr>
                      <w:rFonts w:hint="default"/>
                    </w:rPr>
                  </w:pPr>
                  <w:r>
                    <w:rPr>
                      <w:rFonts w:hint="defaul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40" w:type="pct"/>
                  <w:shd w:val="clear" w:color="auto" w:fill="auto"/>
                  <w:noWrap w:val="0"/>
                  <w:vAlign w:val="center"/>
                </w:tcPr>
                <w:p>
                  <w:pPr>
                    <w:pStyle w:val="17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10</w:t>
                  </w:r>
                </w:p>
              </w:tc>
              <w:tc>
                <w:tcPr>
                  <w:tcW w:w="726"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焊条</w:t>
                  </w:r>
                </w:p>
              </w:tc>
              <w:tc>
                <w:tcPr>
                  <w:tcW w:w="817"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w:t>
                  </w:r>
                  <w:r>
                    <w:rPr>
                      <w:rFonts w:hint="default" w:ascii="Times New Roman" w:hAnsi="Times New Roman" w:cs="Times New Roman"/>
                      <w:sz w:val="21"/>
                      <w:szCs w:val="21"/>
                      <w:highlight w:val="none"/>
                      <w:lang w:val="en-US" w:eastAsia="zh-CN"/>
                    </w:rPr>
                    <w:t>t/a</w:t>
                  </w:r>
                </w:p>
              </w:tc>
              <w:tc>
                <w:tcPr>
                  <w:tcW w:w="871"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p>
              </w:tc>
              <w:tc>
                <w:tcPr>
                  <w:tcW w:w="2145"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0" w:hRule="atLeast"/>
                <w:jc w:val="center"/>
              </w:trPr>
              <w:tc>
                <w:tcPr>
                  <w:tcW w:w="440" w:type="pct"/>
                  <w:shd w:val="clear" w:color="auto" w:fill="auto"/>
                  <w:noWrap w:val="0"/>
                  <w:vAlign w:val="center"/>
                </w:tcPr>
                <w:p>
                  <w:pPr>
                    <w:pStyle w:val="17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11</w:t>
                  </w:r>
                </w:p>
              </w:tc>
              <w:tc>
                <w:tcPr>
                  <w:tcW w:w="726"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脱模剂</w:t>
                  </w:r>
                </w:p>
              </w:tc>
              <w:tc>
                <w:tcPr>
                  <w:tcW w:w="817"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1t/a</w:t>
                  </w:r>
                </w:p>
              </w:tc>
              <w:tc>
                <w:tcPr>
                  <w:tcW w:w="871"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w:t>
                  </w:r>
                </w:p>
              </w:tc>
              <w:tc>
                <w:tcPr>
                  <w:tcW w:w="2145"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yellow"/>
                      <w:lang w:val="en-US" w:eastAsia="zh-CN"/>
                    </w:rPr>
                  </w:pPr>
                  <w:r>
                    <w:rPr>
                      <w:rFonts w:hint="default" w:ascii="Times New Roman" w:hAnsi="Times New Roman" w:cs="Times New Roman"/>
                      <w:highlight w:val="none"/>
                      <w:lang w:val="en-US" w:eastAsia="zh-CN"/>
                    </w:rPr>
                    <w:t>本项目生产过程中使用水溶性混凝土制品脱模剂</w:t>
                  </w:r>
                  <w:r>
                    <w:rPr>
                      <w:rFonts w:hint="eastAsia" w:cs="Times New Roman"/>
                      <w:highlight w:val="none"/>
                      <w:lang w:val="en-US" w:eastAsia="zh-CN"/>
                    </w:rPr>
                    <w:t>，用于</w:t>
                  </w:r>
                  <w:r>
                    <w:rPr>
                      <w:rFonts w:hint="default" w:ascii="Times New Roman" w:hAnsi="Times New Roman" w:cs="Times New Roman"/>
                      <w:highlight w:val="none"/>
                      <w:lang w:val="en-US" w:eastAsia="zh-CN"/>
                    </w:rPr>
                    <w:t>分离模具与水泥制品，项目使用脱模剂主要成分为矿物油、多种活性剂、助剂等，无味无毒不燃，无腐蚀、对皮肤无刺激。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40" w:type="pct"/>
                  <w:shd w:val="clear" w:color="auto" w:fill="auto"/>
                  <w:noWrap w:val="0"/>
                  <w:vAlign w:val="center"/>
                </w:tcPr>
                <w:p>
                  <w:pPr>
                    <w:pStyle w:val="17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12</w:t>
                  </w:r>
                </w:p>
              </w:tc>
              <w:tc>
                <w:tcPr>
                  <w:tcW w:w="726"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水性防腐涂料</w:t>
                  </w:r>
                </w:p>
              </w:tc>
              <w:tc>
                <w:tcPr>
                  <w:tcW w:w="817"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lang w:val="en-US" w:eastAsia="zh-CN"/>
                    </w:rPr>
                    <w:t>t/a</w:t>
                  </w:r>
                </w:p>
              </w:tc>
              <w:tc>
                <w:tcPr>
                  <w:tcW w:w="871"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w:t>
                  </w:r>
                </w:p>
              </w:tc>
              <w:tc>
                <w:tcPr>
                  <w:tcW w:w="2145"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yellow"/>
                      <w:lang w:val="en-US" w:eastAsia="zh-CN"/>
                    </w:rPr>
                  </w:pPr>
                  <w:r>
                    <w:rPr>
                      <w:rFonts w:hint="default" w:ascii="Times New Roman" w:hAnsi="Times New Roman" w:cs="Times New Roman"/>
                      <w:highlight w:val="none"/>
                      <w:lang w:val="en-US" w:eastAsia="zh-CN"/>
                    </w:rPr>
                    <w:t>水性防腐涂料以水为主要分散介质，VOC</w:t>
                  </w:r>
                  <w:r>
                    <w:rPr>
                      <w:rFonts w:hint="eastAsia" w:cs="Times New Roman"/>
                      <w:highlight w:val="none"/>
                      <w:lang w:val="en-US" w:eastAsia="zh-CN"/>
                    </w:rPr>
                    <w:t>s</w:t>
                  </w:r>
                  <w:r>
                    <w:rPr>
                      <w:rFonts w:hint="default" w:ascii="Times New Roman" w:hAnsi="Times New Roman" w:cs="Times New Roman"/>
                      <w:highlight w:val="none"/>
                      <w:lang w:val="en-US" w:eastAsia="zh-CN"/>
                    </w:rPr>
                    <w:t>含量低、环保性佳，可常温施工，适配多种涂装方式。成膜后形成致密涂层，与水泥基面附着力强、耐碱性优异，适配高碱性环境且不易脱落、粉化。涂料兼具耐水耐候性，能阻隔侵蚀介质渗透，延缓水泥制品风化、碳化及钢筋锈蚀，延长使用寿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40" w:type="pct"/>
                  <w:shd w:val="clear" w:color="auto" w:fill="auto"/>
                  <w:noWrap w:val="0"/>
                  <w:vAlign w:val="center"/>
                </w:tcPr>
                <w:p>
                  <w:pPr>
                    <w:pStyle w:val="17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13</w:t>
                  </w:r>
                </w:p>
              </w:tc>
              <w:tc>
                <w:tcPr>
                  <w:tcW w:w="726"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水</w:t>
                  </w:r>
                </w:p>
              </w:tc>
              <w:tc>
                <w:tcPr>
                  <w:tcW w:w="817"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6795</w:t>
                  </w:r>
                  <w:r>
                    <w:rPr>
                      <w:rFonts w:hint="default" w:ascii="Times New Roman" w:hAnsi="Times New Roman" w:cs="Times New Roman"/>
                      <w:sz w:val="21"/>
                      <w:szCs w:val="21"/>
                      <w:highlight w:val="none"/>
                      <w:lang w:val="en-US" w:eastAsia="zh-CN"/>
                    </w:rPr>
                    <w:t>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vertAlign w:val="baseline"/>
                      <w:lang w:val="en-US" w:eastAsia="zh-CN"/>
                    </w:rPr>
                    <w:t>/a</w:t>
                  </w:r>
                </w:p>
              </w:tc>
              <w:tc>
                <w:tcPr>
                  <w:tcW w:w="871"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highlight w:val="yellow"/>
                      <w:lang w:val="en-US" w:eastAsia="zh-CN"/>
                    </w:rPr>
                  </w:pPr>
                  <w:r>
                    <w:rPr>
                      <w:rFonts w:hint="eastAsia" w:ascii="Times New Roman" w:hAnsi="Times New Roman" w:cs="Times New Roman"/>
                      <w:sz w:val="21"/>
                      <w:szCs w:val="21"/>
                      <w:lang w:val="en-US" w:eastAsia="zh-CN"/>
                    </w:rPr>
                    <w:t>2695.2</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vertAlign w:val="baseline"/>
                      <w:lang w:val="en-US" w:eastAsia="zh-CN"/>
                    </w:rPr>
                    <w:t>/a</w:t>
                  </w:r>
                </w:p>
              </w:tc>
              <w:tc>
                <w:tcPr>
                  <w:tcW w:w="2145"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yellow"/>
                      <w:lang w:val="en-US" w:eastAsia="zh-CN"/>
                    </w:rPr>
                  </w:pPr>
                  <w:r>
                    <w:rPr>
                      <w:rFonts w:hint="default" w:ascii="Times New Roman" w:hAnsi="Times New Roman" w:cs="Times New Roman"/>
                    </w:rPr>
                    <w:t>接</w:t>
                  </w:r>
                  <w:r>
                    <w:rPr>
                      <w:rFonts w:hint="default" w:ascii="Times New Roman" w:hAnsi="Times New Roman" w:cs="Times New Roman"/>
                      <w:lang w:val="en-US" w:eastAsia="zh-CN"/>
                    </w:rPr>
                    <w:t>园区</w:t>
                  </w:r>
                  <w:r>
                    <w:rPr>
                      <w:rFonts w:hint="default" w:ascii="Times New Roman" w:hAnsi="Times New Roman" w:cs="Times New Roman"/>
                    </w:rPr>
                    <w:t>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40" w:type="pct"/>
                  <w:shd w:val="clear" w:color="auto" w:fill="auto"/>
                  <w:noWrap w:val="0"/>
                  <w:vAlign w:val="center"/>
                </w:tcPr>
                <w:p>
                  <w:pPr>
                    <w:pStyle w:val="17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14</w:t>
                  </w:r>
                </w:p>
              </w:tc>
              <w:tc>
                <w:tcPr>
                  <w:tcW w:w="726"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highlight w:val="yellow"/>
                      <w:lang w:val="en-US" w:eastAsia="zh-CN"/>
                    </w:rPr>
                  </w:pPr>
                  <w:r>
                    <w:rPr>
                      <w:rFonts w:hint="default" w:ascii="Times New Roman" w:hAnsi="Times New Roman" w:cs="Times New Roman"/>
                      <w:sz w:val="21"/>
                      <w:szCs w:val="21"/>
                      <w:lang w:val="en-US" w:eastAsia="zh-CN"/>
                    </w:rPr>
                    <w:t>电</w:t>
                  </w:r>
                </w:p>
              </w:tc>
              <w:tc>
                <w:tcPr>
                  <w:tcW w:w="817" w:type="pct"/>
                  <w:shd w:val="clear" w:color="auto" w:fill="auto"/>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highlight w:val="yellow"/>
                      <w:lang w:val="en-US" w:eastAsia="zh-CN"/>
                    </w:rPr>
                  </w:pPr>
                  <w:r>
                    <w:rPr>
                      <w:rFonts w:hint="eastAsia" w:ascii="Times New Roman" w:hAnsi="Times New Roman" w:cs="Times New Roman"/>
                      <w:sz w:val="21"/>
                      <w:szCs w:val="21"/>
                      <w:lang w:val="en-US" w:eastAsia="zh-CN"/>
                    </w:rPr>
                    <w:t>5</w:t>
                  </w:r>
                  <w:r>
                    <w:rPr>
                      <w:rFonts w:hint="default" w:ascii="Times New Roman" w:hAnsi="Times New Roman" w:cs="Times New Roman"/>
                      <w:sz w:val="21"/>
                      <w:szCs w:val="21"/>
                      <w:lang w:val="en-US" w:eastAsia="zh-CN"/>
                    </w:rPr>
                    <w:t>万kW·h/a</w:t>
                  </w:r>
                </w:p>
              </w:tc>
              <w:tc>
                <w:tcPr>
                  <w:tcW w:w="871" w:type="pct"/>
                  <w:noWrap w:val="0"/>
                  <w:vAlign w:val="center"/>
                </w:tcPr>
                <w:p>
                  <w:pPr>
                    <w:pStyle w:val="17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highlight w:val="yellow"/>
                      <w:lang w:val="en-US" w:eastAsia="zh-CN"/>
                    </w:rPr>
                  </w:pPr>
                  <w:r>
                    <w:rPr>
                      <w:rFonts w:hint="eastAsia" w:ascii="Times New Roman" w:hAnsi="Times New Roman" w:cs="Times New Roman"/>
                      <w:sz w:val="21"/>
                      <w:szCs w:val="21"/>
                      <w:lang w:val="en-US" w:eastAsia="zh-CN"/>
                    </w:rPr>
                    <w:t>5</w:t>
                  </w:r>
                  <w:r>
                    <w:rPr>
                      <w:rFonts w:hint="default" w:ascii="Times New Roman" w:hAnsi="Times New Roman" w:cs="Times New Roman"/>
                      <w:sz w:val="21"/>
                      <w:szCs w:val="21"/>
                      <w:lang w:val="en-US" w:eastAsia="zh-CN"/>
                    </w:rPr>
                    <w:t>万kW·h/a</w:t>
                  </w:r>
                </w:p>
              </w:tc>
              <w:tc>
                <w:tcPr>
                  <w:tcW w:w="2145" w:type="pct"/>
                  <w:shd w:val="clear" w:color="auto" w:fill="auto"/>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yellow"/>
                      <w:lang w:val="en-US" w:eastAsia="zh-CN"/>
                    </w:rPr>
                  </w:pPr>
                  <w:r>
                    <w:rPr>
                      <w:rFonts w:hint="default" w:ascii="Times New Roman" w:hAnsi="Times New Roman" w:cs="Times New Roman"/>
                    </w:rPr>
                    <w:t>接</w:t>
                  </w:r>
                  <w:r>
                    <w:rPr>
                      <w:rFonts w:hint="default" w:ascii="Times New Roman" w:hAnsi="Times New Roman" w:cs="Times New Roman"/>
                      <w:lang w:val="en-US" w:eastAsia="zh-CN"/>
                    </w:rPr>
                    <w:t>园区</w:t>
                  </w:r>
                  <w:r>
                    <w:rPr>
                      <w:rFonts w:hint="default" w:ascii="Times New Roman" w:hAnsi="Times New Roman" w:cs="Times New Roman"/>
                    </w:rPr>
                    <w:t>电网</w:t>
                  </w:r>
                </w:p>
              </w:tc>
            </w:tr>
          </w:tbl>
          <w:p>
            <w:pPr>
              <w:pStyle w:val="4"/>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3.4 产品方案</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本项目产品方案见下表2-</w:t>
            </w:r>
            <w:r>
              <w:rPr>
                <w:rFonts w:hint="eastAsia" w:cs="Times New Roman"/>
                <w:lang w:val="en-US" w:eastAsia="zh-CN"/>
              </w:rPr>
              <w:t>4</w:t>
            </w:r>
            <w:r>
              <w:rPr>
                <w:rFonts w:hint="default" w:ascii="Times New Roman" w:hAnsi="Times New Roman" w:cs="Times New Roman"/>
                <w:lang w:val="en-US" w:eastAsia="zh-CN"/>
              </w:rPr>
              <w:t>。</w:t>
            </w:r>
          </w:p>
          <w:p>
            <w:pPr>
              <w:pStyle w:val="5"/>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表2-</w:t>
            </w:r>
            <w:r>
              <w:rPr>
                <w:rFonts w:hint="eastAsia" w:cs="Times New Roman"/>
                <w:lang w:val="en-US" w:eastAsia="zh-CN"/>
              </w:rPr>
              <w:t>4</w:t>
            </w:r>
            <w:r>
              <w:rPr>
                <w:rFonts w:hint="default" w:ascii="Times New Roman" w:hAnsi="Times New Roman" w:cs="Times New Roman"/>
                <w:lang w:val="en-US" w:eastAsia="zh-CN"/>
              </w:rPr>
              <w:t xml:space="preserve">  </w:t>
            </w:r>
            <w:r>
              <w:rPr>
                <w:rFonts w:hint="default" w:ascii="Times New Roman" w:hAnsi="Times New Roman" w:cs="Times New Roman"/>
              </w:rPr>
              <w:t>项目</w:t>
            </w:r>
            <w:r>
              <w:rPr>
                <w:rFonts w:hint="eastAsia" w:cs="Times New Roman"/>
                <w:lang w:val="en-US" w:eastAsia="zh-CN"/>
              </w:rPr>
              <w:t>产品</w:t>
            </w:r>
            <w:r>
              <w:rPr>
                <w:rFonts w:hint="default" w:ascii="Times New Roman" w:hAnsi="Times New Roman" w:cs="Times New Roman"/>
              </w:rPr>
              <w:t>产能一览表</w:t>
            </w:r>
          </w:p>
          <w:tbl>
            <w:tblPr>
              <w:tblStyle w:val="33"/>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359"/>
              <w:gridCol w:w="2702"/>
              <w:gridCol w:w="877"/>
              <w:gridCol w:w="1412"/>
              <w:gridCol w:w="14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2" w:hRule="atLeast"/>
                <w:tblHeader/>
                <w:jc w:val="center"/>
              </w:trPr>
              <w:tc>
                <w:tcPr>
                  <w:tcW w:w="875" w:type="pct"/>
                  <w:noWrap w:val="0"/>
                  <w:vAlign w:val="center"/>
                </w:tcPr>
                <w:p>
                  <w:pPr>
                    <w:pStyle w:val="6"/>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eastAsia" w:cs="Times New Roman"/>
                      <w:lang w:val="en-US" w:eastAsia="zh-CN"/>
                    </w:rPr>
                    <w:t>项目</w:t>
                  </w:r>
                </w:p>
              </w:tc>
              <w:tc>
                <w:tcPr>
                  <w:tcW w:w="1740"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产品名称</w:t>
                  </w:r>
                </w:p>
              </w:tc>
              <w:tc>
                <w:tcPr>
                  <w:tcW w:w="565"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单位</w:t>
                  </w:r>
                </w:p>
              </w:tc>
              <w:tc>
                <w:tcPr>
                  <w:tcW w:w="909"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数量</w:t>
                  </w:r>
                </w:p>
              </w:tc>
              <w:tc>
                <w:tcPr>
                  <w:tcW w:w="909" w:type="pct"/>
                  <w:noWrap w:val="0"/>
                  <w:vAlign w:val="center"/>
                </w:tcPr>
                <w:p>
                  <w:pPr>
                    <w:pStyle w:val="6"/>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eastAsia" w:cs="Times New Roman"/>
                      <w:lang w:val="en-US"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atLeast"/>
                <w:tblHeader/>
                <w:jc w:val="center"/>
              </w:trPr>
              <w:tc>
                <w:tcPr>
                  <w:tcW w:w="875" w:type="pct"/>
                  <w:vMerge w:val="restart"/>
                  <w:noWrap w:val="0"/>
                  <w:vAlign w:val="center"/>
                </w:tcPr>
                <w:p>
                  <w:pPr>
                    <w:pStyle w:val="6"/>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cs="Times New Roman"/>
                      <w:lang w:val="en-US" w:eastAsia="zh-CN"/>
                    </w:rPr>
                    <w:t>新建项目</w:t>
                  </w:r>
                </w:p>
              </w:tc>
              <w:tc>
                <w:tcPr>
                  <w:tcW w:w="1740" w:type="pct"/>
                  <w:noWrap w:val="0"/>
                  <w:vAlign w:val="center"/>
                </w:tcPr>
                <w:p>
                  <w:pPr>
                    <w:pStyle w:val="6"/>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检查井</w:t>
                  </w:r>
                </w:p>
              </w:tc>
              <w:tc>
                <w:tcPr>
                  <w:tcW w:w="565" w:type="pct"/>
                  <w:noWrap w:val="0"/>
                  <w:vAlign w:val="center"/>
                </w:tcPr>
                <w:p>
                  <w:pPr>
                    <w:pStyle w:val="6"/>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套</w:t>
                  </w:r>
                </w:p>
              </w:tc>
              <w:tc>
                <w:tcPr>
                  <w:tcW w:w="909" w:type="pct"/>
                  <w:noWrap w:val="0"/>
                  <w:vAlign w:val="center"/>
                </w:tcPr>
                <w:p>
                  <w:pPr>
                    <w:pStyle w:val="6"/>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10000</w:t>
                  </w:r>
                </w:p>
              </w:tc>
              <w:tc>
                <w:tcPr>
                  <w:tcW w:w="909" w:type="pct"/>
                  <w:vMerge w:val="restar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146400t/a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2" w:hRule="atLeast"/>
                <w:tblHeader/>
                <w:jc w:val="center"/>
              </w:trPr>
              <w:tc>
                <w:tcPr>
                  <w:tcW w:w="875" w:type="pct"/>
                  <w:vMerge w:val="continue"/>
                  <w:noWrap w:val="0"/>
                  <w:vAlign w:val="center"/>
                </w:tcPr>
                <w:p>
                  <w:pPr>
                    <w:pStyle w:val="6"/>
                    <w:suppressLineNumbers w:val="0"/>
                    <w:bidi w:val="0"/>
                    <w:spacing w:before="0" w:beforeAutospacing="0" w:after="0" w:afterAutospacing="0"/>
                    <w:ind w:left="0" w:right="0"/>
                    <w:rPr>
                      <w:rFonts w:hint="eastAsia" w:cs="Times New Roman"/>
                      <w:lang w:val="en-US" w:eastAsia="zh-CN"/>
                    </w:rPr>
                  </w:pPr>
                </w:p>
              </w:tc>
              <w:tc>
                <w:tcPr>
                  <w:tcW w:w="1740"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化粪池/消防池</w:t>
                  </w:r>
                </w:p>
              </w:tc>
              <w:tc>
                <w:tcPr>
                  <w:tcW w:w="565" w:type="pct"/>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/a</w:t>
                  </w:r>
                </w:p>
              </w:tc>
              <w:tc>
                <w:tcPr>
                  <w:tcW w:w="909" w:type="pct"/>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1"/>
                      <w:highlight w:val="none"/>
                      <w:lang w:val="en-US" w:eastAsia="zh-CN" w:bidi="ar-SA"/>
                    </w:rPr>
                  </w:pPr>
                  <w:r>
                    <w:rPr>
                      <w:rFonts w:hint="eastAsia" w:cs="Times New Roman"/>
                      <w:highlight w:val="none"/>
                      <w:lang w:val="en-US" w:eastAsia="zh-CN"/>
                    </w:rPr>
                    <w:t>5</w:t>
                  </w:r>
                  <w:r>
                    <w:rPr>
                      <w:rFonts w:hint="eastAsia" w:ascii="Times New Roman" w:hAnsi="Times New Roman" w:cs="Times New Roman"/>
                      <w:highlight w:val="none"/>
                      <w:lang w:val="en-US" w:eastAsia="zh-CN"/>
                    </w:rPr>
                    <w:t>0000</w:t>
                  </w:r>
                </w:p>
              </w:tc>
              <w:tc>
                <w:tcPr>
                  <w:tcW w:w="909" w:type="pct"/>
                  <w:vMerge w:val="continue"/>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eastAsia" w:cs="Times New Roman"/>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2" w:hRule="atLeast"/>
                <w:tblHeader/>
                <w:jc w:val="center"/>
              </w:trPr>
              <w:tc>
                <w:tcPr>
                  <w:tcW w:w="875"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现有工程</w:t>
                  </w:r>
                </w:p>
              </w:tc>
              <w:tc>
                <w:tcPr>
                  <w:tcW w:w="1740"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砖、板及路沿石</w:t>
                  </w:r>
                </w:p>
              </w:tc>
              <w:tc>
                <w:tcPr>
                  <w:tcW w:w="565" w:type="pct"/>
                  <w:noWrap w:val="0"/>
                  <w:vAlign w:val="center"/>
                </w:tcPr>
                <w:p>
                  <w:pPr>
                    <w:pStyle w:val="6"/>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eastAsia" w:cs="Times New Roman"/>
                      <w:lang w:val="en-US" w:eastAsia="zh-CN"/>
                    </w:rPr>
                    <w:t>m</w:t>
                  </w:r>
                  <w:r>
                    <w:rPr>
                      <w:rFonts w:hint="eastAsia" w:cs="Times New Roman"/>
                      <w:vertAlign w:val="superscript"/>
                      <w:lang w:val="en-US" w:eastAsia="zh-CN"/>
                    </w:rPr>
                    <w:t>2</w:t>
                  </w:r>
                  <w:r>
                    <w:rPr>
                      <w:rFonts w:hint="eastAsia" w:cs="Times New Roman"/>
                      <w:lang w:val="en-US" w:eastAsia="zh-CN"/>
                    </w:rPr>
                    <w:t>/a</w:t>
                  </w:r>
                </w:p>
              </w:tc>
              <w:tc>
                <w:tcPr>
                  <w:tcW w:w="909"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100000</w:t>
                  </w:r>
                </w:p>
              </w:tc>
              <w:tc>
                <w:tcPr>
                  <w:tcW w:w="909" w:type="pct"/>
                  <w:noWrap w:val="0"/>
                  <w:vAlign w:val="center"/>
                </w:tcPr>
                <w:p>
                  <w:pPr>
                    <w:pStyle w:val="6"/>
                    <w:suppressLineNumbers w:val="0"/>
                    <w:bidi w:val="0"/>
                    <w:spacing w:before="0" w:beforeAutospacing="0" w:after="0" w:afterAutospacing="0"/>
                    <w:ind w:left="0" w:right="0"/>
                    <w:rPr>
                      <w:rFonts w:hint="default" w:cs="Times New Roman"/>
                      <w:lang w:val="en-US" w:eastAsia="zh-CN"/>
                    </w:rPr>
                  </w:pPr>
                  <w:r>
                    <w:rPr>
                      <w:rFonts w:hint="eastAsia" w:cs="Times New Roman"/>
                      <w:lang w:val="en-US" w:eastAsia="zh-CN"/>
                    </w:rPr>
                    <w:t>/</w:t>
                  </w:r>
                </w:p>
              </w:tc>
            </w:tr>
          </w:tbl>
          <w:p>
            <w:pPr>
              <w:pStyle w:val="5"/>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表2-</w:t>
            </w:r>
            <w:r>
              <w:rPr>
                <w:rFonts w:hint="eastAsia" w:cs="Times New Roman"/>
                <w:lang w:val="en-US" w:eastAsia="zh-CN"/>
              </w:rPr>
              <w:t>5</w:t>
            </w:r>
            <w:r>
              <w:rPr>
                <w:rFonts w:hint="default" w:ascii="Times New Roman" w:hAnsi="Times New Roman" w:cs="Times New Roman"/>
                <w:lang w:val="en-US" w:eastAsia="zh-CN"/>
              </w:rPr>
              <w:t xml:space="preserve">  项目物料平衡表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777"/>
              <w:gridCol w:w="1704"/>
              <w:gridCol w:w="1743"/>
              <w:gridCol w:w="1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7" w:type="pct"/>
                  <w:gridSpan w:val="3"/>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投入</w:t>
                  </w:r>
                </w:p>
              </w:tc>
              <w:tc>
                <w:tcPr>
                  <w:tcW w:w="2162" w:type="pct"/>
                  <w:gridSpan w:val="2"/>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生产线</w:t>
                  </w:r>
                </w:p>
              </w:tc>
              <w:tc>
                <w:tcPr>
                  <w:tcW w:w="1145"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物料名称</w:t>
                  </w:r>
                </w:p>
              </w:tc>
              <w:tc>
                <w:tcPr>
                  <w:tcW w:w="1098"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年耗量（t/a）</w:t>
                  </w:r>
                </w:p>
              </w:tc>
              <w:tc>
                <w:tcPr>
                  <w:tcW w:w="1123"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物料名称</w:t>
                  </w:r>
                </w:p>
              </w:tc>
              <w:tc>
                <w:tcPr>
                  <w:tcW w:w="1039"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restar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检查井、化粪池/消防池</w:t>
                  </w:r>
                </w:p>
              </w:tc>
              <w:tc>
                <w:tcPr>
                  <w:tcW w:w="1145" w:type="pct"/>
                  <w:noWrap w:val="0"/>
                  <w:vAlign w:val="center"/>
                </w:tcPr>
                <w:p>
                  <w:pPr>
                    <w:pStyle w:val="17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sz w:val="21"/>
                      <w:szCs w:val="21"/>
                      <w:highlight w:val="none"/>
                      <w:lang w:val="en-US" w:eastAsia="zh-CN"/>
                    </w:rPr>
                    <w:t>钢材原料</w:t>
                  </w:r>
                </w:p>
              </w:tc>
              <w:tc>
                <w:tcPr>
                  <w:tcW w:w="1098" w:type="pct"/>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eastAsia" w:cs="Times New Roman"/>
                      <w:highlight w:val="none"/>
                      <w:lang w:val="en-US" w:eastAsia="zh-CN"/>
                    </w:rPr>
                    <w:t>1001</w:t>
                  </w:r>
                </w:p>
              </w:tc>
              <w:tc>
                <w:tcPr>
                  <w:tcW w:w="1123"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钢材废料</w:t>
                  </w:r>
                </w:p>
              </w:tc>
              <w:tc>
                <w:tcPr>
                  <w:tcW w:w="1039"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1145" w:type="pct"/>
                  <w:noWrap w:val="0"/>
                  <w:vAlign w:val="center"/>
                </w:tcPr>
                <w:p>
                  <w:pPr>
                    <w:pStyle w:val="17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sz w:val="21"/>
                      <w:szCs w:val="21"/>
                      <w:highlight w:val="none"/>
                      <w:lang w:val="en-US" w:eastAsia="zh-CN"/>
                    </w:rPr>
                    <w:t>水泥</w:t>
                  </w:r>
                </w:p>
              </w:tc>
              <w:tc>
                <w:tcPr>
                  <w:tcW w:w="1098" w:type="pct"/>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eastAsia" w:cs="Times New Roman"/>
                      <w:highlight w:val="none"/>
                      <w:lang w:val="en-US" w:eastAsia="zh-CN"/>
                    </w:rPr>
                    <w:t>26400</w:t>
                  </w:r>
                </w:p>
              </w:tc>
              <w:tc>
                <w:tcPr>
                  <w:tcW w:w="1123" w:type="pct"/>
                  <w:vMerge w:val="restart"/>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highlight w:val="none"/>
                      <w:lang w:val="en-US" w:eastAsia="zh-CN" w:bidi="ar-SA"/>
                    </w:rPr>
                  </w:pPr>
                  <w:r>
                    <w:rPr>
                      <w:rFonts w:hint="default" w:ascii="Times New Roman" w:hAnsi="Times New Roman" w:eastAsia="宋体" w:cs="Times New Roman"/>
                      <w:kern w:val="2"/>
                      <w:sz w:val="21"/>
                      <w:szCs w:val="20"/>
                      <w:highlight w:val="none"/>
                      <w:lang w:val="en-US" w:eastAsia="zh-CN" w:bidi="ar-SA"/>
                    </w:rPr>
                    <w:t>检查井、化粪池/消防池</w:t>
                  </w:r>
                </w:p>
              </w:tc>
              <w:tc>
                <w:tcPr>
                  <w:tcW w:w="1039" w:type="pct"/>
                  <w:vMerge w:val="restart"/>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highlight w:val="none"/>
                      <w:lang w:val="en-US" w:eastAsia="zh-CN" w:bidi="ar-SA"/>
                    </w:rPr>
                  </w:pPr>
                  <w:r>
                    <w:rPr>
                      <w:rFonts w:hint="eastAsia" w:cs="Times New Roman"/>
                      <w:kern w:val="2"/>
                      <w:sz w:val="21"/>
                      <w:szCs w:val="20"/>
                      <w:highlight w:val="none"/>
                      <w:lang w:val="en-US" w:eastAsia="zh-CN" w:bidi="ar-SA"/>
                    </w:rPr>
                    <w:t>146400（含水2000）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7" w:hRule="atLeast"/>
                <w:jc w:val="center"/>
              </w:trPr>
              <w:tc>
                <w:tcPr>
                  <w:tcW w:w="594"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1145" w:type="pct"/>
                  <w:noWrap w:val="0"/>
                  <w:vAlign w:val="center"/>
                </w:tcPr>
                <w:p>
                  <w:pPr>
                    <w:pStyle w:val="17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sz w:val="21"/>
                      <w:szCs w:val="21"/>
                      <w:highlight w:val="none"/>
                      <w:lang w:val="en-US" w:eastAsia="zh-CN"/>
                    </w:rPr>
                    <w:t>砂子</w:t>
                  </w:r>
                </w:p>
              </w:tc>
              <w:tc>
                <w:tcPr>
                  <w:tcW w:w="1098" w:type="pct"/>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eastAsia" w:cs="Times New Roman"/>
                      <w:highlight w:val="none"/>
                      <w:lang w:val="en-US" w:eastAsia="zh-CN"/>
                    </w:rPr>
                    <w:t>74000</w:t>
                  </w:r>
                </w:p>
              </w:tc>
              <w:tc>
                <w:tcPr>
                  <w:tcW w:w="1123" w:type="pct"/>
                  <w:vMerge w:val="continue"/>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highlight w:val="none"/>
                      <w:lang w:val="en-US" w:eastAsia="zh-CN" w:bidi="ar-SA"/>
                    </w:rPr>
                  </w:pPr>
                </w:p>
              </w:tc>
              <w:tc>
                <w:tcPr>
                  <w:tcW w:w="1039" w:type="pct"/>
                  <w:vMerge w:val="continue"/>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1145" w:type="pct"/>
                  <w:noWrap w:val="0"/>
                  <w:vAlign w:val="center"/>
                </w:tcPr>
                <w:p>
                  <w:pPr>
                    <w:pStyle w:val="17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sz w:val="21"/>
                      <w:szCs w:val="21"/>
                      <w:highlight w:val="none"/>
                      <w:lang w:val="en-US" w:eastAsia="zh-CN"/>
                    </w:rPr>
                    <w:t>石子</w:t>
                  </w:r>
                </w:p>
              </w:tc>
              <w:tc>
                <w:tcPr>
                  <w:tcW w:w="1098" w:type="pct"/>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eastAsia" w:cs="Times New Roman"/>
                      <w:highlight w:val="none"/>
                      <w:lang w:val="en-US" w:eastAsia="zh-CN"/>
                    </w:rPr>
                    <w:t>43000</w:t>
                  </w:r>
                </w:p>
              </w:tc>
              <w:tc>
                <w:tcPr>
                  <w:tcW w:w="1123"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1039"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94"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1145" w:type="pct"/>
                  <w:noWrap w:val="0"/>
                  <w:vAlign w:val="center"/>
                </w:tcPr>
                <w:p>
                  <w:pPr>
                    <w:pStyle w:val="17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水</w:t>
                  </w:r>
                </w:p>
              </w:tc>
              <w:tc>
                <w:tcPr>
                  <w:tcW w:w="1098" w:type="pct"/>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cs="Times New Roman"/>
                      <w:highlight w:val="none"/>
                      <w:lang w:val="en-US" w:eastAsia="zh-CN"/>
                    </w:rPr>
                  </w:pPr>
                  <w:r>
                    <w:rPr>
                      <w:rFonts w:hint="eastAsia" w:cs="Times New Roman"/>
                      <w:highlight w:val="none"/>
                      <w:lang w:val="en-US" w:eastAsia="zh-CN"/>
                    </w:rPr>
                    <w:t>6051</w:t>
                  </w:r>
                </w:p>
              </w:tc>
              <w:tc>
                <w:tcPr>
                  <w:tcW w:w="1123"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水蒸发</w:t>
                  </w:r>
                </w:p>
              </w:tc>
              <w:tc>
                <w:tcPr>
                  <w:tcW w:w="1039"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4051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739" w:type="pct"/>
                  <w:gridSpan w:val="2"/>
                  <w:noWrap w:val="0"/>
                  <w:vAlign w:val="center"/>
                </w:tcPr>
                <w:p>
                  <w:pPr>
                    <w:pStyle w:val="7"/>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合计</w:t>
                  </w:r>
                </w:p>
              </w:tc>
              <w:tc>
                <w:tcPr>
                  <w:tcW w:w="1098" w:type="pct"/>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highlight w:val="none"/>
                      <w:lang w:val="en-US" w:eastAsia="zh-CN" w:bidi="ar-SA"/>
                    </w:rPr>
                  </w:pPr>
                  <w:r>
                    <w:rPr>
                      <w:rFonts w:hint="eastAsia"/>
                      <w:lang w:val="en-US" w:eastAsia="zh-CN"/>
                    </w:rPr>
                    <w:t>150452</w:t>
                  </w:r>
                </w:p>
              </w:tc>
              <w:tc>
                <w:tcPr>
                  <w:tcW w:w="1123" w:type="pct"/>
                  <w:noWrap w:val="0"/>
                  <w:vAlign w:val="center"/>
                </w:tcPr>
                <w:p>
                  <w:pPr>
                    <w:pStyle w:val="7"/>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合计</w:t>
                  </w:r>
                </w:p>
              </w:tc>
              <w:tc>
                <w:tcPr>
                  <w:tcW w:w="1039" w:type="pct"/>
                  <w:noWrap w:val="0"/>
                  <w:vAlign w:val="center"/>
                </w:tcPr>
                <w:p>
                  <w:pPr>
                    <w:pStyle w:val="7"/>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eastAsia" w:cs="Times New Roman"/>
                      <w:highlight w:val="none"/>
                      <w:lang w:val="en-US" w:eastAsia="zh-CN"/>
                    </w:rPr>
                    <w:t>150452</w:t>
                  </w:r>
                </w:p>
              </w:tc>
            </w:tr>
          </w:tbl>
          <w:p>
            <w:pPr>
              <w:pStyle w:val="4"/>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w:t>
            </w:r>
            <w:r>
              <w:rPr>
                <w:rFonts w:hint="default" w:ascii="Times New Roman" w:hAnsi="Times New Roman" w:cs="Times New Roman"/>
                <w:lang w:val="en-US" w:eastAsia="zh-CN"/>
              </w:rPr>
              <w:t xml:space="preserve">5 </w:t>
            </w:r>
            <w:r>
              <w:rPr>
                <w:rFonts w:hint="default" w:ascii="Times New Roman" w:hAnsi="Times New Roman" w:cs="Times New Roman"/>
              </w:rPr>
              <w:t>劳动定员</w:t>
            </w:r>
            <w:r>
              <w:rPr>
                <w:rFonts w:hint="default" w:ascii="Times New Roman" w:hAnsi="Times New Roman" w:cs="Times New Roman"/>
                <w:lang w:val="zh-CN"/>
              </w:rPr>
              <w:t>及生产制度</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rPr>
              <w:t>项目劳动定员为</w:t>
            </w:r>
            <w:r>
              <w:rPr>
                <w:rFonts w:hint="eastAsia" w:cs="Times New Roman"/>
                <w:lang w:val="en-US" w:eastAsia="zh-CN"/>
              </w:rPr>
              <w:t>10</w:t>
            </w:r>
            <w:r>
              <w:rPr>
                <w:rFonts w:hint="default" w:ascii="Times New Roman" w:hAnsi="Times New Roman" w:cs="Times New Roman"/>
              </w:rPr>
              <w:t>人，</w:t>
            </w:r>
            <w:r>
              <w:rPr>
                <w:rFonts w:hint="default" w:ascii="Times New Roman" w:hAnsi="Times New Roman" w:cs="Times New Roman"/>
                <w:lang w:val="en-US" w:eastAsia="zh-CN"/>
              </w:rPr>
              <w:t>厂区食宿，</w:t>
            </w:r>
            <w:r>
              <w:rPr>
                <w:rFonts w:hint="default" w:ascii="Times New Roman" w:hAnsi="Times New Roman" w:cs="Times New Roman"/>
              </w:rPr>
              <w:t>年工作天数为</w:t>
            </w:r>
            <w:r>
              <w:rPr>
                <w:rFonts w:hint="default" w:ascii="Times New Roman" w:hAnsi="Times New Roman" w:cs="Times New Roman"/>
                <w:lang w:val="en-US" w:eastAsia="zh-CN"/>
              </w:rPr>
              <w:t>2</w:t>
            </w:r>
            <w:r>
              <w:rPr>
                <w:rFonts w:hint="eastAsia" w:cs="Times New Roman"/>
                <w:lang w:val="en-US" w:eastAsia="zh-CN"/>
              </w:rPr>
              <w:t>4</w:t>
            </w:r>
            <w:r>
              <w:rPr>
                <w:rFonts w:hint="default" w:ascii="Times New Roman" w:hAnsi="Times New Roman" w:cs="Times New Roman"/>
                <w:lang w:val="en-US" w:eastAsia="zh-CN"/>
              </w:rPr>
              <w:t>0</w:t>
            </w:r>
            <w:r>
              <w:rPr>
                <w:rFonts w:hint="default" w:ascii="Times New Roman" w:hAnsi="Times New Roman" w:cs="Times New Roman"/>
              </w:rPr>
              <w:t>天，</w:t>
            </w:r>
            <w:r>
              <w:rPr>
                <w:rFonts w:hint="default" w:ascii="Times New Roman" w:hAnsi="Times New Roman" w:cs="Times New Roman"/>
                <w:lang w:val="en-US" w:eastAsia="zh-CN"/>
              </w:rPr>
              <w:t>冬季不生产，每天1班次，</w:t>
            </w:r>
            <w:r>
              <w:rPr>
                <w:rFonts w:hint="default" w:ascii="Times New Roman" w:hAnsi="Times New Roman" w:cs="Times New Roman"/>
              </w:rPr>
              <w:t>每班工作8h</w:t>
            </w:r>
            <w:r>
              <w:rPr>
                <w:rFonts w:hint="default" w:ascii="Times New Roman" w:hAnsi="Times New Roman" w:cs="Times New Roman"/>
                <w:lang w:eastAsia="zh-CN"/>
              </w:rPr>
              <w:t>，</w:t>
            </w:r>
            <w:r>
              <w:rPr>
                <w:rFonts w:hint="default" w:ascii="Times New Roman" w:hAnsi="Times New Roman" w:cs="Times New Roman"/>
                <w:lang w:val="en-US" w:eastAsia="zh-CN"/>
              </w:rPr>
              <w:t>年工作</w:t>
            </w:r>
            <w:r>
              <w:rPr>
                <w:rFonts w:hint="eastAsia" w:cs="Times New Roman"/>
                <w:lang w:val="en-US" w:eastAsia="zh-CN"/>
              </w:rPr>
              <w:t>1920</w:t>
            </w:r>
            <w:r>
              <w:rPr>
                <w:rFonts w:hint="default" w:ascii="Times New Roman" w:hAnsi="Times New Roman" w:cs="Times New Roman"/>
                <w:lang w:val="en-US" w:eastAsia="zh-CN"/>
              </w:rPr>
              <w:t>小时。</w:t>
            </w:r>
          </w:p>
          <w:p>
            <w:pPr>
              <w:keepNext w:val="0"/>
              <w:keepLines w:val="0"/>
              <w:suppressLineNumbers w:val="0"/>
              <w:spacing w:before="0" w:beforeAutospacing="0" w:after="0" w:afterAutospacing="0" w:line="520" w:lineRule="exact"/>
              <w:ind w:left="0" w:right="0"/>
              <w:rPr>
                <w:rFonts w:hint="default" w:ascii="Times New Roman" w:hAnsi="Times New Roman" w:cs="Times New Roman"/>
                <w:b/>
                <w:bCs/>
                <w:color w:val="000000"/>
                <w:sz w:val="28"/>
                <w:highlight w:val="none"/>
              </w:rPr>
            </w:pPr>
            <w:r>
              <w:rPr>
                <w:rStyle w:val="50"/>
                <w:rFonts w:hint="default" w:ascii="Times New Roman" w:hAnsi="Times New Roman" w:cs="Times New Roman"/>
                <w:lang w:val="en-US" w:eastAsia="zh-CN"/>
              </w:rPr>
              <w:t>3</w:t>
            </w:r>
            <w:r>
              <w:rPr>
                <w:rStyle w:val="50"/>
                <w:rFonts w:hint="default" w:ascii="Times New Roman" w:hAnsi="Times New Roman" w:cs="Times New Roman"/>
              </w:rPr>
              <w:t>.</w:t>
            </w:r>
            <w:r>
              <w:rPr>
                <w:rStyle w:val="50"/>
                <w:rFonts w:hint="default" w:ascii="Times New Roman" w:hAnsi="Times New Roman" w:cs="Times New Roman"/>
                <w:lang w:val="en-US" w:eastAsia="zh-CN"/>
              </w:rPr>
              <w:t xml:space="preserve">6 </w:t>
            </w:r>
            <w:r>
              <w:rPr>
                <w:rStyle w:val="50"/>
                <w:rFonts w:hint="default" w:ascii="Times New Roman" w:hAnsi="Times New Roman" w:cs="Times New Roman"/>
              </w:rPr>
              <w:t>项目给排水情况</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项目</w:t>
            </w:r>
            <w:r>
              <w:rPr>
                <w:rFonts w:hint="default" w:ascii="Times New Roman" w:hAnsi="Times New Roman" w:cs="Times New Roman"/>
              </w:rPr>
              <w:t>用水主要为</w:t>
            </w:r>
            <w:r>
              <w:rPr>
                <w:rFonts w:hint="default" w:ascii="Times New Roman" w:hAnsi="Times New Roman" w:cs="Times New Roman"/>
                <w:lang w:val="en-US" w:eastAsia="zh-CN"/>
              </w:rPr>
              <w:t>脱模剂配置用水、水性防腐涂料配置用水</w:t>
            </w:r>
            <w:r>
              <w:rPr>
                <w:rFonts w:hint="eastAsia" w:cs="Times New Roman"/>
                <w:lang w:val="en-US" w:eastAsia="zh-CN"/>
              </w:rPr>
              <w:t>、</w:t>
            </w:r>
            <w:r>
              <w:rPr>
                <w:rFonts w:hint="default" w:ascii="Times New Roman" w:hAnsi="Times New Roman" w:cs="Times New Roman"/>
              </w:rPr>
              <w:t>搅拌用水、搅拌设备清洗用水、</w:t>
            </w:r>
            <w:r>
              <w:rPr>
                <w:rFonts w:hint="default" w:ascii="Times New Roman" w:hAnsi="Times New Roman" w:cs="Times New Roman"/>
                <w:lang w:val="en-US" w:eastAsia="zh-CN"/>
              </w:rPr>
              <w:t>模具清洗用水、洒水降尘用水</w:t>
            </w:r>
            <w:r>
              <w:rPr>
                <w:rFonts w:hint="eastAsia" w:cs="Times New Roman"/>
                <w:lang w:val="en-US" w:eastAsia="zh-CN"/>
              </w:rPr>
              <w:t>、成品养护用水</w:t>
            </w:r>
            <w:r>
              <w:rPr>
                <w:rFonts w:hint="default" w:ascii="Times New Roman" w:hAnsi="Times New Roman" w:cs="Times New Roman"/>
                <w:lang w:val="en-US" w:eastAsia="zh-CN"/>
              </w:rPr>
              <w:t>和生活</w:t>
            </w:r>
            <w:r>
              <w:rPr>
                <w:rFonts w:hint="default" w:ascii="Times New Roman" w:hAnsi="Times New Roman" w:cs="Times New Roman"/>
              </w:rPr>
              <w:t>用水。</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（1）脱模剂配置用水</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根据业主提供资料，本项目脱模剂需溶于水中形成脱模剂溶液后使用，比例为1:50，年使用脱模剂为1t，则脱模剂配置用水为50m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/a，用水全部蒸发，不外排。</w:t>
            </w:r>
          </w:p>
          <w:p>
            <w:pPr>
              <w:keepNext w:val="0"/>
              <w:keepLines w:val="0"/>
              <w:suppressLineNumbers w:val="0"/>
              <w:bidi w:val="0"/>
              <w:spacing w:before="0" w:beforeAutospacing="0" w:after="0" w:afterAutospacing="0"/>
              <w:ind w:left="0" w:right="0"/>
              <w:rPr>
                <w:rFonts w:hint="eastAsia" w:cs="Times New Roman"/>
                <w:lang w:val="en-US" w:eastAsia="zh-CN"/>
              </w:rPr>
            </w:pPr>
            <w:r>
              <w:rPr>
                <w:rFonts w:hint="eastAsia" w:cs="Times New Roman"/>
                <w:lang w:val="en-US" w:eastAsia="zh-CN"/>
              </w:rPr>
              <w:t>（2）水性防腐涂料配置用水</w:t>
            </w:r>
          </w:p>
          <w:p>
            <w:pPr>
              <w:keepNext w:val="0"/>
              <w:keepLines w:val="0"/>
              <w:suppressLineNumbers w:val="0"/>
              <w:bidi w:val="0"/>
              <w:spacing w:before="0" w:beforeAutospacing="0" w:after="0" w:afterAutospacing="0"/>
              <w:ind w:left="0" w:right="0"/>
              <w:rPr>
                <w:rFonts w:hint="eastAsia" w:cs="Times New Roman"/>
                <w:lang w:val="en-US" w:eastAsia="zh-CN"/>
              </w:rPr>
            </w:pPr>
            <w:r>
              <w:rPr>
                <w:rFonts w:hint="eastAsia" w:cs="Times New Roman"/>
                <w:lang w:val="en-US" w:eastAsia="zh-CN"/>
              </w:rPr>
              <w:t>根据业主提供的资料，水性防腐涂料配置用水1m</w:t>
            </w:r>
            <w:r>
              <w:rPr>
                <w:rFonts w:hint="eastAsia" w:cs="Times New Roman"/>
                <w:vertAlign w:val="superscript"/>
                <w:lang w:val="en-US" w:eastAsia="zh-CN"/>
              </w:rPr>
              <w:t>3</w:t>
            </w:r>
            <w:r>
              <w:rPr>
                <w:rFonts w:hint="eastAsia" w:cs="Times New Roman"/>
                <w:lang w:val="en-US" w:eastAsia="zh-CN"/>
              </w:rPr>
              <w:t>/a，此部分用水进入产品，或蒸发，不外排。</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w:t>
            </w:r>
            <w:r>
              <w:rPr>
                <w:rFonts w:hint="eastAsia" w:cs="Times New Roman"/>
                <w:lang w:val="en-US" w:eastAsia="zh-CN"/>
              </w:rPr>
              <w:t>3</w:t>
            </w:r>
            <w:r>
              <w:rPr>
                <w:rFonts w:hint="default" w:ascii="Times New Roman" w:hAnsi="Times New Roman" w:cs="Times New Roman"/>
              </w:rPr>
              <w:t>）搅拌用水</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根据业主提供的资料，生产时搅拌工序用水</w:t>
            </w:r>
            <w:r>
              <w:rPr>
                <w:rFonts w:hint="eastAsia" w:cs="Times New Roman"/>
                <w:lang w:val="en-US" w:eastAsia="zh-CN"/>
              </w:rPr>
              <w:t>6000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/a，此部分用水进入产品，</w:t>
            </w:r>
            <w:r>
              <w:rPr>
                <w:rFonts w:hint="default" w:ascii="Times New Roman" w:hAnsi="Times New Roman" w:cs="Times New Roman"/>
                <w:lang w:val="en-US" w:eastAsia="zh-CN"/>
              </w:rPr>
              <w:t>或蒸发，不外排</w:t>
            </w:r>
            <w:r>
              <w:rPr>
                <w:rFonts w:hint="default" w:ascii="Times New Roman" w:hAnsi="Times New Roman" w:cs="Times New Roman"/>
              </w:rPr>
              <w:t>。</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w:t>
            </w:r>
            <w:r>
              <w:rPr>
                <w:rFonts w:hint="eastAsia" w:cs="Times New Roman"/>
                <w:lang w:val="en-US" w:eastAsia="zh-CN"/>
              </w:rPr>
              <w:t>4</w:t>
            </w:r>
            <w:r>
              <w:rPr>
                <w:rFonts w:hint="default" w:ascii="Times New Roman" w:hAnsi="Times New Roman" w:cs="Times New Roman"/>
              </w:rPr>
              <w:t>）搅拌设备清洗用水</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rPr>
              <w:t>搅拌设备在停止生产后，为利于下次生产，</w:t>
            </w:r>
            <w:r>
              <w:rPr>
                <w:rFonts w:hint="default" w:ascii="Times New Roman" w:hAnsi="Times New Roman" w:cs="Times New Roman"/>
                <w:lang w:eastAsia="zh-CN"/>
              </w:rPr>
              <w:t>搅拌器</w:t>
            </w:r>
            <w:r>
              <w:rPr>
                <w:rFonts w:hint="default" w:ascii="Times New Roman" w:hAnsi="Times New Roman" w:cs="Times New Roman"/>
              </w:rPr>
              <w:t>需要清洗干净。按</w:t>
            </w:r>
            <w:r>
              <w:rPr>
                <w:rFonts w:hint="default" w:ascii="Times New Roman" w:hAnsi="Times New Roman" w:cs="Times New Roman"/>
                <w:lang w:eastAsia="zh-CN"/>
              </w:rPr>
              <w:t>搅拌器</w:t>
            </w:r>
            <w:r>
              <w:rPr>
                <w:rFonts w:hint="default" w:ascii="Times New Roman" w:hAnsi="Times New Roman" w:cs="Times New Roman"/>
              </w:rPr>
              <w:t>平均每天</w:t>
            </w:r>
            <w:r>
              <w:rPr>
                <w:rFonts w:hint="default" w:ascii="Times New Roman" w:hAnsi="Times New Roman" w:cs="Times New Roman"/>
                <w:lang w:val="en-US" w:eastAsia="zh-CN"/>
              </w:rPr>
              <w:t>清洗</w:t>
            </w:r>
            <w:r>
              <w:rPr>
                <w:rFonts w:hint="default" w:ascii="Times New Roman" w:hAnsi="Times New Roman" w:cs="Times New Roman"/>
              </w:rPr>
              <w:t>一次，每次</w:t>
            </w:r>
            <w:r>
              <w:rPr>
                <w:rFonts w:hint="default" w:ascii="Times New Roman" w:hAnsi="Times New Roman" w:cs="Times New Roman"/>
                <w:lang w:val="en-US" w:eastAsia="zh-CN"/>
              </w:rPr>
              <w:t>清洗</w:t>
            </w:r>
            <w:r>
              <w:rPr>
                <w:rFonts w:hint="default" w:ascii="Times New Roman" w:hAnsi="Times New Roman" w:cs="Times New Roman"/>
              </w:rPr>
              <w:t>水</w:t>
            </w:r>
            <w:r>
              <w:rPr>
                <w:rFonts w:hint="default" w:ascii="Times New Roman" w:hAnsi="Times New Roman" w:cs="Times New Roman"/>
                <w:lang w:val="en-US" w:eastAsia="zh-CN"/>
              </w:rPr>
              <w:t>用量为</w:t>
            </w:r>
            <w:r>
              <w:rPr>
                <w:rFonts w:hint="default" w:ascii="Times New Roman" w:hAnsi="Times New Roman" w:cs="Times New Roman"/>
              </w:rPr>
              <w:t>1.0m</w:t>
            </w:r>
            <w:r>
              <w:rPr>
                <w:rFonts w:hint="default" w:ascii="Times New Roman" w:hAnsi="Times New Roman" w:cs="Times New Roman"/>
                <w:vertAlign w:val="superscript"/>
              </w:rPr>
              <w:t>3</w:t>
            </w:r>
            <w:r>
              <w:rPr>
                <w:rFonts w:hint="default" w:ascii="Times New Roman" w:hAnsi="Times New Roman" w:cs="Times New Roman"/>
              </w:rPr>
              <w:t>，年用水量</w:t>
            </w:r>
            <w:r>
              <w:rPr>
                <w:rFonts w:hint="default" w:ascii="Times New Roman" w:hAnsi="Times New Roman" w:cs="Times New Roman"/>
                <w:lang w:val="en-US" w:eastAsia="zh-CN"/>
              </w:rPr>
              <w:t>2</w:t>
            </w:r>
            <w:r>
              <w:rPr>
                <w:rFonts w:hint="eastAsia" w:cs="Times New Roman"/>
                <w:lang w:val="en-US" w:eastAsia="zh-CN"/>
              </w:rPr>
              <w:t>4</w:t>
            </w:r>
            <w:r>
              <w:rPr>
                <w:rFonts w:hint="default" w:ascii="Times New Roman" w:hAnsi="Times New Roman" w:cs="Times New Roman"/>
                <w:lang w:val="en-US" w:eastAsia="zh-CN"/>
              </w:rPr>
              <w:t>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/a。废水产生量按用水量的0.</w:t>
            </w:r>
            <w:r>
              <w:rPr>
                <w:rFonts w:hint="default" w:ascii="Times New Roman" w:hAnsi="Times New Roman" w:cs="Times New Roman"/>
                <w:lang w:val="en-US" w:eastAsia="zh-CN"/>
              </w:rPr>
              <w:t>8</w:t>
            </w:r>
            <w:r>
              <w:rPr>
                <w:rFonts w:hint="default" w:ascii="Times New Roman" w:hAnsi="Times New Roman" w:cs="Times New Roman"/>
              </w:rPr>
              <w:t>计，废水产生量为</w:t>
            </w:r>
            <w:r>
              <w:rPr>
                <w:rFonts w:hint="default" w:ascii="Times New Roman" w:hAnsi="Times New Roman" w:cs="Times New Roman"/>
                <w:lang w:val="en-US" w:eastAsia="zh-CN"/>
              </w:rPr>
              <w:t>0.8</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w:t>
            </w:r>
            <w:r>
              <w:rPr>
                <w:rFonts w:hint="eastAsia" w:cs="Times New Roman"/>
                <w:lang w:val="en-US" w:eastAsia="zh-CN"/>
              </w:rPr>
              <w:t>192</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/a）。</w:t>
            </w:r>
            <w:r>
              <w:rPr>
                <w:rFonts w:hint="default" w:ascii="Times New Roman" w:hAnsi="Times New Roman" w:cs="Times New Roman"/>
                <w:lang w:val="en-US" w:eastAsia="zh-CN"/>
              </w:rPr>
              <w:t>排入沉淀池沉淀后，用于成品养护，不外排。</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cs="Times New Roman"/>
                <w:lang w:val="en-US" w:eastAsia="zh-CN"/>
              </w:rPr>
              <w:t>5</w:t>
            </w:r>
            <w:r>
              <w:rPr>
                <w:rFonts w:hint="default" w:ascii="Times New Roman" w:hAnsi="Times New Roman" w:cs="Times New Roman"/>
                <w:lang w:val="en-US" w:eastAsia="zh-CN"/>
              </w:rPr>
              <w:t>）模具清洗用水</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根据业主提供资料，项目模具清洗用水量为0.5m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/d（1</w:t>
            </w:r>
            <w:r>
              <w:rPr>
                <w:rFonts w:hint="eastAsia" w:cs="Times New Roman"/>
                <w:lang w:val="en-US" w:eastAsia="zh-CN"/>
              </w:rPr>
              <w:t>20</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/a），废水产生量按用水量的0.8计。则模具废水的产生量为0.4m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w:t>
            </w:r>
            <w:r>
              <w:rPr>
                <w:rFonts w:hint="eastAsia" w:cs="Times New Roman"/>
                <w:lang w:val="en-US" w:eastAsia="zh-CN"/>
              </w:rPr>
              <w:t>96</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/a），排入沉淀池沉淀后，用于成品养护，不外排。</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cs="Times New Roman"/>
                <w:lang w:val="en-US" w:eastAsia="zh-CN"/>
              </w:rPr>
              <w:t>6</w:t>
            </w:r>
            <w:r>
              <w:rPr>
                <w:rFonts w:hint="default" w:ascii="Times New Roman" w:hAnsi="Times New Roman" w:cs="Times New Roman"/>
                <w:lang w:val="en-US" w:eastAsia="zh-CN"/>
              </w:rPr>
              <w:t>）洒水降尘用水</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根据业主提供资料，本项目洒水降尘用水量为0.5m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w:t>
            </w:r>
            <w:r>
              <w:rPr>
                <w:rFonts w:hint="eastAsia" w:cs="Times New Roman"/>
                <w:lang w:val="en-US" w:eastAsia="zh-CN"/>
              </w:rPr>
              <w:t>120</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/a），用水全部自然蒸发，不外排。</w:t>
            </w:r>
          </w:p>
          <w:p>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w:t>
            </w:r>
            <w:r>
              <w:rPr>
                <w:rFonts w:hint="eastAsia"/>
                <w:lang w:val="en-US" w:eastAsia="zh-CN"/>
              </w:rPr>
              <w:t>7</w:t>
            </w:r>
            <w:r>
              <w:rPr>
                <w:rFonts w:hint="default"/>
                <w:lang w:val="en-US" w:eastAsia="zh-CN"/>
              </w:rPr>
              <w:t>）成品养护用水</w:t>
            </w:r>
          </w:p>
          <w:p>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根据业主提供资料，本项目</w:t>
            </w:r>
            <w:r>
              <w:rPr>
                <w:rFonts w:hint="eastAsia"/>
                <w:highlight w:val="none"/>
                <w:lang w:val="en-US" w:eastAsia="zh-CN"/>
              </w:rPr>
              <w:t>成品养护</w:t>
            </w:r>
            <w:r>
              <w:rPr>
                <w:rFonts w:hint="default"/>
                <w:highlight w:val="none"/>
                <w:lang w:val="en-US" w:eastAsia="zh-CN"/>
              </w:rPr>
              <w:t>用水量</w:t>
            </w:r>
            <w:r>
              <w:rPr>
                <w:rFonts w:hint="default"/>
                <w:lang w:val="en-US" w:eastAsia="zh-CN"/>
              </w:rPr>
              <w:t>为1.5m</w:t>
            </w:r>
            <w:r>
              <w:rPr>
                <w:rFonts w:hint="default"/>
                <w:vertAlign w:val="superscript"/>
                <w:lang w:val="en-US" w:eastAsia="zh-CN"/>
              </w:rPr>
              <w:t>3</w:t>
            </w:r>
            <w:r>
              <w:rPr>
                <w:rFonts w:hint="default"/>
                <w:lang w:val="en-US" w:eastAsia="zh-CN"/>
              </w:rPr>
              <w:t>/d，年用水量为360m</w:t>
            </w:r>
            <w:r>
              <w:rPr>
                <w:rFonts w:hint="default"/>
                <w:vertAlign w:val="superscript"/>
                <w:lang w:val="en-US" w:eastAsia="zh-CN"/>
              </w:rPr>
              <w:t>3</w:t>
            </w:r>
            <w:r>
              <w:rPr>
                <w:rFonts w:hint="default"/>
                <w:lang w:val="en-US" w:eastAsia="zh-CN"/>
              </w:rPr>
              <w:t>（其中288m</w:t>
            </w:r>
            <w:r>
              <w:rPr>
                <w:rFonts w:hint="default"/>
                <w:vertAlign w:val="superscript"/>
                <w:lang w:val="en-US" w:eastAsia="zh-CN"/>
              </w:rPr>
              <w:t>3</w:t>
            </w:r>
            <w:r>
              <w:rPr>
                <w:rFonts w:hint="default"/>
                <w:lang w:val="en-US" w:eastAsia="zh-CN"/>
              </w:rPr>
              <w:t>来自沉淀池回用水，72m</w:t>
            </w:r>
            <w:r>
              <w:rPr>
                <w:rFonts w:hint="default"/>
                <w:vertAlign w:val="superscript"/>
                <w:lang w:val="en-US" w:eastAsia="zh-CN"/>
              </w:rPr>
              <w:t>3</w:t>
            </w:r>
            <w:r>
              <w:rPr>
                <w:rFonts w:hint="default"/>
                <w:lang w:val="en-US" w:eastAsia="zh-CN"/>
              </w:rPr>
              <w:t>为新鲜水），用水全部自然蒸发，不外排。</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w:t>
            </w:r>
            <w:r>
              <w:rPr>
                <w:rFonts w:hint="eastAsia" w:cs="Times New Roman"/>
                <w:lang w:val="en-US" w:eastAsia="zh-CN"/>
              </w:rPr>
              <w:t>8</w:t>
            </w:r>
            <w:r>
              <w:rPr>
                <w:rFonts w:hint="default" w:ascii="Times New Roman" w:hAnsi="Times New Roman" w:cs="Times New Roman"/>
              </w:rPr>
              <w:t>）</w:t>
            </w:r>
            <w:r>
              <w:rPr>
                <w:rFonts w:hint="default" w:ascii="Times New Roman" w:hAnsi="Times New Roman" w:cs="Times New Roman"/>
                <w:lang w:val="en-US" w:eastAsia="zh-CN"/>
              </w:rPr>
              <w:t>生活</w:t>
            </w:r>
            <w:r>
              <w:rPr>
                <w:rFonts w:hint="default" w:ascii="Times New Roman" w:hAnsi="Times New Roman" w:cs="Times New Roman"/>
              </w:rPr>
              <w:t>用水</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rPr>
              <w:t>本项目</w:t>
            </w:r>
            <w:r>
              <w:rPr>
                <w:rFonts w:hint="default" w:ascii="Times New Roman" w:hAnsi="Times New Roman" w:cs="Times New Roman"/>
                <w:highlight w:val="none"/>
                <w:lang w:val="en-US" w:eastAsia="zh-CN"/>
              </w:rPr>
              <w:t>新增10</w:t>
            </w:r>
            <w:r>
              <w:rPr>
                <w:rFonts w:hint="default" w:ascii="Times New Roman" w:hAnsi="Times New Roman" w:cs="Times New Roman"/>
                <w:highlight w:val="none"/>
              </w:rPr>
              <w:t>名职工，均在厂</w:t>
            </w:r>
            <w:r>
              <w:rPr>
                <w:rFonts w:hint="default" w:ascii="Times New Roman" w:hAnsi="Times New Roman" w:cs="Times New Roman"/>
                <w:highlight w:val="none"/>
                <w:lang w:val="en-US" w:eastAsia="zh-CN"/>
              </w:rPr>
              <w:t>区</w:t>
            </w:r>
            <w:r>
              <w:rPr>
                <w:rFonts w:hint="default" w:ascii="Times New Roman" w:hAnsi="Times New Roman" w:cs="Times New Roman"/>
                <w:highlight w:val="none"/>
              </w:rPr>
              <w:t>食宿，</w:t>
            </w:r>
            <w:r>
              <w:rPr>
                <w:rFonts w:hint="default" w:ascii="Times New Roman" w:hAnsi="Times New Roman" w:cs="Times New Roman"/>
                <w:highlight w:val="none"/>
                <w:lang w:val="en-US" w:eastAsia="zh-CN"/>
              </w:rPr>
              <w:t>年工作2</w:t>
            </w:r>
            <w:r>
              <w:rPr>
                <w:rFonts w:hint="eastAsia" w:cs="Times New Roman"/>
                <w:highlight w:val="none"/>
                <w:lang w:val="en-US" w:eastAsia="zh-CN"/>
              </w:rPr>
              <w:t>4</w:t>
            </w:r>
            <w:r>
              <w:rPr>
                <w:rFonts w:hint="default" w:ascii="Times New Roman" w:hAnsi="Times New Roman" w:cs="Times New Roman"/>
                <w:highlight w:val="none"/>
                <w:lang w:val="en-US" w:eastAsia="zh-CN"/>
              </w:rPr>
              <w:t>0d，根据《新疆维吾尔自治区生活用水定额》，生活用水定额取80L/人·d计，则职工生活用水量为0.8m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/d（</w:t>
            </w:r>
            <w:r>
              <w:rPr>
                <w:rFonts w:hint="eastAsia" w:cs="Times New Roman"/>
                <w:highlight w:val="none"/>
                <w:lang w:val="en-US" w:eastAsia="zh-CN"/>
              </w:rPr>
              <w:t>192</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/a）。生活污水排污系数</w:t>
            </w:r>
            <w:r>
              <w:rPr>
                <w:rFonts w:hint="default" w:ascii="Times New Roman" w:hAnsi="Times New Roman" w:cs="Times New Roman"/>
                <w:highlight w:val="none"/>
              </w:rPr>
              <w:t>按用水量的80</w:t>
            </w:r>
            <w:r>
              <w:rPr>
                <w:rFonts w:hint="default" w:ascii="Times New Roman" w:hAnsi="Times New Roman" w:cs="Times New Roman"/>
                <w:highlight w:val="none"/>
                <w:lang w:val="en-US" w:eastAsia="zh-CN"/>
              </w:rPr>
              <w:t>%</w:t>
            </w:r>
            <w:r>
              <w:rPr>
                <w:rFonts w:hint="default" w:ascii="Times New Roman" w:hAnsi="Times New Roman" w:cs="Times New Roman"/>
                <w:highlight w:val="none"/>
              </w:rPr>
              <w:t>计，则本项目</w:t>
            </w:r>
            <w:r>
              <w:rPr>
                <w:rFonts w:hint="default" w:ascii="Times New Roman" w:hAnsi="Times New Roman" w:cs="Times New Roman"/>
                <w:highlight w:val="none"/>
                <w:lang w:val="en-US" w:eastAsia="zh-CN"/>
              </w:rPr>
              <w:t>生活污水</w:t>
            </w:r>
            <w:r>
              <w:rPr>
                <w:rFonts w:hint="default" w:ascii="Times New Roman" w:hAnsi="Times New Roman" w:cs="Times New Roman"/>
                <w:highlight w:val="none"/>
              </w:rPr>
              <w:t>量为</w:t>
            </w:r>
            <w:r>
              <w:rPr>
                <w:rFonts w:hint="default" w:ascii="Times New Roman" w:hAnsi="Times New Roman" w:cs="Times New Roman"/>
                <w:highlight w:val="none"/>
                <w:lang w:val="en-US" w:eastAsia="zh-CN"/>
              </w:rPr>
              <w:t>0.64</w:t>
            </w:r>
            <w:r>
              <w:rPr>
                <w:rFonts w:hint="default" w:ascii="Times New Roman" w:hAnsi="Times New Roman" w:cs="Times New Roman"/>
                <w:highlight w:val="none"/>
              </w:rPr>
              <w:t>m³/</w:t>
            </w:r>
            <w:r>
              <w:rPr>
                <w:rFonts w:hint="default" w:ascii="Times New Roman" w:hAnsi="Times New Roman" w:cs="Times New Roman"/>
                <w:highlight w:val="none"/>
                <w:lang w:val="en-US" w:eastAsia="zh-CN"/>
              </w:rPr>
              <w:t>d</w:t>
            </w:r>
            <w:r>
              <w:rPr>
                <w:rFonts w:hint="default" w:ascii="Times New Roman" w:hAnsi="Times New Roman" w:cs="Times New Roman"/>
                <w:highlight w:val="none"/>
                <w:lang w:eastAsia="zh-CN"/>
              </w:rPr>
              <w:t>（</w:t>
            </w:r>
            <w:r>
              <w:rPr>
                <w:rFonts w:hint="eastAsia" w:cs="Times New Roman"/>
                <w:highlight w:val="none"/>
                <w:lang w:val="en-US" w:eastAsia="zh-CN"/>
              </w:rPr>
              <w:t>153.6</w:t>
            </w:r>
            <w:r>
              <w:rPr>
                <w:rFonts w:hint="default" w:ascii="Times New Roman" w:hAnsi="Times New Roman" w:cs="Times New Roman"/>
                <w:highlight w:val="none"/>
              </w:rPr>
              <w:t>m³/a</w:t>
            </w:r>
            <w:r>
              <w:rPr>
                <w:rFonts w:hint="default" w:ascii="Times New Roman" w:hAnsi="Times New Roman" w:cs="Times New Roman"/>
                <w:highlight w:val="none"/>
                <w:lang w:eastAsia="zh-CN"/>
              </w:rPr>
              <w:t>）</w:t>
            </w:r>
            <w:r>
              <w:rPr>
                <w:rFonts w:hint="default" w:ascii="Times New Roman" w:hAnsi="Times New Roman" w:cs="Times New Roman"/>
                <w:highlight w:val="none"/>
              </w:rPr>
              <w:t>。</w:t>
            </w:r>
            <w:r>
              <w:rPr>
                <w:rFonts w:hint="default" w:ascii="Times New Roman" w:hAnsi="Times New Roman" w:cs="Times New Roman"/>
                <w:highlight w:val="none"/>
                <w:lang w:val="en-US" w:eastAsia="zh-CN"/>
              </w:rPr>
              <w:t>本项目生活污水经化粪池预处理后通过园区污水管网排入铁门关市污水处理厂。</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本项目年</w:t>
            </w:r>
            <w:r>
              <w:rPr>
                <w:rFonts w:hint="eastAsia" w:cs="Times New Roman"/>
                <w:lang w:val="en-US" w:eastAsia="zh-CN"/>
              </w:rPr>
              <w:t>用</w:t>
            </w:r>
            <w:r>
              <w:rPr>
                <w:rFonts w:hint="default" w:ascii="Times New Roman" w:hAnsi="Times New Roman" w:cs="Times New Roman"/>
                <w:lang w:val="en-US" w:eastAsia="zh-CN"/>
              </w:rPr>
              <w:t>水量约</w:t>
            </w:r>
            <w:r>
              <w:rPr>
                <w:rFonts w:hint="eastAsia" w:cs="Times New Roman"/>
                <w:lang w:val="en-US" w:eastAsia="zh-CN"/>
              </w:rPr>
              <w:t>6795</w:t>
            </w:r>
            <w:r>
              <w:rPr>
                <w:rFonts w:hint="default" w:ascii="Times New Roman" w:hAnsi="Times New Roman" w:cs="Times New Roman"/>
                <w:highlight w:val="none"/>
                <w:lang w:val="en-US" w:eastAsia="zh-CN"/>
              </w:rPr>
              <w:t>m³/</w:t>
            </w:r>
            <w:r>
              <w:rPr>
                <w:rFonts w:hint="default" w:ascii="Times New Roman" w:hAnsi="Times New Roman" w:cs="Times New Roman"/>
                <w:lang w:val="en-US" w:eastAsia="zh-CN"/>
              </w:rPr>
              <w:t>a，</w:t>
            </w:r>
            <w:r>
              <w:rPr>
                <w:rFonts w:hint="default" w:ascii="Times New Roman" w:hAnsi="Times New Roman" w:cs="Times New Roman"/>
              </w:rPr>
              <w:t>本项目水平衡图见图</w:t>
            </w:r>
            <w:r>
              <w:rPr>
                <w:rFonts w:hint="default" w:ascii="Times New Roman" w:hAnsi="Times New Roman" w:cs="Times New Roman"/>
                <w:lang w:val="en-US" w:eastAsia="zh-CN"/>
              </w:rPr>
              <w:t>2-</w:t>
            </w:r>
            <w:r>
              <w:rPr>
                <w:rFonts w:hint="default" w:ascii="Times New Roman" w:hAnsi="Times New Roman" w:cs="Times New Roman"/>
              </w:rPr>
              <w:t>1。</w:t>
            </w:r>
          </w:p>
          <w:p>
            <w:pPr>
              <w:pStyle w:val="6"/>
              <w:suppressLineNumbers w:val="0"/>
              <w:bidi w:val="0"/>
              <w:spacing w:before="0" w:beforeAutospacing="0" w:after="0" w:afterAutospacing="0"/>
              <w:ind w:left="0" w:right="0"/>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4395470" cy="3396615"/>
                  <wp:effectExtent l="0" t="0" r="0" b="0"/>
                  <wp:docPr id="4" name="ECB019B1-382A-4266-B25C-5B523AA43C14-1" descr="C:/Users/Administrator/AppData/Local/Temp/wps.DkmgL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 descr="C:/Users/Administrator/AppData/Local/Temp/wps.DkmgLuwps"/>
                          <pic:cNvPicPr>
                            <a:picLocks noChangeAspect="1"/>
                          </pic:cNvPicPr>
                        </pic:nvPicPr>
                        <pic:blipFill>
                          <a:blip r:embed="rId12"/>
                          <a:srcRect t="4290" b="1697"/>
                          <a:stretch>
                            <a:fillRect/>
                          </a:stretch>
                        </pic:blipFill>
                        <pic:spPr>
                          <a:xfrm>
                            <a:off x="0" y="0"/>
                            <a:ext cx="4395470" cy="3396615"/>
                          </a:xfrm>
                          <a:prstGeom prst="rect">
                            <a:avLst/>
                          </a:prstGeom>
                        </pic:spPr>
                      </pic:pic>
                    </a:graphicData>
                  </a:graphic>
                </wp:inline>
              </w:drawing>
            </w:r>
          </w:p>
          <w:p>
            <w:pPr>
              <w:pStyle w:val="5"/>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图</w:t>
            </w:r>
            <w:r>
              <w:rPr>
                <w:rFonts w:hint="default" w:ascii="Times New Roman" w:hAnsi="Times New Roman" w:cs="Times New Roman"/>
                <w:lang w:val="en-US" w:eastAsia="zh-CN"/>
              </w:rPr>
              <w:t>2-</w:t>
            </w:r>
            <w:r>
              <w:rPr>
                <w:rFonts w:hint="default" w:ascii="Times New Roman" w:hAnsi="Times New Roman" w:cs="Times New Roman"/>
              </w:rPr>
              <w:t>1</w:t>
            </w:r>
            <w:r>
              <w:rPr>
                <w:rFonts w:hint="default" w:ascii="Times New Roman" w:hAnsi="Times New Roman" w:cs="Times New Roman"/>
                <w:lang w:val="en-US" w:eastAsia="zh-CN"/>
              </w:rPr>
              <w:t xml:space="preserve">  </w:t>
            </w:r>
            <w:r>
              <w:rPr>
                <w:rFonts w:hint="default" w:ascii="Times New Roman" w:hAnsi="Times New Roman" w:cs="Times New Roman"/>
              </w:rPr>
              <w:t>本项目</w:t>
            </w:r>
            <w:r>
              <w:rPr>
                <w:rFonts w:hint="default" w:ascii="Times New Roman" w:hAnsi="Times New Roman" w:cs="Times New Roman"/>
                <w:lang w:val="en-US" w:eastAsia="zh-CN"/>
              </w:rPr>
              <w:t>给</w:t>
            </w:r>
            <w:r>
              <w:rPr>
                <w:rFonts w:hint="default" w:ascii="Times New Roman" w:hAnsi="Times New Roman" w:cs="Times New Roman"/>
              </w:rPr>
              <w:t>排水平衡图（单位：m³/a）</w:t>
            </w:r>
          </w:p>
          <w:p>
            <w:pPr>
              <w:pStyle w:val="4"/>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3.7 供电</w:t>
            </w:r>
          </w:p>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本项目用电依托园区电网统一供电，可满足项目区用电需求。</w:t>
            </w:r>
          </w:p>
          <w:p>
            <w:pPr>
              <w:pStyle w:val="4"/>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w:t>
            </w:r>
            <w:r>
              <w:rPr>
                <w:rFonts w:hint="default" w:ascii="Times New Roman" w:hAnsi="Times New Roman" w:cs="Times New Roman"/>
                <w:lang w:val="en-US" w:eastAsia="zh-CN"/>
              </w:rPr>
              <w:t xml:space="preserve">8 </w:t>
            </w:r>
            <w:r>
              <w:rPr>
                <w:rFonts w:hint="default" w:ascii="Times New Roman" w:hAnsi="Times New Roman" w:cs="Times New Roman"/>
              </w:rPr>
              <w:t>平面布置</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项目</w:t>
            </w:r>
            <w:r>
              <w:rPr>
                <w:rFonts w:hint="eastAsia" w:cs="Times New Roman"/>
                <w:highlight w:val="none"/>
                <w:lang w:val="en-US" w:eastAsia="zh-CN"/>
              </w:rPr>
              <w:t>新增</w:t>
            </w:r>
            <w:r>
              <w:rPr>
                <w:rFonts w:hint="default" w:ascii="Times New Roman" w:hAnsi="Times New Roman" w:cs="Times New Roman"/>
                <w:highlight w:val="none"/>
                <w:lang w:val="en-US" w:eastAsia="zh-CN"/>
              </w:rPr>
              <w:t>占地面积为</w:t>
            </w:r>
            <w:r>
              <w:rPr>
                <w:rFonts w:hint="eastAsia" w:cs="Times New Roman"/>
                <w:highlight w:val="none"/>
                <w:lang w:val="en-US" w:eastAsia="zh-CN"/>
              </w:rPr>
              <w:t>14354.91</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，二期装配式水泥制品项目生产区位于厂区的</w:t>
            </w:r>
            <w:r>
              <w:rPr>
                <w:rFonts w:hint="eastAsia" w:cs="Times New Roman"/>
                <w:highlight w:val="none"/>
                <w:lang w:val="en-US" w:eastAsia="zh-CN"/>
              </w:rPr>
              <w:t>北</w:t>
            </w:r>
            <w:r>
              <w:rPr>
                <w:rFonts w:hint="default" w:ascii="Times New Roman" w:hAnsi="Times New Roman" w:cs="Times New Roman"/>
                <w:highlight w:val="none"/>
                <w:lang w:val="en-US" w:eastAsia="zh-CN"/>
              </w:rPr>
              <w:t>侧，办公生活</w:t>
            </w:r>
            <w:r>
              <w:rPr>
                <w:rFonts w:hint="eastAsia" w:cs="Times New Roman"/>
                <w:highlight w:val="none"/>
                <w:lang w:val="en-US" w:eastAsia="zh-CN"/>
              </w:rPr>
              <w:t>依托厂区现有工程综合办公楼</w:t>
            </w:r>
            <w:r>
              <w:rPr>
                <w:rFonts w:hint="default" w:ascii="Times New Roman" w:hAnsi="Times New Roman" w:cs="Times New Roman"/>
                <w:highlight w:val="none"/>
                <w:lang w:val="en-US" w:eastAsia="zh-CN"/>
              </w:rPr>
              <w:t>。</w:t>
            </w:r>
          </w:p>
          <w:p>
            <w:pPr>
              <w:keepNext w:val="0"/>
              <w:keepLines w:val="0"/>
              <w:suppressLineNumbers w:val="0"/>
              <w:bidi w:val="0"/>
              <w:spacing w:before="0" w:beforeAutospacing="0" w:after="0" w:afterAutospacing="0"/>
              <w:ind w:left="0" w:right="0"/>
              <w:rPr>
                <w:rFonts w:hint="default" w:ascii="Times New Roman" w:hAnsi="Times New Roman" w:cs="Times New Roman"/>
                <w:bCs/>
                <w:color w:val="000000"/>
                <w:szCs w:val="21"/>
                <w:highlight w:val="none"/>
              </w:rPr>
            </w:pPr>
            <w:r>
              <w:rPr>
                <w:rFonts w:hint="default" w:ascii="Times New Roman" w:hAnsi="Times New Roman" w:cs="Times New Roman"/>
                <w:highlight w:val="none"/>
                <w:lang w:val="en-US" w:eastAsia="zh-CN"/>
              </w:rPr>
              <w:t>本项目分区明确，总平面布置较好地满足了工艺流程的顺畅性，车间布置紧凑，运输流畅，方便生产；在采取有效的治理措施后，生产废气和设备运转噪声对办公生活区的影响较小。厂区平面布置图见附图</w:t>
            </w:r>
            <w:r>
              <w:rPr>
                <w:rFonts w:hint="eastAsia" w:cs="Times New Roman"/>
                <w:highlight w:val="none"/>
                <w:lang w:val="en-US" w:eastAsia="zh-CN"/>
              </w:rPr>
              <w:t>5</w:t>
            </w:r>
            <w:r>
              <w:rPr>
                <w:rFonts w:hint="default" w:ascii="Times New Roman" w:hAnsi="Times New Roman" w:cs="Times New Roman"/>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1" w:hRule="atLeast"/>
          <w:jc w:val="center"/>
        </w:trPr>
        <w:tc>
          <w:tcPr>
            <w:tcW w:w="1072"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bCs/>
                <w:color w:val="000000"/>
                <w:kern w:val="2"/>
                <w:szCs w:val="28"/>
                <w:highlight w:val="none"/>
              </w:rPr>
            </w:pPr>
            <w:r>
              <w:rPr>
                <w:rFonts w:hint="default" w:ascii="Times New Roman" w:hAnsi="Times New Roman" w:cs="Times New Roman"/>
              </w:rPr>
              <w:t>工艺流程和产排污环节</w:t>
            </w:r>
          </w:p>
        </w:tc>
        <w:tc>
          <w:tcPr>
            <w:tcW w:w="7988" w:type="dxa"/>
            <w:noWrap w:val="0"/>
            <w:vAlign w:val="top"/>
          </w:tcPr>
          <w:p>
            <w:pPr>
              <w:pStyle w:val="3"/>
              <w:keepLines w:val="0"/>
              <w:suppressLineNumbers w:val="0"/>
              <w:bidi w:val="0"/>
              <w:spacing w:before="0" w:beforeAutospacing="0" w:after="0" w:afterAutospacing="0"/>
              <w:ind w:right="0"/>
              <w:rPr>
                <w:rFonts w:hint="default" w:ascii="Times New Roman" w:hAnsi="Times New Roman" w:cs="Times New Roman"/>
              </w:rPr>
            </w:pPr>
            <w:r>
              <w:rPr>
                <w:rFonts w:hint="default" w:ascii="Times New Roman" w:hAnsi="Times New Roman" w:cs="Times New Roman"/>
                <w:lang w:val="en-US" w:eastAsia="zh-CN"/>
              </w:rPr>
              <w:t xml:space="preserve">1 </w:t>
            </w:r>
            <w:r>
              <w:rPr>
                <w:rFonts w:hint="default" w:ascii="Times New Roman" w:hAnsi="Times New Roman" w:cs="Times New Roman"/>
              </w:rPr>
              <w:t>运营期工艺流程</w:t>
            </w:r>
          </w:p>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4299585" cy="2527935"/>
                  <wp:effectExtent l="0" t="0" r="0" b="5715"/>
                  <wp:docPr id="5" name="ECB019B1-382A-4266-B25C-5B523AA43C14-2" descr="C:/Users/Administrator/AppData/Local/Temp/wps.EVqVh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2" descr="C:/Users/Administrator/AppData/Local/Temp/wps.EVqVhVwps"/>
                          <pic:cNvPicPr>
                            <a:picLocks noChangeAspect="1"/>
                          </pic:cNvPicPr>
                        </pic:nvPicPr>
                        <pic:blipFill>
                          <a:blip r:embed="rId13"/>
                          <a:srcRect t="2690" b="3822"/>
                          <a:stretch>
                            <a:fillRect/>
                          </a:stretch>
                        </pic:blipFill>
                        <pic:spPr>
                          <a:xfrm>
                            <a:off x="0" y="0"/>
                            <a:ext cx="4299585" cy="2527935"/>
                          </a:xfrm>
                          <a:prstGeom prst="rect">
                            <a:avLst/>
                          </a:prstGeom>
                        </pic:spPr>
                      </pic:pic>
                    </a:graphicData>
                  </a:graphic>
                </wp:inline>
              </w:drawing>
            </w:r>
          </w:p>
          <w:p>
            <w:pPr>
              <w:pStyle w:val="5"/>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图2-2  运营期工艺流程及产污工序</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（1）原材料贮存</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项目石子</w:t>
            </w:r>
            <w:r>
              <w:rPr>
                <w:rFonts w:hint="default" w:ascii="Times New Roman" w:hAnsi="Times New Roman" w:cs="Times New Roman"/>
                <w:highlight w:val="none"/>
              </w:rPr>
              <w:t>、</w:t>
            </w:r>
            <w:r>
              <w:rPr>
                <w:rFonts w:hint="default" w:ascii="Times New Roman" w:hAnsi="Times New Roman" w:cs="Times New Roman"/>
                <w:highlight w:val="none"/>
                <w:lang w:eastAsia="zh-CN"/>
              </w:rPr>
              <w:t>砂子</w:t>
            </w:r>
            <w:r>
              <w:rPr>
                <w:rFonts w:hint="default" w:ascii="Times New Roman" w:hAnsi="Times New Roman" w:cs="Times New Roman"/>
                <w:highlight w:val="none"/>
                <w:lang w:val="en-US" w:eastAsia="zh-CN"/>
              </w:rPr>
              <w:t>等存放</w:t>
            </w:r>
            <w:r>
              <w:rPr>
                <w:rFonts w:hint="default" w:ascii="Times New Roman" w:hAnsi="Times New Roman" w:cs="Times New Roman"/>
                <w:highlight w:val="none"/>
              </w:rPr>
              <w:t>于</w:t>
            </w:r>
            <w:r>
              <w:rPr>
                <w:rFonts w:hint="default" w:ascii="Times New Roman" w:hAnsi="Times New Roman" w:cs="Times New Roman"/>
                <w:highlight w:val="none"/>
                <w:lang w:val="en-US" w:eastAsia="zh-CN"/>
              </w:rPr>
              <w:t>封闭式</w:t>
            </w:r>
            <w:r>
              <w:rPr>
                <w:rFonts w:hint="default" w:ascii="Times New Roman" w:hAnsi="Times New Roman" w:cs="Times New Roman"/>
                <w:highlight w:val="none"/>
              </w:rPr>
              <w:t>原料</w:t>
            </w:r>
            <w:r>
              <w:rPr>
                <w:rFonts w:hint="default" w:ascii="Times New Roman" w:hAnsi="Times New Roman" w:cs="Times New Roman"/>
                <w:highlight w:val="none"/>
                <w:lang w:val="en-US" w:eastAsia="zh-CN"/>
              </w:rPr>
              <w:t>堆场</w:t>
            </w:r>
            <w:r>
              <w:rPr>
                <w:rFonts w:hint="default" w:ascii="Times New Roman" w:hAnsi="Times New Roman" w:cs="Times New Roman"/>
                <w:highlight w:val="none"/>
              </w:rPr>
              <w:t>。水泥由罐车运进厂区后打入水泥筒仓内备用</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水泥筒仓经上方自带的滤筒式过滤器，筒仓粉尘处理后无组织排放。</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（2）搅拌</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rPr>
              <w:t>水泥通过筒仓由</w:t>
            </w:r>
            <w:r>
              <w:rPr>
                <w:rFonts w:hint="default" w:ascii="Times New Roman" w:hAnsi="Times New Roman" w:cs="Times New Roman"/>
                <w:highlight w:val="none"/>
                <w:lang w:val="en-US" w:eastAsia="zh-CN"/>
              </w:rPr>
              <w:t>管道输送</w:t>
            </w:r>
            <w:r>
              <w:rPr>
                <w:rFonts w:hint="default" w:ascii="Times New Roman" w:hAnsi="Times New Roman" w:cs="Times New Roman"/>
                <w:highlight w:val="none"/>
              </w:rPr>
              <w:t>至计量系统后进入</w:t>
            </w:r>
            <w:r>
              <w:rPr>
                <w:rFonts w:hint="default" w:ascii="Times New Roman" w:hAnsi="Times New Roman" w:cs="Times New Roman"/>
                <w:highlight w:val="none"/>
                <w:lang w:val="en-US" w:eastAsia="zh-CN"/>
              </w:rPr>
              <w:t>密闭式</w:t>
            </w:r>
            <w:r>
              <w:rPr>
                <w:rFonts w:hint="default" w:ascii="Times New Roman" w:hAnsi="Times New Roman" w:cs="Times New Roman"/>
                <w:highlight w:val="none"/>
                <w:lang w:eastAsia="zh-CN"/>
              </w:rPr>
              <w:t>搅拌器；</w:t>
            </w:r>
            <w:r>
              <w:rPr>
                <w:rFonts w:hint="default" w:ascii="Times New Roman" w:hAnsi="Times New Roman" w:cs="Times New Roman"/>
                <w:highlight w:val="none"/>
                <w:lang w:val="en-US" w:eastAsia="zh-CN"/>
              </w:rPr>
              <w:t>石子</w:t>
            </w:r>
            <w:r>
              <w:rPr>
                <w:rFonts w:hint="default" w:ascii="Times New Roman" w:hAnsi="Times New Roman" w:cs="Times New Roman"/>
                <w:highlight w:val="none"/>
              </w:rPr>
              <w:t>、</w:t>
            </w:r>
            <w:r>
              <w:rPr>
                <w:rFonts w:hint="default" w:ascii="Times New Roman" w:hAnsi="Times New Roman" w:cs="Times New Roman"/>
                <w:highlight w:val="none"/>
                <w:lang w:eastAsia="zh-CN"/>
              </w:rPr>
              <w:t>砂子</w:t>
            </w:r>
            <w:r>
              <w:rPr>
                <w:rFonts w:hint="default" w:ascii="Times New Roman" w:hAnsi="Times New Roman" w:cs="Times New Roman"/>
                <w:highlight w:val="none"/>
              </w:rPr>
              <w:t>由</w:t>
            </w:r>
            <w:r>
              <w:rPr>
                <w:rFonts w:hint="default" w:ascii="Times New Roman" w:hAnsi="Times New Roman" w:cs="Times New Roman"/>
                <w:highlight w:val="none"/>
                <w:lang w:val="en-US" w:eastAsia="zh-CN"/>
              </w:rPr>
              <w:t>铲车</w:t>
            </w:r>
            <w:r>
              <w:rPr>
                <w:rFonts w:hint="default" w:ascii="Times New Roman" w:hAnsi="Times New Roman" w:cs="Times New Roman"/>
                <w:highlight w:val="none"/>
              </w:rPr>
              <w:t>输送至</w:t>
            </w:r>
            <w:r>
              <w:rPr>
                <w:rFonts w:hint="default" w:ascii="Times New Roman" w:hAnsi="Times New Roman" w:cs="Times New Roman"/>
                <w:highlight w:val="none"/>
                <w:lang w:val="en-US" w:eastAsia="zh-CN"/>
              </w:rPr>
              <w:t>配料器</w:t>
            </w:r>
            <w:r>
              <w:rPr>
                <w:rFonts w:hint="default" w:ascii="Times New Roman" w:hAnsi="Times New Roman" w:cs="Times New Roman"/>
                <w:highlight w:val="none"/>
              </w:rPr>
              <w:t>后进入</w:t>
            </w:r>
            <w:r>
              <w:rPr>
                <w:rFonts w:hint="default" w:ascii="Times New Roman" w:hAnsi="Times New Roman" w:cs="Times New Roman"/>
                <w:highlight w:val="none"/>
                <w:lang w:val="en-US" w:eastAsia="zh-CN"/>
              </w:rPr>
              <w:t>密闭式</w:t>
            </w:r>
            <w:r>
              <w:rPr>
                <w:rFonts w:hint="default" w:ascii="Times New Roman" w:hAnsi="Times New Roman" w:cs="Times New Roman"/>
                <w:highlight w:val="none"/>
                <w:lang w:eastAsia="zh-CN"/>
              </w:rPr>
              <w:t>搅拌器；</w:t>
            </w:r>
            <w:r>
              <w:rPr>
                <w:rFonts w:hint="default" w:ascii="Times New Roman" w:hAnsi="Times New Roman" w:cs="Times New Roman"/>
                <w:highlight w:val="none"/>
                <w:lang w:val="en-US" w:eastAsia="zh-CN"/>
              </w:rPr>
              <w:t>加水</w:t>
            </w:r>
            <w:r>
              <w:rPr>
                <w:rFonts w:hint="default" w:ascii="Times New Roman" w:hAnsi="Times New Roman" w:cs="Times New Roman"/>
                <w:highlight w:val="none"/>
              </w:rPr>
              <w:t>通过充分搅拌得到一定配比的混凝土。</w:t>
            </w:r>
            <w:bookmarkStart w:id="1" w:name="准备好要做所需规格的模具，使用前应进行模具清理，并在模具表面涂上脱模剂以便后期脱"/>
            <w:bookmarkEnd w:id="1"/>
            <w:bookmarkStart w:id="2" w:name="（3）成型"/>
            <w:bookmarkEnd w:id="2"/>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（3）钢材加工</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外购钢筋经规格核验后，通过专用工装夹具固定于电焊机作业工位。</w:t>
            </w:r>
            <w:r>
              <w:rPr>
                <w:rFonts w:hint="eastAsia" w:cs="Times New Roman"/>
                <w:highlight w:val="none"/>
                <w:lang w:val="en-US" w:eastAsia="zh-CN"/>
              </w:rPr>
              <w:t>大规格产品使用滚焊机焊接，小规格产品</w:t>
            </w:r>
            <w:r>
              <w:rPr>
                <w:rFonts w:hint="default" w:ascii="Times New Roman" w:hAnsi="Times New Roman" w:cs="Times New Roman"/>
                <w:highlight w:val="none"/>
                <w:lang w:val="en-US" w:eastAsia="zh-CN"/>
              </w:rPr>
              <w:t>使用手动电弧焊接作业。</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（4）刷脱模剂</w:t>
            </w:r>
          </w:p>
          <w:p>
            <w:pPr>
              <w:keepNext w:val="0"/>
              <w:keepLines w:val="0"/>
              <w:suppressLineNumbers w:val="0"/>
              <w:bidi w:val="0"/>
              <w:spacing w:before="0" w:beforeAutospacing="0" w:after="0" w:afterAutospacing="0"/>
              <w:ind w:left="0" w:right="0"/>
              <w:rPr>
                <w:rFonts w:hint="default" w:ascii="Times New Roman" w:hAnsi="Times New Roman" w:cs="Times New Roman"/>
                <w:highlight w:val="yellow"/>
                <w:lang w:val="en-US" w:eastAsia="zh-CN"/>
              </w:rPr>
            </w:pPr>
            <w:r>
              <w:rPr>
                <w:rFonts w:hint="default" w:ascii="Times New Roman" w:hAnsi="Times New Roman" w:cs="Times New Roman"/>
                <w:highlight w:val="none"/>
                <w:lang w:val="en-US" w:eastAsia="zh-CN"/>
              </w:rPr>
              <w:t>将模具表面涂上脱模剂以便后期脱模。</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（5）混凝土喂料</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将搅拌好的混凝土卸入分料车，再由分料车送入布料车，运送到水泥生产线上的钢模中。在干净的钢模中放入钢筋骨架，钢筋骨架保证在混凝土中的设计位置。按要求布料后，将钢模合缝处清理干净，均匀对称拧紧螺栓。</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r>
              <w:rPr>
                <w:rFonts w:hint="eastAsia" w:cs="Times New Roman"/>
                <w:highlight w:val="none"/>
                <w:lang w:val="en-US" w:eastAsia="zh-CN"/>
              </w:rPr>
              <w:t>6</w:t>
            </w:r>
            <w:r>
              <w:rPr>
                <w:rFonts w:hint="default" w:ascii="Times New Roman" w:hAnsi="Times New Roman" w:cs="Times New Roman"/>
                <w:highlight w:val="none"/>
                <w:lang w:val="en-US" w:eastAsia="zh-CN"/>
              </w:rPr>
              <w:t>）振动处理</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根据不同规格</w:t>
            </w:r>
            <w:r>
              <w:rPr>
                <w:rFonts w:hint="eastAsia" w:cs="Times New Roman"/>
                <w:highlight w:val="none"/>
                <w:lang w:val="en-US" w:eastAsia="zh-CN"/>
              </w:rPr>
              <w:t>产品</w:t>
            </w:r>
            <w:r>
              <w:rPr>
                <w:rFonts w:hint="default" w:ascii="Times New Roman" w:hAnsi="Times New Roman" w:cs="Times New Roman"/>
                <w:highlight w:val="none"/>
                <w:lang w:val="en-US" w:eastAsia="zh-CN"/>
              </w:rPr>
              <w:t>的振动要求，按照振动密实效果最佳而振动力最小的选择原则，调整振幅和振动频率，开启振动器，并由低向高逐步增大振动频率，以确保混凝土振捣密实。混凝土灌入已布置钢材的钢模内，进行加压振动成型。</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（7）</w:t>
            </w:r>
            <w:r>
              <w:rPr>
                <w:rFonts w:hint="eastAsia" w:cs="Times New Roman"/>
                <w:highlight w:val="none"/>
                <w:lang w:val="en-US" w:eastAsia="zh-CN"/>
              </w:rPr>
              <w:t>自然干燥</w:t>
            </w:r>
            <w:r>
              <w:rPr>
                <w:rFonts w:hint="default" w:ascii="Times New Roman" w:hAnsi="Times New Roman" w:eastAsia="宋体" w:cs="Times New Roman"/>
                <w:highlight w:val="none"/>
                <w:lang w:val="en-US" w:eastAsia="zh-CN"/>
              </w:rPr>
              <w:t>、</w:t>
            </w:r>
            <w:r>
              <w:rPr>
                <w:rFonts w:hint="eastAsia" w:cs="Times New Roman"/>
                <w:highlight w:val="none"/>
                <w:lang w:val="en-US" w:eastAsia="zh-CN"/>
              </w:rPr>
              <w:t>模具拆除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预制构件经振动处理后，转运至成品</w:t>
            </w:r>
            <w:r>
              <w:rPr>
                <w:rFonts w:hint="eastAsia" w:cs="Times New Roman"/>
                <w:highlight w:val="none"/>
                <w:lang w:val="en-US" w:eastAsia="zh-CN"/>
              </w:rPr>
              <w:t>堆场</w:t>
            </w:r>
            <w:r>
              <w:rPr>
                <w:rFonts w:hint="default" w:ascii="Times New Roman" w:hAnsi="Times New Roman" w:cs="Times New Roman"/>
                <w:highlight w:val="none"/>
                <w:lang w:val="en-US" w:eastAsia="zh-CN"/>
              </w:rPr>
              <w:t>进行自然干燥养护，依靠自然通风、光照完成水分蒸发与强度增长</w:t>
            </w:r>
            <w:r>
              <w:rPr>
                <w:rFonts w:hint="eastAsia" w:cs="Times New Roman"/>
                <w:highlight w:val="none"/>
                <w:lang w:val="en-US" w:eastAsia="zh-CN"/>
              </w:rPr>
              <w:t>。</w:t>
            </w:r>
            <w:r>
              <w:rPr>
                <w:rFonts w:hint="eastAsia" w:ascii="Times New Roman" w:hAnsi="Times New Roman" w:cs="Times New Roman"/>
                <w:highlight w:val="none"/>
                <w:lang w:val="en-US" w:eastAsia="zh-CN"/>
              </w:rPr>
              <w:t>产</w:t>
            </w:r>
            <w:r>
              <w:rPr>
                <w:rFonts w:hint="default" w:ascii="Times New Roman" w:hAnsi="Times New Roman" w:cs="Times New Roman"/>
                <w:highlight w:val="none"/>
                <w:lang w:val="en-US" w:eastAsia="zh-CN"/>
              </w:rPr>
              <w:t>品硬化后拆除模具</w:t>
            </w:r>
            <w:r>
              <w:rPr>
                <w:rFonts w:hint="eastAsia" w:cs="Times New Roman"/>
                <w:highlight w:val="none"/>
                <w:lang w:val="en-US" w:eastAsia="zh-CN"/>
              </w:rPr>
              <w:t>，</w:t>
            </w:r>
            <w:r>
              <w:rPr>
                <w:rFonts w:hint="default" w:ascii="Times New Roman" w:hAnsi="Times New Roman" w:cs="Times New Roman"/>
                <w:highlight w:val="none"/>
                <w:lang w:val="en-US" w:eastAsia="zh-CN"/>
              </w:rPr>
              <w:t>干燥期间定时洒水保湿。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s="Times New Roman"/>
                <w:highlight w:val="none"/>
                <w:lang w:val="en-US" w:eastAsia="zh-CN"/>
              </w:rPr>
            </w:pP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8</w:t>
            </w:r>
            <w:r>
              <w:rPr>
                <w:rFonts w:hint="default" w:ascii="Times New Roman" w:hAnsi="Times New Roman" w:eastAsia="宋体" w:cs="Times New Roman"/>
                <w:highlight w:val="none"/>
                <w:lang w:val="en-US" w:eastAsia="zh-CN"/>
              </w:rPr>
              <w:t>）</w:t>
            </w:r>
            <w:r>
              <w:rPr>
                <w:rFonts w:hint="eastAsia" w:cs="Times New Roman"/>
                <w:highlight w:val="none"/>
                <w:lang w:val="en-US" w:eastAsia="zh-CN"/>
              </w:rPr>
              <w:t>刷涂水性防腐涂料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s="Times New Roman"/>
                <w:highlight w:val="none"/>
                <w:lang w:val="en-US" w:eastAsia="zh-CN"/>
              </w:rPr>
            </w:pPr>
            <w:r>
              <w:rPr>
                <w:rFonts w:hint="eastAsia" w:cs="Times New Roman"/>
                <w:highlight w:val="none"/>
                <w:lang w:val="en-US" w:eastAsia="zh-CN"/>
              </w:rPr>
              <w:t>根据采购方定制要求，部分成品在车间涂刷水性防腐涂料并阴干，无烘烤工序。</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（9）外售</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产品进行外观尺寸检验、力学性能检验，合格后方可外运销售。</w:t>
            </w:r>
          </w:p>
          <w:p>
            <w:pPr>
              <w:pStyle w:val="5"/>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表2-</w:t>
            </w:r>
            <w:r>
              <w:rPr>
                <w:rFonts w:hint="eastAsia" w:cs="Times New Roman"/>
                <w:lang w:val="en-US" w:eastAsia="zh-CN"/>
              </w:rPr>
              <w:t>6</w:t>
            </w:r>
            <w:r>
              <w:rPr>
                <w:rFonts w:hint="default" w:ascii="Times New Roman" w:hAnsi="Times New Roman" w:cs="Times New Roman"/>
                <w:lang w:val="en-US" w:eastAsia="zh-CN"/>
              </w:rPr>
              <w:t xml:space="preserve">  产污分析一览表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16"/>
              <w:gridCol w:w="2419"/>
              <w:gridCol w:w="1622"/>
              <w:gridCol w:w="300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41" w:hRule="atLeast"/>
                <w:jc w:val="center"/>
              </w:trPr>
              <w:tc>
                <w:tcPr>
                  <w:tcW w:w="461"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类别</w:t>
                  </w:r>
                </w:p>
              </w:tc>
              <w:tc>
                <w:tcPr>
                  <w:tcW w:w="1558"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污染源</w:t>
                  </w:r>
                </w:p>
              </w:tc>
              <w:tc>
                <w:tcPr>
                  <w:tcW w:w="1045"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污染物名称</w:t>
                  </w:r>
                </w:p>
              </w:tc>
              <w:tc>
                <w:tcPr>
                  <w:tcW w:w="1934"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治理措施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61" w:type="pct"/>
                  <w:vMerge w:val="restar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废气</w:t>
                  </w:r>
                </w:p>
              </w:tc>
              <w:tc>
                <w:tcPr>
                  <w:tcW w:w="1558" w:type="pct"/>
                  <w:tcBorders>
                    <w:righ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原料堆场扬尘</w:t>
                  </w:r>
                </w:p>
              </w:tc>
              <w:tc>
                <w:tcPr>
                  <w:tcW w:w="1045" w:type="pct"/>
                  <w:vMerge w:val="restart"/>
                  <w:tcBorders>
                    <w:lef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颗粒物</w:t>
                  </w:r>
                </w:p>
              </w:tc>
              <w:tc>
                <w:tcPr>
                  <w:tcW w:w="1934"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洒水+全封闭仓库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90" w:hRule="atLeast"/>
                <w:jc w:val="center"/>
              </w:trPr>
              <w:tc>
                <w:tcPr>
                  <w:tcW w:w="461"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1558" w:type="pct"/>
                  <w:tcBorders>
                    <w:righ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上料粉尘</w:t>
                  </w:r>
                </w:p>
              </w:tc>
              <w:tc>
                <w:tcPr>
                  <w:tcW w:w="1045" w:type="pct"/>
                  <w:vMerge w:val="continue"/>
                  <w:tcBorders>
                    <w:lef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1934"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三面围挡</w:t>
                  </w:r>
                  <w:r>
                    <w:rPr>
                      <w:rFonts w:hint="eastAsia" w:cs="Times New Roman"/>
                      <w:highlight w:val="none"/>
                      <w:lang w:val="en-US" w:eastAsia="zh-CN"/>
                    </w:rPr>
                    <w:t>+布袋除尘器+15m排气筒</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61"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1558" w:type="pct"/>
                  <w:tcBorders>
                    <w:righ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水泥筒仓粉尘</w:t>
                  </w:r>
                </w:p>
              </w:tc>
              <w:tc>
                <w:tcPr>
                  <w:tcW w:w="1045" w:type="pct"/>
                  <w:vMerge w:val="continue"/>
                  <w:tcBorders>
                    <w:lef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1934"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滤筒式过滤器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90" w:hRule="atLeast"/>
                <w:jc w:val="center"/>
              </w:trPr>
              <w:tc>
                <w:tcPr>
                  <w:tcW w:w="461"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1558" w:type="pct"/>
                  <w:tcBorders>
                    <w:righ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搅拌粉尘</w:t>
                  </w:r>
                </w:p>
              </w:tc>
              <w:tc>
                <w:tcPr>
                  <w:tcW w:w="1045" w:type="pct"/>
                  <w:vMerge w:val="continue"/>
                  <w:tcBorders>
                    <w:lef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1934"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全封闭搅拌设施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61"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1558" w:type="pct"/>
                  <w:tcBorders>
                    <w:righ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脱模剂</w:t>
                  </w:r>
                </w:p>
              </w:tc>
              <w:tc>
                <w:tcPr>
                  <w:tcW w:w="1045" w:type="pct"/>
                  <w:vMerge w:val="restart"/>
                  <w:tcBorders>
                    <w:lef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VOCs</w:t>
                  </w:r>
                </w:p>
              </w:tc>
              <w:tc>
                <w:tcPr>
                  <w:tcW w:w="1934"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61"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1558" w:type="pct"/>
                  <w:tcBorders>
                    <w:righ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水性防腐涂料</w:t>
                  </w:r>
                </w:p>
              </w:tc>
              <w:tc>
                <w:tcPr>
                  <w:tcW w:w="1045" w:type="pct"/>
                  <w:vMerge w:val="continue"/>
                  <w:tcBorders>
                    <w:lef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1934"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二级活性炭吸附装置</w:t>
                  </w:r>
                  <w:r>
                    <w:rPr>
                      <w:rFonts w:hint="eastAsia" w:cs="Times New Roman"/>
                      <w:highlight w:val="none"/>
                      <w:lang w:val="en-US" w:eastAsia="zh-CN"/>
                    </w:rPr>
                    <w:t>+</w:t>
                  </w:r>
                  <w:r>
                    <w:rPr>
                      <w:rFonts w:hint="default" w:ascii="Times New Roman" w:hAnsi="Times New Roman" w:cs="Times New Roman"/>
                      <w:highlight w:val="none"/>
                      <w:lang w:val="en-US" w:eastAsia="zh-CN"/>
                    </w:rPr>
                    <w:t>15m排气筒</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0" w:hRule="atLeast"/>
                <w:jc w:val="center"/>
              </w:trPr>
              <w:tc>
                <w:tcPr>
                  <w:tcW w:w="461"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1558" w:type="pct"/>
                  <w:tcBorders>
                    <w:righ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焊接</w:t>
                  </w:r>
                </w:p>
              </w:tc>
              <w:tc>
                <w:tcPr>
                  <w:tcW w:w="1045" w:type="pct"/>
                  <w:tcBorders>
                    <w:lef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焊接废气</w:t>
                  </w:r>
                </w:p>
              </w:tc>
              <w:tc>
                <w:tcPr>
                  <w:tcW w:w="1934"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移动式烟气净化器+密闭厂房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9" w:hRule="atLeast"/>
                <w:jc w:val="center"/>
              </w:trPr>
              <w:tc>
                <w:tcPr>
                  <w:tcW w:w="461" w:type="pct"/>
                  <w:vMerge w:val="restar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废水</w:t>
                  </w:r>
                </w:p>
              </w:tc>
              <w:tc>
                <w:tcPr>
                  <w:tcW w:w="1558" w:type="pct"/>
                  <w:tcBorders>
                    <w:righ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生活污水</w:t>
                  </w:r>
                </w:p>
              </w:tc>
              <w:tc>
                <w:tcPr>
                  <w:tcW w:w="1045" w:type="pct"/>
                  <w:tcBorders>
                    <w:lef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COD、BOD</w:t>
                  </w:r>
                  <w:r>
                    <w:rPr>
                      <w:rFonts w:hint="default" w:ascii="Times New Roman" w:hAnsi="Times New Roman" w:cs="Times New Roman"/>
                      <w:highlight w:val="none"/>
                      <w:vertAlign w:val="subscript"/>
                      <w:lang w:val="en-US" w:eastAsia="zh-CN"/>
                    </w:rPr>
                    <w:t>5</w:t>
                  </w:r>
                  <w:r>
                    <w:rPr>
                      <w:rFonts w:hint="default" w:ascii="Times New Roman" w:hAnsi="Times New Roman" w:cs="Times New Roman"/>
                      <w:highlight w:val="none"/>
                      <w:lang w:val="en-US" w:eastAsia="zh-CN"/>
                    </w:rPr>
                    <w:t>、SS和氨氮等</w:t>
                  </w:r>
                </w:p>
              </w:tc>
              <w:tc>
                <w:tcPr>
                  <w:tcW w:w="1934"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化粪池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0" w:hRule="atLeast"/>
                <w:jc w:val="center"/>
              </w:trPr>
              <w:tc>
                <w:tcPr>
                  <w:tcW w:w="461"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1558" w:type="pct"/>
                  <w:tcBorders>
                    <w:righ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生产废水</w:t>
                  </w:r>
                </w:p>
              </w:tc>
              <w:tc>
                <w:tcPr>
                  <w:tcW w:w="1045" w:type="pct"/>
                  <w:tcBorders>
                    <w:lef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SS</w:t>
                  </w:r>
                </w:p>
              </w:tc>
              <w:tc>
                <w:tcPr>
                  <w:tcW w:w="1934"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沉淀池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100" w:hRule="atLeast"/>
                <w:jc w:val="center"/>
              </w:trPr>
              <w:tc>
                <w:tcPr>
                  <w:tcW w:w="461"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噪声</w:t>
                  </w:r>
                </w:p>
              </w:tc>
              <w:tc>
                <w:tcPr>
                  <w:tcW w:w="1558" w:type="pct"/>
                  <w:tcBorders>
                    <w:righ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各生产工序生产设施</w:t>
                  </w:r>
                </w:p>
              </w:tc>
              <w:tc>
                <w:tcPr>
                  <w:tcW w:w="1045" w:type="pct"/>
                  <w:tcBorders>
                    <w:lef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噪声</w:t>
                  </w:r>
                </w:p>
              </w:tc>
              <w:tc>
                <w:tcPr>
                  <w:tcW w:w="1934"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隔声、减振、设备保养等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0" w:hRule="atLeast"/>
                <w:jc w:val="center"/>
              </w:trPr>
              <w:tc>
                <w:tcPr>
                  <w:tcW w:w="461" w:type="pct"/>
                  <w:vMerge w:val="restar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固废</w:t>
                  </w:r>
                </w:p>
              </w:tc>
              <w:tc>
                <w:tcPr>
                  <w:tcW w:w="1558" w:type="pct"/>
                  <w:tcBorders>
                    <w:righ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员工生活</w:t>
                  </w:r>
                </w:p>
              </w:tc>
              <w:tc>
                <w:tcPr>
                  <w:tcW w:w="1045" w:type="pct"/>
                  <w:tcBorders>
                    <w:lef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生活垃圾</w:t>
                  </w:r>
                </w:p>
              </w:tc>
              <w:tc>
                <w:tcPr>
                  <w:tcW w:w="1934"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环卫部门清运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0" w:hRule="atLeast"/>
                <w:jc w:val="center"/>
              </w:trPr>
              <w:tc>
                <w:tcPr>
                  <w:tcW w:w="461"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yellow"/>
                      <w:lang w:val="en-US" w:eastAsia="zh-CN"/>
                    </w:rPr>
                  </w:pPr>
                </w:p>
              </w:tc>
              <w:tc>
                <w:tcPr>
                  <w:tcW w:w="1558" w:type="pct"/>
                  <w:tcBorders>
                    <w:right w:val="single" w:color="auto" w:sz="4" w:space="0"/>
                  </w:tcBorders>
                  <w:noWrap w:val="0"/>
                  <w:vAlign w:val="center"/>
                </w:tcPr>
                <w:p>
                  <w:pPr>
                    <w:pStyle w:val="6"/>
                    <w:suppressLineNumbers w:val="0"/>
                    <w:bidi w:val="0"/>
                    <w:spacing w:before="0" w:beforeAutospacing="0" w:after="0" w:afterAutospacing="0"/>
                    <w:ind w:left="0" w:right="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焊接</w:t>
                  </w:r>
                </w:p>
              </w:tc>
              <w:tc>
                <w:tcPr>
                  <w:tcW w:w="1045" w:type="pct"/>
                  <w:tcBorders>
                    <w:lef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废钢筋、焊渣</w:t>
                  </w:r>
                </w:p>
              </w:tc>
              <w:tc>
                <w:tcPr>
                  <w:tcW w:w="1934"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外售综合处理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61"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yellow"/>
                      <w:lang w:val="en-US" w:eastAsia="zh-CN"/>
                    </w:rPr>
                  </w:pPr>
                </w:p>
              </w:tc>
              <w:tc>
                <w:tcPr>
                  <w:tcW w:w="1558" w:type="pct"/>
                  <w:tcBorders>
                    <w:righ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设备养护</w:t>
                  </w:r>
                </w:p>
              </w:tc>
              <w:tc>
                <w:tcPr>
                  <w:tcW w:w="1045" w:type="pct"/>
                  <w:tcBorders>
                    <w:lef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废润滑油、废润滑油桶、废液压油和废液压油桶</w:t>
                  </w:r>
                </w:p>
              </w:tc>
              <w:tc>
                <w:tcPr>
                  <w:tcW w:w="1934" w:type="pc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暂存在危废贮存点，委托有资质的单位统一处理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61"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yellow"/>
                      <w:lang w:val="en-US" w:eastAsia="zh-CN"/>
                    </w:rPr>
                  </w:pPr>
                </w:p>
              </w:tc>
              <w:tc>
                <w:tcPr>
                  <w:tcW w:w="1558" w:type="pct"/>
                  <w:tcBorders>
                    <w:righ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沉淀池底泥</w:t>
                  </w:r>
                </w:p>
              </w:tc>
              <w:tc>
                <w:tcPr>
                  <w:tcW w:w="1045" w:type="pct"/>
                  <w:tcBorders>
                    <w:lef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底泥</w:t>
                  </w:r>
                </w:p>
              </w:tc>
              <w:tc>
                <w:tcPr>
                  <w:tcW w:w="1934" w:type="pct"/>
                  <w:vMerge w:val="restart"/>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0" w:hRule="atLeast"/>
                <w:jc w:val="center"/>
              </w:trPr>
              <w:tc>
                <w:tcPr>
                  <w:tcW w:w="461"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yellow"/>
                      <w:lang w:val="en-US" w:eastAsia="zh-CN"/>
                    </w:rPr>
                  </w:pPr>
                </w:p>
              </w:tc>
              <w:tc>
                <w:tcPr>
                  <w:tcW w:w="1558" w:type="pct"/>
                  <w:tcBorders>
                    <w:right w:val="single" w:color="auto" w:sz="4" w:space="0"/>
                  </w:tcBorders>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val="0"/>
                      <w:kern w:val="2"/>
                      <w:sz w:val="21"/>
                      <w:szCs w:val="20"/>
                      <w:lang w:val="en-US" w:eastAsia="zh-CN" w:bidi="ar-SA"/>
                    </w:rPr>
                  </w:pPr>
                  <w:r>
                    <w:rPr>
                      <w:rFonts w:hint="default" w:ascii="Times New Roman" w:hAnsi="Times New Roman" w:cs="Times New Roman"/>
                      <w:b w:val="0"/>
                      <w:bCs w:val="0"/>
                      <w:lang w:val="en-US" w:eastAsia="zh-CN"/>
                    </w:rPr>
                    <w:t>水泥筒仓滤筒式过滤器</w:t>
                  </w:r>
                </w:p>
              </w:tc>
              <w:tc>
                <w:tcPr>
                  <w:tcW w:w="1045" w:type="pct"/>
                  <w:tcBorders>
                    <w:lef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b w:val="0"/>
                      <w:bCs w:val="0"/>
                      <w:lang w:val="en-US" w:eastAsia="zh-CN"/>
                    </w:rPr>
                    <w:t>粉尘</w:t>
                  </w:r>
                </w:p>
              </w:tc>
              <w:tc>
                <w:tcPr>
                  <w:tcW w:w="1934"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61"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yellow"/>
                      <w:lang w:val="en-US" w:eastAsia="zh-CN"/>
                    </w:rPr>
                  </w:pPr>
                </w:p>
              </w:tc>
              <w:tc>
                <w:tcPr>
                  <w:tcW w:w="1558" w:type="pct"/>
                  <w:tcBorders>
                    <w:right w:val="single" w:color="auto" w:sz="4" w:space="0"/>
                  </w:tcBorders>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lang w:val="en-US" w:eastAsia="zh-CN"/>
                    </w:rPr>
                    <w:t>上料口设置除尘器</w:t>
                  </w:r>
                </w:p>
              </w:tc>
              <w:tc>
                <w:tcPr>
                  <w:tcW w:w="1045" w:type="pct"/>
                  <w:tcBorders>
                    <w:left w:val="single" w:color="auto" w:sz="4" w:space="0"/>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lang w:val="en-US" w:eastAsia="zh-CN"/>
                    </w:rPr>
                    <w:t>粉尘</w:t>
                  </w:r>
                </w:p>
              </w:tc>
              <w:tc>
                <w:tcPr>
                  <w:tcW w:w="1934" w:type="pct"/>
                  <w:vMerge w:val="continue"/>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0" w:hRule="atLeast"/>
                <w:jc w:val="center"/>
              </w:trPr>
              <w:tc>
                <w:tcPr>
                  <w:tcW w:w="461" w:type="pct"/>
                  <w:vMerge w:val="continue"/>
                </w:tcPr>
                <w:p>
                  <w:pPr>
                    <w:pStyle w:val="6"/>
                    <w:suppressLineNumbers w:val="0"/>
                    <w:bidi w:val="0"/>
                    <w:spacing w:before="0" w:beforeAutospacing="0" w:after="0" w:afterAutospacing="0"/>
                    <w:ind w:left="0" w:right="0"/>
                    <w:rPr>
                      <w:rFonts w:hint="default" w:ascii="Times New Roman" w:hAnsi="Times New Roman" w:cs="Times New Roman"/>
                      <w:highlight w:val="yellow"/>
                      <w:lang w:val="en-US" w:eastAsia="zh-CN"/>
                    </w:rPr>
                  </w:pPr>
                </w:p>
              </w:tc>
              <w:tc>
                <w:tcPr>
                  <w:tcW w:w="1558" w:type="pct"/>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rPr>
                    <w:t>混凝土残渣</w:t>
                  </w:r>
                </w:p>
              </w:tc>
              <w:tc>
                <w:tcPr>
                  <w:tcW w:w="1045" w:type="pct"/>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残渣</w:t>
                  </w:r>
                </w:p>
              </w:tc>
              <w:tc>
                <w:tcPr>
                  <w:tcW w:w="1934" w:type="pct"/>
                  <w:vMerge w:val="continue"/>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0" w:hRule="atLeast"/>
                <w:jc w:val="center"/>
              </w:trPr>
              <w:tc>
                <w:tcPr>
                  <w:tcW w:w="461" w:type="pct"/>
                  <w:vMerge w:val="continue"/>
                </w:tcPr>
                <w:p>
                  <w:pPr>
                    <w:pStyle w:val="6"/>
                    <w:suppressLineNumbers w:val="0"/>
                    <w:bidi w:val="0"/>
                    <w:spacing w:before="0" w:beforeAutospacing="0" w:after="0" w:afterAutospacing="0"/>
                    <w:ind w:left="0" w:right="0"/>
                    <w:rPr>
                      <w:rFonts w:hint="default" w:ascii="Times New Roman" w:hAnsi="Times New Roman" w:cs="Times New Roman"/>
                      <w:highlight w:val="yellow"/>
                      <w:lang w:val="en-US" w:eastAsia="zh-CN"/>
                    </w:rPr>
                  </w:pPr>
                </w:p>
              </w:tc>
              <w:tc>
                <w:tcPr>
                  <w:tcW w:w="1558" w:type="pct"/>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rPr>
                  </w:pPr>
                  <w:r>
                    <w:rPr>
                      <w:rFonts w:hint="eastAsia" w:cs="Times New Roman"/>
                      <w:lang w:val="en-US" w:eastAsia="zh-CN"/>
                    </w:rPr>
                    <w:t>水性防腐涂料</w:t>
                  </w:r>
                </w:p>
              </w:tc>
              <w:tc>
                <w:tcPr>
                  <w:tcW w:w="1045" w:type="pct"/>
                  <w:vAlign w:val="center"/>
                </w:tcPr>
                <w:p>
                  <w:pPr>
                    <w:pStyle w:val="6"/>
                    <w:suppressLineNumbers w:val="0"/>
                    <w:bidi w:val="0"/>
                    <w:spacing w:before="0" w:beforeAutospacing="0" w:after="0" w:afterAutospacing="0"/>
                    <w:ind w:left="0" w:right="0"/>
                    <w:jc w:val="center"/>
                    <w:rPr>
                      <w:rFonts w:hint="default" w:ascii="Times New Roman" w:hAnsi="Times New Roman" w:cs="Times New Roman"/>
                      <w:highlight w:val="none"/>
                      <w:lang w:val="en-US" w:eastAsia="zh-CN"/>
                    </w:rPr>
                  </w:pPr>
                  <w:r>
                    <w:rPr>
                      <w:rFonts w:hint="eastAsia" w:cs="Times New Roman"/>
                      <w:lang w:val="en-US" w:eastAsia="zh-CN"/>
                    </w:rPr>
                    <w:t>包装桶</w:t>
                  </w:r>
                </w:p>
              </w:tc>
              <w:tc>
                <w:tcPr>
                  <w:tcW w:w="1934" w:type="pct"/>
                  <w:vMerge w:val="restart"/>
                  <w:vAlign w:val="center"/>
                </w:tcPr>
                <w:p>
                  <w:pPr>
                    <w:pStyle w:val="6"/>
                    <w:suppressLineNumbers w:val="0"/>
                    <w:bidi w:val="0"/>
                    <w:spacing w:before="0" w:beforeAutospacing="0" w:after="0" w:afterAutospacing="0"/>
                    <w:ind w:left="0" w:right="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交由厂家回收处理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0" w:hRule="atLeast"/>
                <w:jc w:val="center"/>
              </w:trPr>
              <w:tc>
                <w:tcPr>
                  <w:tcW w:w="461" w:type="pct"/>
                  <w:vMerge w:val="continue"/>
                </w:tcPr>
                <w:p>
                  <w:pPr>
                    <w:pStyle w:val="6"/>
                    <w:suppressLineNumbers w:val="0"/>
                    <w:bidi w:val="0"/>
                    <w:spacing w:before="0" w:beforeAutospacing="0" w:after="0" w:afterAutospacing="0"/>
                    <w:ind w:left="0" w:right="0"/>
                    <w:rPr>
                      <w:rFonts w:hint="default" w:ascii="Times New Roman" w:hAnsi="Times New Roman" w:cs="Times New Roman"/>
                      <w:highlight w:val="yellow"/>
                      <w:lang w:val="en-US" w:eastAsia="zh-CN"/>
                    </w:rPr>
                  </w:pPr>
                </w:p>
              </w:tc>
              <w:tc>
                <w:tcPr>
                  <w:tcW w:w="1558" w:type="pct"/>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rPr>
                  </w:pPr>
                  <w:r>
                    <w:rPr>
                      <w:rFonts w:hint="default" w:ascii="Times New Roman" w:hAnsi="Times New Roman" w:cs="Times New Roman"/>
                      <w:lang w:val="en-US" w:eastAsia="zh-CN"/>
                    </w:rPr>
                    <w:t>上料口处布袋除尘器</w:t>
                  </w:r>
                </w:p>
              </w:tc>
              <w:tc>
                <w:tcPr>
                  <w:tcW w:w="1045" w:type="pct"/>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废布袋</w:t>
                  </w:r>
                </w:p>
              </w:tc>
              <w:tc>
                <w:tcPr>
                  <w:tcW w:w="1934" w:type="pct"/>
                  <w:vMerge w:val="continue"/>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61" w:type="pct"/>
                  <w:vMerge w:val="continue"/>
                </w:tcPr>
                <w:p>
                  <w:pPr>
                    <w:pStyle w:val="6"/>
                    <w:suppressLineNumbers w:val="0"/>
                    <w:bidi w:val="0"/>
                    <w:spacing w:before="0" w:beforeAutospacing="0" w:after="0" w:afterAutospacing="0"/>
                    <w:ind w:left="0" w:right="0"/>
                    <w:rPr>
                      <w:rFonts w:hint="default" w:ascii="Times New Roman" w:hAnsi="Times New Roman" w:cs="Times New Roman"/>
                      <w:highlight w:val="yellow"/>
                      <w:lang w:val="en-US" w:eastAsia="zh-CN"/>
                    </w:rPr>
                  </w:pPr>
                </w:p>
              </w:tc>
              <w:tc>
                <w:tcPr>
                  <w:tcW w:w="1558" w:type="pct"/>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水泥筒仓滤筒式过滤器</w:t>
                  </w:r>
                </w:p>
              </w:tc>
              <w:tc>
                <w:tcPr>
                  <w:tcW w:w="1045" w:type="pct"/>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废滤芯</w:t>
                  </w:r>
                </w:p>
              </w:tc>
              <w:tc>
                <w:tcPr>
                  <w:tcW w:w="1934" w:type="pct"/>
                  <w:vMerge w:val="continue"/>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0" w:hRule="atLeast"/>
                <w:jc w:val="center"/>
              </w:trPr>
              <w:tc>
                <w:tcPr>
                  <w:tcW w:w="461" w:type="pct"/>
                  <w:vMerge w:val="continue"/>
                </w:tcPr>
                <w:p>
                  <w:pPr>
                    <w:pStyle w:val="6"/>
                    <w:suppressLineNumbers w:val="0"/>
                    <w:bidi w:val="0"/>
                    <w:spacing w:before="0" w:beforeAutospacing="0" w:after="0" w:afterAutospacing="0"/>
                    <w:ind w:left="0" w:right="0"/>
                    <w:rPr>
                      <w:rFonts w:hint="default" w:ascii="Times New Roman" w:hAnsi="Times New Roman" w:cs="Times New Roman"/>
                      <w:highlight w:val="yellow"/>
                      <w:lang w:val="en-US" w:eastAsia="zh-CN"/>
                    </w:rPr>
                  </w:pPr>
                </w:p>
              </w:tc>
              <w:tc>
                <w:tcPr>
                  <w:tcW w:w="1558" w:type="pct"/>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二级活性炭吸附装置</w:t>
                  </w:r>
                </w:p>
              </w:tc>
              <w:tc>
                <w:tcPr>
                  <w:tcW w:w="1045" w:type="pct"/>
                  <w:vAlign w:val="center"/>
                </w:tcPr>
                <w:p>
                  <w:pPr>
                    <w:pStyle w:val="6"/>
                    <w:suppressLineNumbers w:val="0"/>
                    <w:bidi w:val="0"/>
                    <w:spacing w:before="0" w:beforeAutospacing="0" w:after="0" w:afterAutospacing="0"/>
                    <w:ind w:left="0" w:right="0"/>
                    <w:jc w:val="center"/>
                    <w:rPr>
                      <w:rFonts w:hint="default" w:ascii="Times New Roman" w:hAnsi="Times New Roman" w:cs="Times New Roman"/>
                      <w:highlight w:val="none"/>
                      <w:lang w:val="en-US" w:eastAsia="zh-CN"/>
                    </w:rPr>
                  </w:pPr>
                  <w:r>
                    <w:rPr>
                      <w:rFonts w:hint="eastAsia" w:cs="Times New Roman"/>
                      <w:highlight w:val="none"/>
                      <w:lang w:val="en-US" w:eastAsia="zh-CN"/>
                    </w:rPr>
                    <w:t>废活性炭</w:t>
                  </w:r>
                </w:p>
              </w:tc>
              <w:tc>
                <w:tcPr>
                  <w:tcW w:w="1934" w:type="pct"/>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暂存在危废贮存点，委托有资质的单位统一处理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0" w:hRule="atLeast"/>
                <w:jc w:val="center"/>
              </w:trPr>
              <w:tc>
                <w:tcPr>
                  <w:tcW w:w="461" w:type="pct"/>
                  <w:vMerge w:val="continue"/>
                </w:tcPr>
                <w:p>
                  <w:pPr>
                    <w:pStyle w:val="6"/>
                    <w:suppressLineNumbers w:val="0"/>
                    <w:bidi w:val="0"/>
                    <w:spacing w:before="0" w:beforeAutospacing="0" w:after="0" w:afterAutospacing="0"/>
                    <w:ind w:left="0" w:right="0"/>
                    <w:rPr>
                      <w:rFonts w:hint="default" w:ascii="Times New Roman" w:hAnsi="Times New Roman" w:cs="Times New Roman"/>
                      <w:highlight w:val="yellow"/>
                      <w:lang w:val="en-US" w:eastAsia="zh-CN"/>
                    </w:rPr>
                  </w:pPr>
                </w:p>
              </w:tc>
              <w:tc>
                <w:tcPr>
                  <w:tcW w:w="1558" w:type="pct"/>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eastAsia" w:cs="Times New Roman"/>
                      <w:lang w:val="en-US" w:eastAsia="zh-CN"/>
                    </w:rPr>
                    <w:t>水性防腐涂料</w:t>
                  </w:r>
                </w:p>
              </w:tc>
              <w:tc>
                <w:tcPr>
                  <w:tcW w:w="1045" w:type="pct"/>
                  <w:vAlign w:val="center"/>
                </w:tcPr>
                <w:p>
                  <w:pPr>
                    <w:pStyle w:val="6"/>
                    <w:suppressLineNumbers w:val="0"/>
                    <w:bidi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水性漆漆渣</w:t>
                  </w:r>
                </w:p>
              </w:tc>
              <w:tc>
                <w:tcPr>
                  <w:tcW w:w="1934" w:type="pct"/>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一般工业固体废物填埋场处置</w:t>
                  </w:r>
                </w:p>
              </w:tc>
            </w:tr>
          </w:tbl>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71" w:hRule="atLeast"/>
          <w:jc w:val="center"/>
        </w:trPr>
        <w:tc>
          <w:tcPr>
            <w:tcW w:w="1072"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与项目有关的原有环境污染问题</w:t>
            </w:r>
          </w:p>
        </w:tc>
        <w:tc>
          <w:tcPr>
            <w:tcW w:w="7988" w:type="dxa"/>
            <w:noWrap w:val="0"/>
            <w:vAlign w:val="top"/>
          </w:tcPr>
          <w:p>
            <w:pPr>
              <w:pStyle w:val="3"/>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default" w:ascii="Times New Roman" w:hAnsi="Times New Roman" w:cs="Times New Roman"/>
                <w:lang w:val="en-US" w:eastAsia="zh-CN"/>
              </w:rPr>
              <w:t>1 现有工程概况</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巴州安禄能建材有限公司成立于2013年，建设地点位于新疆库尔勒上库高新技术产业开发区综合园安顺路69号。公司一期投资建设10万m</w:t>
            </w:r>
            <w:r>
              <w:rPr>
                <w:rFonts w:hint="eastAsia" w:cs="Times New Roman"/>
                <w:vertAlign w:val="superscript"/>
                <w:lang w:val="en-US" w:eastAsia="zh-CN"/>
              </w:rPr>
              <w:t>2</w:t>
            </w:r>
            <w:r>
              <w:rPr>
                <w:rFonts w:hint="eastAsia" w:cs="Times New Roman"/>
                <w:lang w:val="en-US" w:eastAsia="zh-CN"/>
              </w:rPr>
              <w:t>/年砖、板及路沿石生产加工建设项目。</w:t>
            </w:r>
          </w:p>
          <w:p>
            <w:pPr>
              <w:pStyle w:val="3"/>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default" w:ascii="Times New Roman" w:hAnsi="Times New Roman" w:cs="Times New Roman"/>
                <w:lang w:val="en-US" w:eastAsia="zh-CN"/>
              </w:rPr>
              <w:t>2 现有工程履行手续情况</w:t>
            </w:r>
          </w:p>
          <w:p>
            <w:pPr>
              <w:pStyle w:val="4"/>
              <w:keepNext w:val="0"/>
              <w:keepLines w:val="0"/>
              <w:suppressLineNumbers w:val="0"/>
              <w:bidi w:val="0"/>
              <w:ind w:left="0" w:right="0"/>
              <w:rPr>
                <w:rFonts w:hint="default" w:ascii="Times New Roman" w:hAnsi="Times New Roman" w:cs="Times New Roman"/>
                <w:lang w:val="en-US" w:eastAsia="zh-CN"/>
              </w:rPr>
            </w:pPr>
            <w:r>
              <w:rPr>
                <w:rFonts w:hint="default" w:ascii="Times New Roman" w:hAnsi="Times New Roman" w:cs="Times New Roman"/>
                <w:lang w:val="en-US" w:eastAsia="zh-CN"/>
              </w:rPr>
              <w:t>2.1 环境影响评价</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2013</w:t>
            </w:r>
            <w:r>
              <w:rPr>
                <w:rFonts w:hint="default" w:ascii="Times New Roman" w:hAnsi="Times New Roman" w:cs="Times New Roman"/>
                <w:highlight w:val="none"/>
                <w:lang w:val="en-US" w:eastAsia="zh-CN"/>
              </w:rPr>
              <w:t>年</w:t>
            </w:r>
            <w:r>
              <w:rPr>
                <w:rFonts w:hint="eastAsia" w:cs="Times New Roman"/>
                <w:highlight w:val="none"/>
                <w:lang w:val="en-US" w:eastAsia="zh-CN"/>
              </w:rPr>
              <w:t>10</w:t>
            </w:r>
            <w:r>
              <w:rPr>
                <w:rFonts w:hint="default" w:ascii="Times New Roman" w:hAnsi="Times New Roman" w:cs="Times New Roman"/>
                <w:highlight w:val="none"/>
                <w:lang w:val="en-US" w:eastAsia="zh-CN"/>
              </w:rPr>
              <w:t>月</w:t>
            </w:r>
            <w:r>
              <w:rPr>
                <w:rFonts w:hint="eastAsia" w:cs="Times New Roman"/>
                <w:highlight w:val="none"/>
                <w:lang w:val="en-US" w:eastAsia="zh-CN"/>
              </w:rPr>
              <w:t>，巴州安禄能建材有限公司</w:t>
            </w:r>
            <w:r>
              <w:rPr>
                <w:rFonts w:hint="default" w:ascii="Times New Roman" w:hAnsi="Times New Roman" w:cs="Times New Roman"/>
                <w:highlight w:val="none"/>
                <w:lang w:val="en-US" w:eastAsia="zh-CN"/>
              </w:rPr>
              <w:t>委托</w:t>
            </w:r>
            <w:r>
              <w:rPr>
                <w:rFonts w:hint="eastAsia" w:cs="Times New Roman"/>
                <w:highlight w:val="none"/>
                <w:lang w:val="en-US" w:eastAsia="zh-CN"/>
              </w:rPr>
              <w:t>巴州绿环环境科学技术研究所</w:t>
            </w:r>
            <w:r>
              <w:rPr>
                <w:rFonts w:hint="default" w:ascii="Times New Roman" w:hAnsi="Times New Roman" w:cs="Times New Roman"/>
                <w:highlight w:val="none"/>
                <w:lang w:val="en-US" w:eastAsia="zh-CN"/>
              </w:rPr>
              <w:t>编制</w:t>
            </w:r>
            <w:r>
              <w:rPr>
                <w:rFonts w:hint="eastAsia" w:cs="Times New Roman"/>
                <w:highlight w:val="none"/>
                <w:lang w:val="en-US" w:eastAsia="zh-CN"/>
              </w:rPr>
              <w:t>完成</w:t>
            </w:r>
            <w:r>
              <w:rPr>
                <w:rFonts w:hint="default" w:ascii="Times New Roman" w:hAnsi="Times New Roman" w:cs="Times New Roman"/>
                <w:highlight w:val="none"/>
                <w:lang w:val="en-US" w:eastAsia="zh-CN"/>
              </w:rPr>
              <w:t>《年产10万m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/年砖、板及路沿石生产加工建设项目环境影响报告表》</w:t>
            </w:r>
            <w:r>
              <w:rPr>
                <w:rFonts w:hint="eastAsia" w:cs="Times New Roman"/>
                <w:highlight w:val="none"/>
                <w:lang w:val="en-US" w:eastAsia="zh-CN"/>
              </w:rPr>
              <w:t>。</w:t>
            </w:r>
            <w:r>
              <w:rPr>
                <w:rFonts w:hint="default" w:ascii="Times New Roman" w:hAnsi="Times New Roman" w:cs="Times New Roman"/>
                <w:highlight w:val="none"/>
                <w:lang w:val="en-US" w:eastAsia="zh-CN"/>
              </w:rPr>
              <w:t>20</w:t>
            </w:r>
            <w:r>
              <w:rPr>
                <w:rFonts w:hint="eastAsia" w:cs="Times New Roman"/>
                <w:highlight w:val="none"/>
                <w:lang w:val="en-US" w:eastAsia="zh-CN"/>
              </w:rPr>
              <w:t>14</w:t>
            </w:r>
            <w:r>
              <w:rPr>
                <w:rFonts w:hint="default" w:ascii="Times New Roman" w:hAnsi="Times New Roman" w:cs="Times New Roman"/>
                <w:highlight w:val="none"/>
                <w:lang w:val="en-US" w:eastAsia="zh-CN"/>
              </w:rPr>
              <w:t>年</w:t>
            </w:r>
            <w:r>
              <w:rPr>
                <w:rFonts w:hint="eastAsia" w:cs="Times New Roman"/>
                <w:highlight w:val="none"/>
                <w:lang w:val="en-US" w:eastAsia="zh-CN"/>
              </w:rPr>
              <w:t>2</w:t>
            </w:r>
            <w:r>
              <w:rPr>
                <w:rFonts w:hint="default" w:ascii="Times New Roman" w:hAnsi="Times New Roman" w:cs="Times New Roman"/>
                <w:highlight w:val="none"/>
                <w:lang w:val="en-US" w:eastAsia="zh-CN"/>
              </w:rPr>
              <w:t>月1</w:t>
            </w:r>
            <w:r>
              <w:rPr>
                <w:rFonts w:hint="eastAsia" w:cs="Times New Roman"/>
                <w:highlight w:val="none"/>
                <w:lang w:val="en-US" w:eastAsia="zh-CN"/>
              </w:rPr>
              <w:t>3</w:t>
            </w:r>
            <w:r>
              <w:rPr>
                <w:rFonts w:hint="default" w:ascii="Times New Roman" w:hAnsi="Times New Roman" w:cs="Times New Roman"/>
                <w:highlight w:val="none"/>
                <w:lang w:val="en-US" w:eastAsia="zh-CN"/>
              </w:rPr>
              <w:t>日</w:t>
            </w:r>
            <w:r>
              <w:rPr>
                <w:rFonts w:hint="eastAsia" w:cs="Times New Roman"/>
                <w:highlight w:val="none"/>
                <w:lang w:val="en-US" w:eastAsia="zh-CN"/>
              </w:rPr>
              <w:t>，</w:t>
            </w:r>
            <w:r>
              <w:rPr>
                <w:rFonts w:hint="default" w:ascii="Times New Roman" w:hAnsi="Times New Roman" w:cs="Times New Roman"/>
                <w:highlight w:val="none"/>
                <w:lang w:val="en-US" w:eastAsia="zh-CN"/>
              </w:rPr>
              <w:t>取得《</w:t>
            </w:r>
            <w:r>
              <w:rPr>
                <w:rFonts w:hint="eastAsia" w:cs="Times New Roman"/>
                <w:highlight w:val="none"/>
                <w:lang w:val="en-US" w:eastAsia="zh-CN"/>
              </w:rPr>
              <w:t>关于巴州安禄能建材有限公司〈年产10万m</w:t>
            </w:r>
            <w:r>
              <w:rPr>
                <w:rFonts w:hint="eastAsia" w:cs="Times New Roman"/>
                <w:highlight w:val="none"/>
                <w:vertAlign w:val="superscript"/>
                <w:lang w:val="en-US" w:eastAsia="zh-CN"/>
              </w:rPr>
              <w:t>2</w:t>
            </w:r>
            <w:r>
              <w:rPr>
                <w:rFonts w:hint="eastAsia" w:cs="Times New Roman"/>
                <w:highlight w:val="none"/>
                <w:lang w:val="en-US" w:eastAsia="zh-CN"/>
              </w:rPr>
              <w:t>/年砖、板及路沿石生产加工建设项目环境影响报告表〉</w:t>
            </w:r>
            <w:r>
              <w:rPr>
                <w:rFonts w:hint="default" w:ascii="Times New Roman" w:hAnsi="Times New Roman" w:cs="Times New Roman"/>
                <w:highlight w:val="none"/>
                <w:lang w:val="en-US" w:eastAsia="zh-CN"/>
              </w:rPr>
              <w:t>的批复》（</w:t>
            </w:r>
            <w:r>
              <w:rPr>
                <w:rFonts w:hint="eastAsia" w:cs="Times New Roman"/>
                <w:highlight w:val="none"/>
                <w:lang w:val="en-US" w:eastAsia="zh-CN"/>
              </w:rPr>
              <w:t>巴</w:t>
            </w:r>
            <w:r>
              <w:rPr>
                <w:rFonts w:hint="default" w:ascii="Times New Roman" w:hAnsi="Times New Roman" w:cs="Times New Roman"/>
                <w:highlight w:val="none"/>
                <w:lang w:val="en-US" w:eastAsia="zh-CN"/>
              </w:rPr>
              <w:t>环评价函〔</w:t>
            </w:r>
            <w:r>
              <w:rPr>
                <w:rFonts w:hint="eastAsia" w:cs="Times New Roman"/>
                <w:highlight w:val="none"/>
                <w:lang w:val="en-US" w:eastAsia="zh-CN"/>
              </w:rPr>
              <w:t>2014</w:t>
            </w:r>
            <w:r>
              <w:rPr>
                <w:rFonts w:hint="default" w:ascii="Times New Roman" w:hAnsi="Times New Roman" w:cs="Times New Roman"/>
                <w:highlight w:val="none"/>
                <w:lang w:val="en-US" w:eastAsia="zh-CN"/>
              </w:rPr>
              <w:t>〕</w:t>
            </w:r>
            <w:r>
              <w:rPr>
                <w:rFonts w:hint="eastAsia" w:cs="Times New Roman"/>
                <w:highlight w:val="none"/>
                <w:lang w:val="en-US" w:eastAsia="zh-CN"/>
              </w:rPr>
              <w:t>43号</w:t>
            </w:r>
            <w:r>
              <w:rPr>
                <w:rFonts w:hint="default" w:ascii="Times New Roman" w:hAnsi="Times New Roman" w:cs="Times New Roman"/>
                <w:highlight w:val="none"/>
                <w:lang w:val="en-US" w:eastAsia="zh-CN"/>
              </w:rPr>
              <w:t>）；</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2020</w:t>
            </w:r>
            <w:r>
              <w:rPr>
                <w:rFonts w:hint="default" w:ascii="Times New Roman" w:hAnsi="Times New Roman" w:cs="Times New Roman"/>
                <w:highlight w:val="none"/>
                <w:lang w:val="en-US" w:eastAsia="zh-CN"/>
              </w:rPr>
              <w:t>年</w:t>
            </w:r>
            <w:r>
              <w:rPr>
                <w:rFonts w:hint="eastAsia" w:cs="Times New Roman"/>
                <w:highlight w:val="none"/>
                <w:lang w:val="en-US" w:eastAsia="zh-CN"/>
              </w:rPr>
              <w:t>5</w:t>
            </w:r>
            <w:r>
              <w:rPr>
                <w:rFonts w:hint="default" w:ascii="Times New Roman" w:hAnsi="Times New Roman" w:cs="Times New Roman"/>
                <w:highlight w:val="none"/>
                <w:lang w:val="en-US" w:eastAsia="zh-CN"/>
              </w:rPr>
              <w:t>月</w:t>
            </w:r>
            <w:r>
              <w:rPr>
                <w:rFonts w:hint="eastAsia" w:cs="Times New Roman"/>
                <w:highlight w:val="none"/>
                <w:lang w:val="en-US" w:eastAsia="zh-CN"/>
              </w:rPr>
              <w:t>，</w:t>
            </w:r>
            <w:r>
              <w:rPr>
                <w:rFonts w:hint="default" w:ascii="Times New Roman" w:hAnsi="Times New Roman" w:cs="Times New Roman"/>
                <w:highlight w:val="none"/>
                <w:lang w:val="en-US" w:eastAsia="zh-CN"/>
              </w:rPr>
              <w:t>委托巴州永诚环境监测技术服务有限公司开展</w:t>
            </w:r>
            <w:r>
              <w:rPr>
                <w:rFonts w:hint="eastAsia" w:cs="Times New Roman"/>
                <w:highlight w:val="none"/>
                <w:lang w:val="en-US" w:eastAsia="zh-CN"/>
              </w:rPr>
              <w:t>工程</w:t>
            </w:r>
            <w:r>
              <w:rPr>
                <w:rFonts w:hint="default" w:ascii="Times New Roman" w:hAnsi="Times New Roman" w:cs="Times New Roman"/>
                <w:highlight w:val="none"/>
                <w:lang w:val="en-US" w:eastAsia="zh-CN"/>
              </w:rPr>
              <w:t>竣工环境保护验收相关工作。经规范监测、核查，一期10万m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/年砖、板及路沿石生产加工建设项目顺利通过竣工环境保护验收。</w:t>
            </w:r>
          </w:p>
          <w:p>
            <w:pPr>
              <w:pStyle w:val="4"/>
              <w:keepNext w:val="0"/>
              <w:keepLines w:val="0"/>
              <w:suppressLineNumbers w:val="0"/>
              <w:bidi w:val="0"/>
              <w:ind w:left="0" w:right="0"/>
              <w:rPr>
                <w:rFonts w:hint="default" w:ascii="Times New Roman" w:hAnsi="Times New Roman" w:cs="Times New Roman"/>
                <w:lang w:val="en-US" w:eastAsia="zh-CN"/>
              </w:rPr>
            </w:pPr>
            <w:r>
              <w:rPr>
                <w:rFonts w:hint="default" w:ascii="Times New Roman" w:hAnsi="Times New Roman" w:cs="Times New Roman"/>
                <w:lang w:val="en-US" w:eastAsia="zh-CN"/>
              </w:rPr>
              <w:t>2.2 排污许可证</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i w:val="0"/>
                <w:iCs w:val="0"/>
                <w:highlight w:val="none"/>
                <w:lang w:val="en-US" w:eastAsia="zh-CN"/>
              </w:rPr>
            </w:pPr>
            <w:r>
              <w:rPr>
                <w:rFonts w:hint="default" w:ascii="Times New Roman" w:hAnsi="Times New Roman" w:cs="Times New Roman"/>
                <w:lang w:val="en-US" w:eastAsia="zh-CN"/>
              </w:rPr>
              <w:t>现有项目已按相关管理要求完成排污许可申报工作，登记回执编号</w:t>
            </w:r>
            <w:r>
              <w:rPr>
                <w:rFonts w:hint="default" w:ascii="Times New Roman" w:hAnsi="Times New Roman" w:cs="Times New Roman"/>
                <w:i w:val="0"/>
                <w:iCs w:val="0"/>
                <w:highlight w:val="none"/>
                <w:lang w:val="en-US" w:eastAsia="zh-CN"/>
              </w:rPr>
              <w:t>：91652801313394813R001Z。</w:t>
            </w:r>
          </w:p>
          <w:p>
            <w:pPr>
              <w:pStyle w:val="3"/>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default" w:ascii="Times New Roman" w:hAnsi="Times New Roman" w:cs="Times New Roman"/>
                <w:lang w:val="en-US" w:eastAsia="zh-CN"/>
              </w:rPr>
              <w:t>3 现有工程污染物实际排放总量</w:t>
            </w:r>
          </w:p>
          <w:p>
            <w:pPr>
              <w:pStyle w:val="5"/>
              <w:suppressLineNumbers w:val="0"/>
              <w:bidi w:val="0"/>
              <w:spacing w:before="0" w:beforeAutospacing="0" w:after="0" w:afterAutospacing="0"/>
              <w:ind w:left="0" w:right="0"/>
              <w:rPr>
                <w:rFonts w:hint="eastAsia"/>
                <w:lang w:val="en-US" w:eastAsia="zh-CN"/>
              </w:rPr>
            </w:pPr>
            <w:r>
              <w:rPr>
                <w:rFonts w:hint="eastAsia"/>
                <w:lang w:val="en-US" w:eastAsia="zh-CN"/>
              </w:rPr>
              <w:t>图2-3  现有工程工艺流程及产污工序</w:t>
            </w:r>
          </w:p>
          <w:p>
            <w:pPr>
              <w:keepNext w:val="0"/>
              <w:keepLines w:val="0"/>
              <w:suppressLineNumbers w:val="0"/>
              <w:bidi w:val="0"/>
              <w:spacing w:before="0" w:beforeAutospacing="0" w:after="0" w:afterAutospacing="0"/>
              <w:ind w:left="0" w:right="0"/>
              <w:rPr>
                <w:rFonts w:hint="default" w:cs="Times New Roman"/>
                <w:lang w:val="en-US" w:eastAsia="zh-CN"/>
              </w:rPr>
            </w:pPr>
            <w:r>
              <w:rPr>
                <w:rFonts w:hint="eastAsia" w:cs="Times New Roman"/>
                <w:lang w:val="en-US" w:eastAsia="zh-CN"/>
              </w:rPr>
              <w:t>工艺流程：</w:t>
            </w:r>
          </w:p>
          <w:p>
            <w:pPr>
              <w:keepNext w:val="0"/>
              <w:keepLines w:val="0"/>
              <w:suppressLineNumbers w:val="0"/>
              <w:bidi w:val="0"/>
              <w:spacing w:before="0" w:beforeAutospacing="0" w:after="0" w:afterAutospacing="0"/>
              <w:ind w:left="0" w:right="0"/>
              <w:rPr>
                <w:rFonts w:hint="eastAsia" w:cs="Times New Roman"/>
                <w:lang w:val="en-US" w:eastAsia="zh-CN"/>
              </w:rPr>
            </w:pPr>
            <w:r>
              <w:rPr>
                <w:rFonts w:hint="eastAsia" w:cs="Times New Roman"/>
                <w:lang w:val="en-US" w:eastAsia="zh-CN"/>
              </w:rPr>
              <w:t>1.现有项目主要以水泥为胶结料，以砂石料、石粉、石英、粉煤灰等为骨料，用其中一种或几种混合用均可。</w:t>
            </w:r>
          </w:p>
          <w:p>
            <w:pPr>
              <w:keepNext w:val="0"/>
              <w:keepLines w:val="0"/>
              <w:suppressLineNumbers w:val="0"/>
              <w:bidi w:val="0"/>
              <w:spacing w:before="0" w:beforeAutospacing="0" w:after="0" w:afterAutospacing="0"/>
              <w:ind w:left="0" w:right="0"/>
              <w:rPr>
                <w:rFonts w:hint="eastAsia" w:cs="Times New Roman"/>
                <w:lang w:val="en-US" w:eastAsia="zh-CN"/>
              </w:rPr>
            </w:pPr>
            <w:r>
              <w:rPr>
                <w:rFonts w:hint="eastAsia" w:cs="Times New Roman"/>
                <w:lang w:val="en-US" w:eastAsia="zh-CN"/>
              </w:rPr>
              <w:t>2.各种原材料按照一定比例配比混合，进入搅拌机搅拌，经过一定时间的搅拌，用机器给于一定压力压缩成型，经过自然养护，即成成品。整个生产工艺中无须加热烧制，生产用水仅供混合搅拌使用，不外排。</w:t>
            </w:r>
          </w:p>
          <w:p>
            <w:pPr>
              <w:keepNext w:val="0"/>
              <w:keepLines w:val="0"/>
              <w:suppressLineNumbers w:val="0"/>
              <w:bidi w:val="0"/>
              <w:spacing w:before="0" w:beforeAutospacing="0" w:after="0" w:afterAutospacing="0"/>
              <w:ind w:left="0" w:right="0"/>
              <w:rPr>
                <w:rFonts w:hint="eastAsia" w:cs="Times New Roman"/>
                <w:lang w:val="en-US" w:eastAsia="zh-CN"/>
              </w:rPr>
            </w:pPr>
            <w:r>
              <w:rPr>
                <w:rFonts w:hint="eastAsia" w:cs="Times New Roman"/>
                <w:lang w:val="en-US" w:eastAsia="zh-CN"/>
              </w:rPr>
              <w:t>3.砖坯的养护:砖坯采用自然养护，在夏季，砖坯堆码6小时后，即可浇水养护；冬季12小时后浇水养护，一般自然养护时间为28天。</w:t>
            </w:r>
            <w:r>
              <w:rPr>
                <w:rFonts w:hint="eastAsia" w:cs="Times New Roman"/>
                <w:lang w:val="en-US" w:eastAsia="zh-CN"/>
              </w:rPr>
              <w:drawing>
                <wp:anchor distT="0" distB="0" distL="114300" distR="114300" simplePos="0" relativeHeight="251660288" behindDoc="0" locked="0" layoutInCell="1" allowOverlap="1">
                  <wp:simplePos x="0" y="0"/>
                  <wp:positionH relativeFrom="column">
                    <wp:posOffset>448945</wp:posOffset>
                  </wp:positionH>
                  <wp:positionV relativeFrom="paragraph">
                    <wp:posOffset>-5194300</wp:posOffset>
                  </wp:positionV>
                  <wp:extent cx="3673475" cy="3476625"/>
                  <wp:effectExtent l="0" t="0" r="3175" b="952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3673475" cy="3476625"/>
                          </a:xfrm>
                          <a:prstGeom prst="rect">
                            <a:avLst/>
                          </a:prstGeom>
                          <a:noFill/>
                          <a:ln>
                            <a:noFill/>
                          </a:ln>
                        </pic:spPr>
                      </pic:pic>
                    </a:graphicData>
                  </a:graphic>
                </wp:anchor>
              </w:drawing>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根据《10万m</w:t>
            </w:r>
            <w:r>
              <w:rPr>
                <w:rFonts w:hint="eastAsia" w:cs="Times New Roman"/>
                <w:vertAlign w:val="superscript"/>
                <w:lang w:val="en-US" w:eastAsia="zh-CN"/>
              </w:rPr>
              <w:t>2</w:t>
            </w:r>
            <w:r>
              <w:rPr>
                <w:rFonts w:hint="eastAsia" w:cs="Times New Roman"/>
                <w:vertAlign w:val="baseline"/>
                <w:lang w:val="en-US" w:eastAsia="zh-CN"/>
              </w:rPr>
              <w:t>/年砖、板及路沿石生产加工建设项目环境影响报告表</w:t>
            </w:r>
            <w:r>
              <w:rPr>
                <w:rFonts w:hint="eastAsia" w:cs="Times New Roman"/>
                <w:lang w:val="en-US" w:eastAsia="zh-CN"/>
              </w:rPr>
              <w:t>》和《10万m</w:t>
            </w:r>
            <w:r>
              <w:rPr>
                <w:rFonts w:hint="eastAsia" w:cs="Times New Roman"/>
                <w:vertAlign w:val="superscript"/>
                <w:lang w:val="en-US" w:eastAsia="zh-CN"/>
              </w:rPr>
              <w:t>2</w:t>
            </w:r>
            <w:r>
              <w:rPr>
                <w:rFonts w:hint="eastAsia" w:cs="Times New Roman"/>
                <w:lang w:val="en-US" w:eastAsia="zh-CN"/>
              </w:rPr>
              <w:t>/年砖、板及路沿石生产加工建设项目竣工环境保护验收》中内容可知，</w:t>
            </w:r>
            <w:r>
              <w:rPr>
                <w:rFonts w:hint="default" w:ascii="Times New Roman" w:hAnsi="Times New Roman" w:cs="Times New Roman"/>
                <w:lang w:val="en-US" w:eastAsia="zh-CN"/>
              </w:rPr>
              <w:t>现有工程</w:t>
            </w:r>
            <w:r>
              <w:rPr>
                <w:rFonts w:hint="eastAsia" w:cs="Times New Roman"/>
                <w:lang w:val="en-US" w:eastAsia="zh-CN"/>
              </w:rPr>
              <w:t>污染物排放情况详</w:t>
            </w:r>
            <w:r>
              <w:rPr>
                <w:rFonts w:hint="default" w:ascii="Times New Roman" w:hAnsi="Times New Roman" w:cs="Times New Roman"/>
                <w:lang w:val="en-US" w:eastAsia="zh-CN"/>
              </w:rPr>
              <w:t>见下表2-</w:t>
            </w:r>
            <w:r>
              <w:rPr>
                <w:rFonts w:hint="eastAsia" w:cs="Times New Roman"/>
                <w:lang w:val="en-US" w:eastAsia="zh-CN"/>
              </w:rPr>
              <w:t>7</w:t>
            </w:r>
            <w:r>
              <w:rPr>
                <w:rFonts w:hint="default" w:ascii="Times New Roman" w:hAnsi="Times New Roman" w:cs="Times New Roman"/>
                <w:lang w:val="en-US" w:eastAsia="zh-CN"/>
              </w:rPr>
              <w:t>。</w:t>
            </w:r>
          </w:p>
          <w:p>
            <w:pPr>
              <w:pStyle w:val="5"/>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表2-</w:t>
            </w:r>
            <w:r>
              <w:rPr>
                <w:rFonts w:hint="eastAsia" w:cs="Times New Roman"/>
                <w:lang w:val="en-US" w:eastAsia="zh-CN"/>
              </w:rPr>
              <w:t>7</w:t>
            </w:r>
            <w:r>
              <w:rPr>
                <w:rFonts w:hint="default" w:ascii="Times New Roman" w:hAnsi="Times New Roman" w:cs="Times New Roman"/>
                <w:lang w:val="en-US" w:eastAsia="zh-CN"/>
              </w:rPr>
              <w:t xml:space="preserve">  项目现有工程污染物排放情况一览表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1432"/>
              <w:gridCol w:w="1328"/>
              <w:gridCol w:w="1950"/>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708"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类别</w:t>
                  </w:r>
                </w:p>
              </w:tc>
              <w:tc>
                <w:tcPr>
                  <w:tcW w:w="922"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产污环节</w:t>
                  </w:r>
                </w:p>
              </w:tc>
              <w:tc>
                <w:tcPr>
                  <w:tcW w:w="855"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污染物</w:t>
                  </w:r>
                </w:p>
              </w:tc>
              <w:tc>
                <w:tcPr>
                  <w:tcW w:w="1256"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现有工程全厂排放总量</w:t>
                  </w:r>
                </w:p>
              </w:tc>
              <w:tc>
                <w:tcPr>
                  <w:tcW w:w="1256"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8"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废气</w:t>
                  </w:r>
                </w:p>
              </w:tc>
              <w:tc>
                <w:tcPr>
                  <w:tcW w:w="922"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水泥制品生产环节</w:t>
                  </w:r>
                </w:p>
              </w:tc>
              <w:tc>
                <w:tcPr>
                  <w:tcW w:w="855"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颗粒物</w:t>
                  </w:r>
                </w:p>
              </w:tc>
              <w:tc>
                <w:tcPr>
                  <w:tcW w:w="1256"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15.77</w:t>
                  </w:r>
                  <w:r>
                    <w:rPr>
                      <w:rFonts w:hint="default" w:ascii="Times New Roman" w:hAnsi="Times New Roman" w:cs="Times New Roman"/>
                      <w:lang w:val="en-US" w:eastAsia="zh-CN"/>
                    </w:rPr>
                    <w:t>t/a</w:t>
                  </w:r>
                </w:p>
              </w:tc>
              <w:tc>
                <w:tcPr>
                  <w:tcW w:w="1256"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废水</w:t>
                  </w:r>
                </w:p>
              </w:tc>
              <w:tc>
                <w:tcPr>
                  <w:tcW w:w="922"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生活污水</w:t>
                  </w:r>
                </w:p>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cs="Times New Roman"/>
                      <w:lang w:val="en-US" w:eastAsia="zh-CN"/>
                    </w:rPr>
                    <w:t>264.96</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w:t>
                  </w:r>
                </w:p>
              </w:tc>
              <w:tc>
                <w:tcPr>
                  <w:tcW w:w="855"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COD</w:t>
                  </w:r>
                </w:p>
              </w:tc>
              <w:tc>
                <w:tcPr>
                  <w:tcW w:w="1256"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0.04</w:t>
                  </w:r>
                  <w:r>
                    <w:rPr>
                      <w:rFonts w:hint="default" w:ascii="Times New Roman" w:hAnsi="Times New Roman" w:cs="Times New Roman"/>
                      <w:lang w:val="en-US" w:eastAsia="zh-CN"/>
                    </w:rPr>
                    <w:t>t/a</w:t>
                  </w:r>
                </w:p>
              </w:tc>
              <w:tc>
                <w:tcPr>
                  <w:tcW w:w="1256"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生活污水经化粪池预处理后排入铁门关市污水处理厂统一处理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8"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922"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855"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BOD</w:t>
                  </w:r>
                  <w:r>
                    <w:rPr>
                      <w:rFonts w:hint="default" w:ascii="Times New Roman" w:hAnsi="Times New Roman" w:cs="Times New Roman"/>
                      <w:vertAlign w:val="subscript"/>
                      <w:lang w:val="en-US" w:eastAsia="zh-CN"/>
                    </w:rPr>
                    <w:t>5</w:t>
                  </w:r>
                </w:p>
              </w:tc>
              <w:tc>
                <w:tcPr>
                  <w:tcW w:w="1256"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0.008</w:t>
                  </w:r>
                  <w:r>
                    <w:rPr>
                      <w:rFonts w:hint="default" w:ascii="Times New Roman" w:hAnsi="Times New Roman" w:cs="Times New Roman"/>
                      <w:lang w:val="en-US" w:eastAsia="zh-CN"/>
                    </w:rPr>
                    <w:t>t/a</w:t>
                  </w:r>
                </w:p>
              </w:tc>
              <w:tc>
                <w:tcPr>
                  <w:tcW w:w="1256"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8"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922"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855"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SS</w:t>
                  </w:r>
                </w:p>
              </w:tc>
              <w:tc>
                <w:tcPr>
                  <w:tcW w:w="1256"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0.026</w:t>
                  </w:r>
                  <w:r>
                    <w:rPr>
                      <w:rFonts w:hint="default" w:ascii="Times New Roman" w:hAnsi="Times New Roman" w:cs="Times New Roman"/>
                      <w:lang w:val="en-US" w:eastAsia="zh-CN"/>
                    </w:rPr>
                    <w:t>t/a</w:t>
                  </w:r>
                </w:p>
              </w:tc>
              <w:tc>
                <w:tcPr>
                  <w:tcW w:w="1256"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8"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922"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855"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NH</w:t>
                  </w:r>
                  <w:r>
                    <w:rPr>
                      <w:rFonts w:hint="default" w:ascii="Times New Roman" w:hAnsi="Times New Roman" w:cs="Times New Roman"/>
                      <w:vertAlign w:val="subscript"/>
                      <w:lang w:val="en-US" w:eastAsia="zh-CN"/>
                    </w:rPr>
                    <w:t>3</w:t>
                  </w:r>
                  <w:r>
                    <w:rPr>
                      <w:rFonts w:hint="default" w:ascii="Times New Roman" w:hAnsi="Times New Roman" w:cs="Times New Roman"/>
                      <w:lang w:val="en-US" w:eastAsia="zh-CN"/>
                    </w:rPr>
                    <w:t>-N</w:t>
                  </w:r>
                </w:p>
              </w:tc>
              <w:tc>
                <w:tcPr>
                  <w:tcW w:w="1256" w:type="pct"/>
                  <w:vAlign w:val="center"/>
                </w:tcPr>
                <w:p>
                  <w:pPr>
                    <w:pStyle w:val="6"/>
                    <w:suppressLineNumbers w:val="0"/>
                    <w:bidi w:val="0"/>
                    <w:spacing w:before="0" w:beforeAutospacing="0" w:after="0" w:afterAutospacing="0"/>
                    <w:ind w:left="0" w:right="0"/>
                    <w:rPr>
                      <w:rFonts w:hint="default" w:ascii="Times New Roman" w:hAnsi="Times New Roman" w:cs="Times New Roman"/>
                      <w:vertAlign w:val="baseline"/>
                      <w:lang w:val="en-US" w:eastAsia="zh-CN"/>
                    </w:rPr>
                  </w:pPr>
                  <w:r>
                    <w:rPr>
                      <w:rFonts w:hint="eastAsia" w:cs="Times New Roman"/>
                      <w:lang w:val="en-US" w:eastAsia="zh-CN"/>
                    </w:rPr>
                    <w:t>0.0066</w:t>
                  </w:r>
                  <w:r>
                    <w:rPr>
                      <w:rFonts w:hint="default" w:ascii="Times New Roman" w:hAnsi="Times New Roman" w:cs="Times New Roman"/>
                      <w:vertAlign w:val="baseline"/>
                      <w:lang w:val="en-US" w:eastAsia="zh-CN"/>
                    </w:rPr>
                    <w:t>t/a</w:t>
                  </w:r>
                </w:p>
              </w:tc>
              <w:tc>
                <w:tcPr>
                  <w:tcW w:w="1256"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固废</w:t>
                  </w:r>
                </w:p>
              </w:tc>
              <w:tc>
                <w:tcPr>
                  <w:tcW w:w="922"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生产环节</w:t>
                  </w:r>
                </w:p>
              </w:tc>
              <w:tc>
                <w:tcPr>
                  <w:tcW w:w="855"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混凝土残渣</w:t>
                  </w:r>
                </w:p>
              </w:tc>
              <w:tc>
                <w:tcPr>
                  <w:tcW w:w="1256"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733t/a</w:t>
                  </w:r>
                </w:p>
              </w:tc>
              <w:tc>
                <w:tcPr>
                  <w:tcW w:w="1256" w:type="pct"/>
                  <w:vAlign w:val="center"/>
                </w:tcPr>
                <w:p>
                  <w:pPr>
                    <w:pStyle w:val="6"/>
                    <w:suppressLineNumbers w:val="0"/>
                    <w:bidi w:val="0"/>
                    <w:spacing w:before="0" w:beforeAutospacing="0" w:after="0" w:afterAutospacing="0"/>
                    <w:ind w:left="0" w:right="0"/>
                    <w:rPr>
                      <w:rFonts w:hint="default" w:cs="Times New Roman"/>
                      <w:lang w:val="en-US" w:eastAsia="zh-CN"/>
                    </w:rPr>
                  </w:pPr>
                  <w:r>
                    <w:rPr>
                      <w:rFonts w:hint="eastAsia" w:cs="Times New Roman"/>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8"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922"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生活区</w:t>
                  </w:r>
                </w:p>
              </w:tc>
              <w:tc>
                <w:tcPr>
                  <w:tcW w:w="855"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生活垃圾</w:t>
                  </w:r>
                </w:p>
              </w:tc>
              <w:tc>
                <w:tcPr>
                  <w:tcW w:w="1256"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3.84</w:t>
                  </w:r>
                  <w:r>
                    <w:rPr>
                      <w:rFonts w:hint="default" w:ascii="Times New Roman" w:hAnsi="Times New Roman" w:cs="Times New Roman"/>
                      <w:lang w:val="en-US" w:eastAsia="zh-CN"/>
                    </w:rPr>
                    <w:t>t/a</w:t>
                  </w:r>
                </w:p>
              </w:tc>
              <w:tc>
                <w:tcPr>
                  <w:tcW w:w="1256" w:type="pct"/>
                  <w:vAlign w:val="center"/>
                </w:tcPr>
                <w:p>
                  <w:pPr>
                    <w:pStyle w:val="6"/>
                    <w:suppressLineNumbers w:val="0"/>
                    <w:bidi w:val="0"/>
                    <w:spacing w:before="0" w:beforeAutospacing="0" w:after="0" w:afterAutospacing="0"/>
                    <w:ind w:left="0" w:right="0"/>
                    <w:rPr>
                      <w:rFonts w:hint="eastAsia" w:cs="Times New Roman"/>
                      <w:lang w:val="en-US" w:eastAsia="zh-CN"/>
                    </w:rPr>
                  </w:pPr>
                  <w:r>
                    <w:rPr>
                      <w:rFonts w:hint="eastAsia" w:cs="Times New Roman"/>
                      <w:lang w:val="en-US" w:eastAsia="zh-CN"/>
                    </w:rPr>
                    <w:t>委托环卫部门及时清运</w:t>
                  </w:r>
                </w:p>
              </w:tc>
            </w:tr>
          </w:tbl>
          <w:p>
            <w:pPr>
              <w:pStyle w:val="3"/>
              <w:keepLines w:val="0"/>
              <w:suppressLineNumbers w:val="0"/>
              <w:bidi w:val="0"/>
              <w:spacing w:before="0" w:beforeAutospacing="0" w:after="0" w:afterAutospacing="0"/>
              <w:ind w:right="0"/>
              <w:rPr>
                <w:rFonts w:hint="eastAsia" w:cs="Times New Roman"/>
                <w:lang w:val="en-US" w:eastAsia="zh-CN"/>
              </w:rPr>
            </w:pPr>
            <w:r>
              <w:rPr>
                <w:rFonts w:hint="eastAsia" w:cs="Times New Roman"/>
                <w:lang w:val="en-US" w:eastAsia="zh-CN"/>
              </w:rPr>
              <w:t>4 现有项目主要环境问题及整改措施</w:t>
            </w:r>
          </w:p>
          <w:p>
            <w:pPr>
              <w:keepNext w:val="0"/>
              <w:keepLines w:val="0"/>
              <w:suppressLineNumbers w:val="0"/>
              <w:spacing w:before="0" w:beforeAutospacing="0" w:after="0" w:afterAutospacing="0"/>
              <w:ind w:left="0" w:right="0"/>
              <w:rPr>
                <w:rFonts w:hint="default"/>
                <w:highlight w:val="none"/>
                <w:lang w:val="en-US" w:eastAsia="zh-CN"/>
              </w:rPr>
            </w:pPr>
            <w:r>
              <w:rPr>
                <w:rFonts w:hint="default"/>
                <w:highlight w:val="none"/>
                <w:lang w:val="en-US" w:eastAsia="zh-CN"/>
              </w:rPr>
              <w:t>根据调查，</w:t>
            </w:r>
            <w:r>
              <w:rPr>
                <w:rFonts w:hint="eastAsia"/>
                <w:highlight w:val="none"/>
                <w:lang w:val="en-US" w:eastAsia="zh-CN"/>
              </w:rPr>
              <w:t>现有项目</w:t>
            </w:r>
            <w:r>
              <w:rPr>
                <w:rFonts w:hint="default"/>
                <w:highlight w:val="none"/>
                <w:lang w:val="en-US" w:eastAsia="zh-CN"/>
              </w:rPr>
              <w:t>未按照《企业事业单位突发环境事件应急预案备案管理 办法（试行）》（环发〔2015〕4号）编制突发环境事件应急预案，</w:t>
            </w:r>
            <w:r>
              <w:rPr>
                <w:rFonts w:hint="eastAsia"/>
                <w:highlight w:val="none"/>
                <w:lang w:val="en-US" w:eastAsia="zh-CN"/>
              </w:rPr>
              <w:t>企业</w:t>
            </w:r>
            <w:r>
              <w:rPr>
                <w:rFonts w:hint="default"/>
                <w:highlight w:val="none"/>
                <w:lang w:val="en-US" w:eastAsia="zh-CN"/>
              </w:rPr>
              <w:t>应及时编制突发环境事件应急预案并备案。</w:t>
            </w:r>
          </w:p>
          <w:p>
            <w:pPr>
              <w:pStyle w:val="3"/>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eastAsia" w:cs="Times New Roman"/>
                <w:lang w:val="en-US" w:eastAsia="zh-CN"/>
              </w:rPr>
              <w:t>5</w:t>
            </w:r>
            <w:r>
              <w:rPr>
                <w:rFonts w:hint="default" w:ascii="Times New Roman" w:hAnsi="Times New Roman" w:cs="Times New Roman"/>
                <w:lang w:val="en-US" w:eastAsia="zh-CN"/>
              </w:rPr>
              <w:t xml:space="preserve"> 与该项目有关的主要环境问题及整改措施</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①主要环境问题：</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经现场踏勘核实巴州安禄能建材有限公司二期装配式水泥制品项目</w:t>
            </w:r>
            <w:r>
              <w:rPr>
                <w:rFonts w:hint="eastAsia" w:cs="Times New Roman"/>
                <w:lang w:val="en-US" w:eastAsia="zh-CN"/>
              </w:rPr>
              <w:t>钢筋</w:t>
            </w:r>
            <w:r>
              <w:rPr>
                <w:rFonts w:hint="default" w:ascii="Times New Roman" w:hAnsi="Times New Roman" w:cs="Times New Roman"/>
                <w:lang w:val="en-US" w:eastAsia="zh-CN"/>
              </w:rPr>
              <w:t>生产厂房已建成，相关生产设备已初步安装到位，尚未投入生产运营</w:t>
            </w:r>
            <w:r>
              <w:rPr>
                <w:rFonts w:hint="eastAsia" w:cs="Times New Roman"/>
                <w:lang w:val="en-US" w:eastAsia="zh-CN"/>
              </w:rPr>
              <w:t>，项目暂未受到生态环境主管部门行政处罚，未产生实际污染物排放，未造成环境污染或生态破坏后果</w:t>
            </w:r>
            <w:r>
              <w:rPr>
                <w:rFonts w:hint="default" w:ascii="Times New Roman" w:hAnsi="Times New Roman" w:cs="Times New Roman"/>
                <w:lang w:val="en-US" w:eastAsia="zh-CN"/>
              </w:rPr>
              <w:t>。</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②整改措施：</w:t>
            </w:r>
          </w:p>
          <w:p>
            <w:pPr>
              <w:keepNext w:val="0"/>
              <w:keepLines w:val="0"/>
              <w:suppressLineNumbers w:val="0"/>
              <w:bidi w:val="0"/>
              <w:spacing w:before="0" w:beforeAutospacing="0" w:after="0" w:afterAutospacing="0"/>
              <w:ind w:left="0" w:right="0"/>
              <w:rPr>
                <w:rFonts w:hint="eastAsia" w:cs="Times New Roman"/>
                <w:highlight w:val="none"/>
                <w:lang w:val="en-US" w:eastAsia="zh-CN"/>
              </w:rPr>
            </w:pPr>
            <w:r>
              <w:rPr>
                <w:rFonts w:hint="default" w:ascii="Times New Roman" w:hAnsi="Times New Roman" w:cs="Times New Roman"/>
                <w:highlight w:val="none"/>
                <w:lang w:val="en-US" w:eastAsia="zh-CN"/>
              </w:rPr>
              <w:t>开展环境影响评价工作</w:t>
            </w:r>
            <w:r>
              <w:rPr>
                <w:rFonts w:hint="eastAsia" w:cs="Times New Roman"/>
                <w:highlight w:val="none"/>
                <w:lang w:val="en-US" w:eastAsia="zh-CN"/>
              </w:rPr>
              <w:t>。</w: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pStyle w:val="52"/>
              <w:keepNext w:val="0"/>
              <w:keepLines w:val="0"/>
              <w:suppressLineNumbers w:val="0"/>
              <w:spacing w:before="0" w:beforeAutospacing="0" w:after="0" w:afterAutospacing="0"/>
              <w:ind w:left="0" w:right="0"/>
              <w:jc w:val="both"/>
              <w:rPr>
                <w:rFonts w:hint="default"/>
                <w:lang w:val="en-US" w:eastAsia="zh-CN"/>
              </w:rPr>
            </w:pPr>
          </w:p>
        </w:tc>
      </w:tr>
    </w:tbl>
    <w:p>
      <w:pPr>
        <w:pStyle w:val="30"/>
        <w:jc w:val="center"/>
        <w:rPr>
          <w:rFonts w:hint="eastAsia" w:ascii="Times New Roman" w:hAnsi="Times New Roman" w:eastAsia="黑体" w:cs="Times New Roman"/>
          <w:snapToGrid w:val="0"/>
          <w:color w:val="000000"/>
          <w:sz w:val="36"/>
          <w:szCs w:val="36"/>
          <w:highlight w:val="none"/>
          <w:lang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default" w:ascii="Times New Roman" w:hAnsi="Times New Roman" w:eastAsia="黑体" w:cs="Times New Roman"/>
          <w:snapToGrid w:val="0"/>
          <w:color w:val="000000"/>
          <w:sz w:val="30"/>
          <w:szCs w:val="30"/>
          <w:highlight w:val="none"/>
        </w:rPr>
      </w:pPr>
      <w:r>
        <w:rPr>
          <w:rFonts w:hint="default" w:ascii="Times New Roman" w:hAnsi="Times New Roman" w:eastAsia="黑体" w:cs="Times New Roman"/>
          <w:snapToGrid w:val="0"/>
          <w:color w:val="000000"/>
          <w:sz w:val="30"/>
          <w:szCs w:val="30"/>
          <w:highlight w:val="none"/>
        </w:rPr>
        <w:t>三、区域环境质量现状、环境保护目标及评价标准</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51"/>
        <w:gridCol w:w="83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90" w:hRule="atLeast"/>
          <w:jc w:val="center"/>
        </w:trPr>
        <w:tc>
          <w:tcPr>
            <w:tcW w:w="751"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区域环境质量现状</w:t>
            </w:r>
          </w:p>
        </w:tc>
        <w:tc>
          <w:tcPr>
            <w:tcW w:w="8310" w:type="dxa"/>
            <w:noWrap w:val="0"/>
            <w:vAlign w:val="center"/>
          </w:tcPr>
          <w:p>
            <w:pPr>
              <w:pStyle w:val="3"/>
              <w:keepLines w:val="0"/>
              <w:suppressLineNumbers w:val="0"/>
              <w:bidi w:val="0"/>
              <w:spacing w:before="0" w:beforeAutospacing="0" w:after="0" w:afterAutospacing="0"/>
              <w:ind w:right="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 xml:space="preserve"> </w:t>
            </w:r>
            <w:r>
              <w:rPr>
                <w:rFonts w:hint="default" w:ascii="Times New Roman" w:hAnsi="Times New Roman" w:cs="Times New Roman"/>
              </w:rPr>
              <w:t>环境空气现状调查与评价</w:t>
            </w:r>
          </w:p>
          <w:p>
            <w:pPr>
              <w:pStyle w:val="4"/>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1.1 基本环境空气质量现状调查</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建设项目环境影响报告表编制技术指南（污染影响类）（试行）》，对于基本污染物环境质量现状数据，项目所在区域达标判定优先采用国家或地方生态环境主管部门公开发布的评价基准年环境质量公告或环境质量报告中的数据或结论。</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本工程建设地点位于</w:t>
            </w:r>
            <w:r>
              <w:rPr>
                <w:rFonts w:hint="eastAsia" w:cs="Times New Roman"/>
                <w:highlight w:val="none"/>
                <w:lang w:val="en-US" w:eastAsia="zh-CN"/>
              </w:rPr>
              <w:t>新疆库尔勒上库高新技术产业开发区综合园安顺路69号</w:t>
            </w:r>
            <w:r>
              <w:rPr>
                <w:rFonts w:hint="default" w:ascii="Times New Roman" w:hAnsi="Times New Roman" w:cs="Times New Roman"/>
                <w:highlight w:val="none"/>
                <w:lang w:val="en-US" w:eastAsia="zh-CN"/>
              </w:rPr>
              <w:t>，本次评价选用库尔勒市（</w:t>
            </w:r>
            <w:r>
              <w:rPr>
                <w:rFonts w:hint="eastAsia" w:cs="Times New Roman"/>
                <w:highlight w:val="none"/>
                <w:lang w:val="en-US" w:eastAsia="zh-CN"/>
              </w:rPr>
              <w:t>经济技术开发区</w:t>
            </w:r>
            <w:r>
              <w:rPr>
                <w:rFonts w:hint="default" w:ascii="Times New Roman" w:hAnsi="Times New Roman" w:cs="Times New Roman"/>
                <w:highlight w:val="none"/>
                <w:lang w:val="en-US" w:eastAsia="zh-CN"/>
              </w:rPr>
              <w:t>）2024年全年例行监测点的监测数据，作为环境空气现状评价基本污染物SO</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、NO</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、PM</w:t>
            </w:r>
            <w:r>
              <w:rPr>
                <w:rFonts w:hint="default" w:ascii="Times New Roman" w:hAnsi="Times New Roman" w:cs="Times New Roman"/>
                <w:highlight w:val="none"/>
                <w:vertAlign w:val="subscript"/>
                <w:lang w:val="en-US" w:eastAsia="zh-CN"/>
              </w:rPr>
              <w:t>10</w:t>
            </w:r>
            <w:r>
              <w:rPr>
                <w:rFonts w:hint="default" w:ascii="Times New Roman" w:hAnsi="Times New Roman" w:cs="Times New Roman"/>
                <w:highlight w:val="none"/>
                <w:lang w:val="en-US" w:eastAsia="zh-CN"/>
              </w:rPr>
              <w:t>、PM</w:t>
            </w:r>
            <w:r>
              <w:rPr>
                <w:rFonts w:hint="default" w:ascii="Times New Roman" w:hAnsi="Times New Roman" w:cs="Times New Roman"/>
                <w:highlight w:val="none"/>
                <w:vertAlign w:val="subscript"/>
                <w:lang w:val="en-US" w:eastAsia="zh-CN"/>
              </w:rPr>
              <w:t>2.5</w:t>
            </w:r>
            <w:r>
              <w:rPr>
                <w:rFonts w:hint="default" w:ascii="Times New Roman" w:hAnsi="Times New Roman" w:cs="Times New Roman"/>
                <w:highlight w:val="none"/>
                <w:lang w:val="en-US" w:eastAsia="zh-CN"/>
              </w:rPr>
              <w:t>、CO和O</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的数据来源。</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（1）监测项目、监测时间</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监测项目：基本污染物SO</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、NO</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、PM</w:t>
            </w:r>
            <w:r>
              <w:rPr>
                <w:rFonts w:hint="default" w:ascii="Times New Roman" w:hAnsi="Times New Roman" w:cs="Times New Roman"/>
                <w:highlight w:val="none"/>
                <w:vertAlign w:val="subscript"/>
                <w:lang w:val="en-US" w:eastAsia="zh-CN"/>
              </w:rPr>
              <w:t>10</w:t>
            </w:r>
            <w:r>
              <w:rPr>
                <w:rFonts w:hint="default" w:ascii="Times New Roman" w:hAnsi="Times New Roman" w:cs="Times New Roman"/>
                <w:highlight w:val="none"/>
                <w:lang w:val="en-US" w:eastAsia="zh-CN"/>
              </w:rPr>
              <w:t>、PM</w:t>
            </w:r>
            <w:r>
              <w:rPr>
                <w:rFonts w:hint="default" w:ascii="Times New Roman" w:hAnsi="Times New Roman" w:cs="Times New Roman"/>
                <w:highlight w:val="none"/>
                <w:vertAlign w:val="subscript"/>
                <w:lang w:val="en-US" w:eastAsia="zh-CN"/>
              </w:rPr>
              <w:t>2.5</w:t>
            </w:r>
            <w:r>
              <w:rPr>
                <w:rFonts w:hint="default" w:ascii="Times New Roman" w:hAnsi="Times New Roman" w:cs="Times New Roman"/>
                <w:highlight w:val="none"/>
                <w:lang w:val="en-US" w:eastAsia="zh-CN"/>
              </w:rPr>
              <w:t>、CO和O</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监测时间：基本污染物SO</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、NO</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、PM</w:t>
            </w:r>
            <w:r>
              <w:rPr>
                <w:rFonts w:hint="default" w:ascii="Times New Roman" w:hAnsi="Times New Roman" w:cs="Times New Roman"/>
                <w:highlight w:val="none"/>
                <w:vertAlign w:val="subscript"/>
                <w:lang w:val="en-US" w:eastAsia="zh-CN"/>
              </w:rPr>
              <w:t>10</w:t>
            </w:r>
            <w:r>
              <w:rPr>
                <w:rFonts w:hint="default" w:ascii="Times New Roman" w:hAnsi="Times New Roman" w:cs="Times New Roman"/>
                <w:highlight w:val="none"/>
                <w:lang w:val="en-US" w:eastAsia="zh-CN"/>
              </w:rPr>
              <w:t>、PM</w:t>
            </w:r>
            <w:r>
              <w:rPr>
                <w:rFonts w:hint="default" w:ascii="Times New Roman" w:hAnsi="Times New Roman" w:cs="Times New Roman"/>
                <w:highlight w:val="none"/>
                <w:vertAlign w:val="subscript"/>
                <w:lang w:val="en-US" w:eastAsia="zh-CN"/>
              </w:rPr>
              <w:t>2.5</w:t>
            </w:r>
            <w:r>
              <w:rPr>
                <w:rFonts w:hint="default" w:ascii="Times New Roman" w:hAnsi="Times New Roman" w:cs="Times New Roman"/>
                <w:highlight w:val="none"/>
                <w:lang w:val="en-US" w:eastAsia="zh-CN"/>
              </w:rPr>
              <w:t>、CO和O</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的监测时间为2024年连续1年监测数据。</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（2）评价标准</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根据《环境空气质量标准》（GB 3095-2026）规定：自本标准实施之日起至2030年12月31日止，环境空气污染物基本项目（表1）执行过渡阶段浓度限值，本项目所在区域为二类区执行二级浓度标准。故本次评价基本污染物SO</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、NO</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、PM</w:t>
            </w:r>
            <w:r>
              <w:rPr>
                <w:rFonts w:hint="default" w:ascii="Times New Roman" w:hAnsi="Times New Roman" w:cs="Times New Roman"/>
                <w:highlight w:val="none"/>
                <w:vertAlign w:val="subscript"/>
                <w:lang w:val="en-US" w:eastAsia="zh-CN"/>
              </w:rPr>
              <w:t>10</w:t>
            </w:r>
            <w:r>
              <w:rPr>
                <w:rFonts w:hint="default" w:ascii="Times New Roman" w:hAnsi="Times New Roman" w:cs="Times New Roman"/>
                <w:highlight w:val="none"/>
                <w:lang w:val="en-US" w:eastAsia="zh-CN"/>
              </w:rPr>
              <w:t>、PM</w:t>
            </w:r>
            <w:r>
              <w:rPr>
                <w:rFonts w:hint="default" w:ascii="Times New Roman" w:hAnsi="Times New Roman" w:cs="Times New Roman"/>
                <w:highlight w:val="none"/>
                <w:vertAlign w:val="subscript"/>
                <w:lang w:val="en-US" w:eastAsia="zh-CN"/>
              </w:rPr>
              <w:t>2.5</w:t>
            </w:r>
            <w:r>
              <w:rPr>
                <w:rFonts w:hint="default" w:ascii="Times New Roman" w:hAnsi="Times New Roman" w:cs="Times New Roman"/>
                <w:highlight w:val="none"/>
                <w:lang w:val="en-US" w:eastAsia="zh-CN"/>
              </w:rPr>
              <w:t>、CO和O</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执行《环境空气质量标准》（GB3095-2026）过渡阶段的二级标准。</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（3）评价方法</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按照《环境空气质量评价技术规范（试行）》（HJ663-2013）中各评价项目的年度评价指标进行判定。年评价指标中的年均浓度和相应百分位数24h平均或8h平均质量浓度满足《环境空气质量标准》（GB3095-20</w:t>
            </w:r>
            <w:r>
              <w:rPr>
                <w:rFonts w:hint="eastAsia" w:cs="Times New Roman"/>
                <w:highlight w:val="none"/>
                <w:lang w:val="en-US" w:eastAsia="zh-CN"/>
              </w:rPr>
              <w:t>26</w:t>
            </w:r>
            <w:r>
              <w:rPr>
                <w:rFonts w:hint="default" w:ascii="Times New Roman" w:hAnsi="Times New Roman" w:cs="Times New Roman"/>
                <w:highlight w:val="none"/>
                <w:lang w:val="en-US" w:eastAsia="zh-CN"/>
              </w:rPr>
              <w:t>）过渡阶段的二级浓度限值要求的即为达标。对于超标的污染物，计算其超标倍数和超标率。</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（4）空气质量达标区的判定</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环境空气质量现状评价结果见表3-1。</w:t>
            </w:r>
          </w:p>
          <w:p>
            <w:pPr>
              <w:pStyle w:val="5"/>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表3-1  区域空气质量现状评价表</w:t>
            </w:r>
          </w:p>
          <w:tbl>
            <w:tblPr>
              <w:tblStyle w:val="34"/>
              <w:tblW w:w="499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9"/>
              <w:gridCol w:w="2040"/>
              <w:gridCol w:w="1144"/>
              <w:gridCol w:w="1343"/>
              <w:gridCol w:w="984"/>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44"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r>
                    <w:rPr>
                      <w:rFonts w:hint="default" w:ascii="Times New Roman" w:hAnsi="Times New Roman" w:cs="Times New Roman"/>
                      <w:highlight w:val="none"/>
                    </w:rPr>
                    <w:t>污染物</w:t>
                  </w:r>
                </w:p>
              </w:tc>
              <w:tc>
                <w:tcPr>
                  <w:tcW w:w="1262"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r>
                    <w:rPr>
                      <w:rFonts w:hint="default" w:ascii="Times New Roman" w:hAnsi="Times New Roman" w:cs="Times New Roman"/>
                      <w:highlight w:val="none"/>
                    </w:rPr>
                    <w:t>评价项目</w:t>
                  </w:r>
                </w:p>
              </w:tc>
              <w:tc>
                <w:tcPr>
                  <w:tcW w:w="708"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r>
                    <w:rPr>
                      <w:rFonts w:hint="default" w:ascii="Times New Roman" w:hAnsi="Times New Roman" w:cs="Times New Roman"/>
                      <w:highlight w:val="none"/>
                    </w:rPr>
                    <w:t>浓度（μ</w:t>
                  </w:r>
                  <w:r>
                    <w:rPr>
                      <w:rFonts w:hint="default" w:ascii="Times New Roman" w:hAnsi="Times New Roman" w:cs="Times New Roman"/>
                      <w:highlight w:val="none"/>
                      <w:lang w:val="en-US" w:eastAsia="zh-CN"/>
                    </w:rPr>
                    <w:t>g</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p>
              </w:tc>
              <w:tc>
                <w:tcPr>
                  <w:tcW w:w="831"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r>
                    <w:rPr>
                      <w:rFonts w:hint="default" w:ascii="Times New Roman" w:hAnsi="Times New Roman" w:cs="Times New Roman"/>
                      <w:highlight w:val="none"/>
                    </w:rPr>
                    <w:t>标准（二级）（μ</w:t>
                  </w:r>
                  <w:r>
                    <w:rPr>
                      <w:rFonts w:hint="default" w:ascii="Times New Roman" w:hAnsi="Times New Roman" w:cs="Times New Roman"/>
                      <w:highlight w:val="none"/>
                      <w:lang w:val="en-US" w:eastAsia="zh-CN"/>
                    </w:rPr>
                    <w:t>g</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p>
              </w:tc>
              <w:tc>
                <w:tcPr>
                  <w:tcW w:w="609"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eastAsia="zh-CN"/>
                    </w:rPr>
                    <w:t>占标率</w:t>
                  </w:r>
                  <w:r>
                    <w:rPr>
                      <w:rFonts w:hint="default" w:ascii="Times New Roman" w:hAnsi="Times New Roman" w:cs="Times New Roman"/>
                      <w:highlight w:val="none"/>
                      <w:lang w:val="en-US" w:eastAsia="zh-CN"/>
                    </w:rPr>
                    <w:t>%</w:t>
                  </w:r>
                </w:p>
              </w:tc>
              <w:tc>
                <w:tcPr>
                  <w:tcW w:w="443"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eastAsia="zh-CN"/>
                    </w:rPr>
                  </w:pPr>
                  <w:r>
                    <w:rPr>
                      <w:rFonts w:hint="default" w:ascii="Times New Roman" w:hAnsi="Times New Roman" w:cs="Times New Roman"/>
                      <w:highlight w:val="none"/>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44" w:type="pct"/>
                  <w:vMerge w:val="restar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r>
                    <w:rPr>
                      <w:rFonts w:hint="default" w:ascii="Times New Roman" w:hAnsi="Times New Roman" w:cs="Times New Roman"/>
                      <w:highlight w:val="none"/>
                    </w:rPr>
                    <w:t>SO</w:t>
                  </w:r>
                  <w:r>
                    <w:rPr>
                      <w:rFonts w:hint="default" w:ascii="Times New Roman" w:hAnsi="Times New Roman" w:cs="Times New Roman"/>
                      <w:highlight w:val="none"/>
                      <w:vertAlign w:val="subscript"/>
                    </w:rPr>
                    <w:t>2</w:t>
                  </w:r>
                </w:p>
              </w:tc>
              <w:tc>
                <w:tcPr>
                  <w:tcW w:w="1262"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年平均</w:t>
                  </w:r>
                </w:p>
              </w:tc>
              <w:tc>
                <w:tcPr>
                  <w:tcW w:w="708"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eastAsia="zh-CN"/>
                    </w:rPr>
                  </w:pPr>
                  <w:r>
                    <w:rPr>
                      <w:rFonts w:hint="eastAsia"/>
                      <w:highlight w:val="none"/>
                      <w:lang w:val="en-US" w:eastAsia="zh-CN"/>
                    </w:rPr>
                    <w:t>5</w:t>
                  </w:r>
                </w:p>
              </w:tc>
              <w:tc>
                <w:tcPr>
                  <w:tcW w:w="831"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rPr>
                  </w:pPr>
                  <w:r>
                    <w:rPr>
                      <w:rFonts w:hint="eastAsia" w:cs="Times New Roman"/>
                      <w:highlight w:val="none"/>
                      <w:lang w:val="en-US" w:eastAsia="zh-CN"/>
                    </w:rPr>
                    <w:t>60</w:t>
                  </w:r>
                </w:p>
              </w:tc>
              <w:tc>
                <w:tcPr>
                  <w:tcW w:w="609" w:type="pct"/>
                  <w:tcBorders>
                    <w:tl2br w:val="nil"/>
                    <w:tr2bl w:val="nil"/>
                  </w:tcBorders>
                  <w:noWrap w:val="0"/>
                  <w:vAlign w:val="center"/>
                </w:tcPr>
                <w:p>
                  <w:pPr>
                    <w:pStyle w:val="6"/>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8</w:t>
                  </w:r>
                </w:p>
              </w:tc>
              <w:tc>
                <w:tcPr>
                  <w:tcW w:w="443"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eastAsia="zh-CN"/>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44" w:type="pct"/>
                  <w:vMerge w:val="continue"/>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p>
              </w:tc>
              <w:tc>
                <w:tcPr>
                  <w:tcW w:w="1262"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eastAsia="zh-CN"/>
                    </w:rPr>
                  </w:pPr>
                  <w:r>
                    <w:rPr>
                      <w:rFonts w:hint="eastAsia" w:cs="Times New Roman"/>
                      <w:highlight w:val="none"/>
                      <w:lang w:val="en-US" w:eastAsia="zh-CN"/>
                    </w:rPr>
                    <w:t>日均值</w:t>
                  </w:r>
                </w:p>
              </w:tc>
              <w:tc>
                <w:tcPr>
                  <w:tcW w:w="708"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eastAsia="zh-CN"/>
                    </w:rPr>
                  </w:pPr>
                  <w:r>
                    <w:rPr>
                      <w:rFonts w:hint="eastAsia"/>
                      <w:highlight w:val="none"/>
                      <w:lang w:val="en-US" w:eastAsia="zh-CN"/>
                    </w:rPr>
                    <w:t>10</w:t>
                  </w:r>
                </w:p>
              </w:tc>
              <w:tc>
                <w:tcPr>
                  <w:tcW w:w="831"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r>
                    <w:rPr>
                      <w:rFonts w:hint="eastAsia" w:cs="Times New Roman"/>
                      <w:highlight w:val="none"/>
                      <w:lang w:val="en-US" w:eastAsia="zh-CN"/>
                    </w:rPr>
                    <w:t>1</w:t>
                  </w:r>
                  <w:r>
                    <w:rPr>
                      <w:rFonts w:hint="default" w:ascii="Times New Roman" w:hAnsi="Times New Roman" w:cs="Times New Roman"/>
                      <w:highlight w:val="none"/>
                    </w:rPr>
                    <w:t>50</w:t>
                  </w:r>
                </w:p>
              </w:tc>
              <w:tc>
                <w:tcPr>
                  <w:tcW w:w="609" w:type="pct"/>
                  <w:tcBorders>
                    <w:tl2br w:val="nil"/>
                    <w:tr2bl w:val="nil"/>
                  </w:tcBorders>
                  <w:noWrap w:val="0"/>
                  <w:vAlign w:val="center"/>
                </w:tcPr>
                <w:p>
                  <w:pPr>
                    <w:pStyle w:val="6"/>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7</w:t>
                  </w:r>
                </w:p>
              </w:tc>
              <w:tc>
                <w:tcPr>
                  <w:tcW w:w="443"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44" w:type="pct"/>
                  <w:vMerge w:val="restar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r>
                    <w:rPr>
                      <w:rFonts w:hint="default" w:ascii="Times New Roman" w:hAnsi="Times New Roman" w:cs="Times New Roman"/>
                      <w:highlight w:val="none"/>
                    </w:rPr>
                    <w:t>NO</w:t>
                  </w:r>
                  <w:r>
                    <w:rPr>
                      <w:rFonts w:hint="default" w:ascii="Times New Roman" w:hAnsi="Times New Roman" w:cs="Times New Roman"/>
                      <w:highlight w:val="none"/>
                      <w:vertAlign w:val="subscript"/>
                    </w:rPr>
                    <w:t>2</w:t>
                  </w:r>
                </w:p>
              </w:tc>
              <w:tc>
                <w:tcPr>
                  <w:tcW w:w="1262"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年平均</w:t>
                  </w:r>
                </w:p>
              </w:tc>
              <w:tc>
                <w:tcPr>
                  <w:tcW w:w="708"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eastAsia="zh-CN"/>
                    </w:rPr>
                  </w:pPr>
                  <w:r>
                    <w:rPr>
                      <w:rFonts w:hint="eastAsia"/>
                      <w:highlight w:val="none"/>
                      <w:lang w:val="en-US" w:eastAsia="zh-CN"/>
                    </w:rPr>
                    <w:t>17</w:t>
                  </w:r>
                </w:p>
              </w:tc>
              <w:tc>
                <w:tcPr>
                  <w:tcW w:w="831"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40</w:t>
                  </w:r>
                </w:p>
              </w:tc>
              <w:tc>
                <w:tcPr>
                  <w:tcW w:w="609" w:type="pct"/>
                  <w:tcBorders>
                    <w:tl2br w:val="nil"/>
                    <w:tr2bl w:val="nil"/>
                  </w:tcBorders>
                  <w:noWrap w:val="0"/>
                  <w:vAlign w:val="center"/>
                </w:tcPr>
                <w:p>
                  <w:pPr>
                    <w:pStyle w:val="6"/>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43</w:t>
                  </w:r>
                </w:p>
              </w:tc>
              <w:tc>
                <w:tcPr>
                  <w:tcW w:w="443"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44" w:type="pct"/>
                  <w:vMerge w:val="continue"/>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p>
              </w:tc>
              <w:tc>
                <w:tcPr>
                  <w:tcW w:w="1262"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eastAsia="zh-CN"/>
                    </w:rPr>
                  </w:pPr>
                  <w:r>
                    <w:rPr>
                      <w:rFonts w:hint="eastAsia" w:cs="Times New Roman"/>
                      <w:highlight w:val="none"/>
                      <w:lang w:val="en-US" w:eastAsia="zh-CN"/>
                    </w:rPr>
                    <w:t>日均值</w:t>
                  </w:r>
                </w:p>
              </w:tc>
              <w:tc>
                <w:tcPr>
                  <w:tcW w:w="708"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eastAsia="zh-CN"/>
                    </w:rPr>
                  </w:pPr>
                  <w:r>
                    <w:rPr>
                      <w:rFonts w:hint="eastAsia"/>
                      <w:highlight w:val="none"/>
                      <w:lang w:val="en-US" w:eastAsia="zh-CN"/>
                    </w:rPr>
                    <w:t>50</w:t>
                  </w:r>
                </w:p>
              </w:tc>
              <w:tc>
                <w:tcPr>
                  <w:tcW w:w="831"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rPr>
                  </w:pPr>
                  <w:r>
                    <w:rPr>
                      <w:rFonts w:hint="eastAsia" w:cs="Times New Roman"/>
                      <w:highlight w:val="none"/>
                      <w:lang w:val="en-US" w:eastAsia="zh-CN"/>
                    </w:rPr>
                    <w:t>80</w:t>
                  </w:r>
                </w:p>
              </w:tc>
              <w:tc>
                <w:tcPr>
                  <w:tcW w:w="609" w:type="pct"/>
                  <w:tcBorders>
                    <w:tl2br w:val="nil"/>
                    <w:tr2bl w:val="nil"/>
                  </w:tcBorders>
                  <w:noWrap w:val="0"/>
                  <w:vAlign w:val="center"/>
                </w:tcPr>
                <w:p>
                  <w:pPr>
                    <w:pStyle w:val="6"/>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63</w:t>
                  </w:r>
                </w:p>
              </w:tc>
              <w:tc>
                <w:tcPr>
                  <w:tcW w:w="443"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44"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r>
                    <w:rPr>
                      <w:rFonts w:hint="default" w:ascii="Times New Roman" w:hAnsi="Times New Roman" w:cs="Times New Roman"/>
                      <w:highlight w:val="none"/>
                    </w:rPr>
                    <w:t>CO（mg/m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p>
              </w:tc>
              <w:tc>
                <w:tcPr>
                  <w:tcW w:w="1262"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日均值</w:t>
                  </w:r>
                </w:p>
              </w:tc>
              <w:tc>
                <w:tcPr>
                  <w:tcW w:w="708"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eastAsia="zh-CN"/>
                    </w:rPr>
                  </w:pPr>
                  <w:r>
                    <w:rPr>
                      <w:rFonts w:hint="eastAsia"/>
                      <w:highlight w:val="none"/>
                      <w:lang w:val="en-US" w:eastAsia="zh-CN"/>
                    </w:rPr>
                    <w:t>1</w:t>
                  </w:r>
                </w:p>
              </w:tc>
              <w:tc>
                <w:tcPr>
                  <w:tcW w:w="831"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r>
                    <w:rPr>
                      <w:rFonts w:hint="default" w:ascii="Times New Roman" w:hAnsi="Times New Roman" w:cs="Times New Roman"/>
                      <w:highlight w:val="none"/>
                    </w:rPr>
                    <w:t>4</w:t>
                  </w:r>
                </w:p>
              </w:tc>
              <w:tc>
                <w:tcPr>
                  <w:tcW w:w="609" w:type="pct"/>
                  <w:tcBorders>
                    <w:tl2br w:val="nil"/>
                    <w:tr2bl w:val="nil"/>
                  </w:tcBorders>
                  <w:noWrap w:val="0"/>
                  <w:vAlign w:val="center"/>
                </w:tcPr>
                <w:p>
                  <w:pPr>
                    <w:pStyle w:val="6"/>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25</w:t>
                  </w:r>
                </w:p>
              </w:tc>
              <w:tc>
                <w:tcPr>
                  <w:tcW w:w="443"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44"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r>
                    <w:rPr>
                      <w:rFonts w:hint="default" w:ascii="Times New Roman" w:hAnsi="Times New Roman" w:cs="Times New Roman"/>
                      <w:highlight w:val="none"/>
                    </w:rPr>
                    <w:t>O</w:t>
                  </w:r>
                  <w:r>
                    <w:rPr>
                      <w:rFonts w:hint="default" w:ascii="Times New Roman" w:hAnsi="Times New Roman" w:cs="Times New Roman"/>
                      <w:highlight w:val="none"/>
                      <w:vertAlign w:val="subscript"/>
                    </w:rPr>
                    <w:t>3</w:t>
                  </w:r>
                </w:p>
              </w:tc>
              <w:tc>
                <w:tcPr>
                  <w:tcW w:w="1262"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eastAsia="zh-CN"/>
                    </w:rPr>
                  </w:pPr>
                  <w:r>
                    <w:rPr>
                      <w:rFonts w:hint="eastAsia" w:cs="Times New Roman"/>
                      <w:highlight w:val="none"/>
                      <w:lang w:val="en-US" w:eastAsia="zh-CN"/>
                    </w:rPr>
                    <w:t>日</w:t>
                  </w:r>
                  <w:r>
                    <w:rPr>
                      <w:rFonts w:hint="default" w:ascii="Times New Roman" w:hAnsi="Times New Roman" w:cs="Times New Roman"/>
                      <w:highlight w:val="none"/>
                      <w:lang w:val="en-US" w:eastAsia="zh-CN"/>
                    </w:rPr>
                    <w:t>最大8小时平均</w:t>
                  </w:r>
                </w:p>
              </w:tc>
              <w:tc>
                <w:tcPr>
                  <w:tcW w:w="708"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eastAsia="zh-CN"/>
                    </w:rPr>
                  </w:pPr>
                  <w:r>
                    <w:rPr>
                      <w:rFonts w:hint="eastAsia"/>
                      <w:highlight w:val="none"/>
                      <w:lang w:val="en-US" w:eastAsia="zh-CN"/>
                    </w:rPr>
                    <w:t>136</w:t>
                  </w:r>
                </w:p>
              </w:tc>
              <w:tc>
                <w:tcPr>
                  <w:tcW w:w="831"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160</w:t>
                  </w:r>
                </w:p>
              </w:tc>
              <w:tc>
                <w:tcPr>
                  <w:tcW w:w="609" w:type="pct"/>
                  <w:tcBorders>
                    <w:tl2br w:val="nil"/>
                    <w:tr2bl w:val="nil"/>
                  </w:tcBorders>
                  <w:shd w:val="clear" w:color="auto" w:fill="auto"/>
                  <w:noWrap w:val="0"/>
                  <w:vAlign w:val="center"/>
                </w:tcPr>
                <w:p>
                  <w:pPr>
                    <w:pStyle w:val="6"/>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85</w:t>
                  </w:r>
                </w:p>
              </w:tc>
              <w:tc>
                <w:tcPr>
                  <w:tcW w:w="443"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r>
                    <w:rPr>
                      <w:rFonts w:hint="default" w:ascii="Times New Roman" w:hAnsi="Times New Roman" w:cs="Times New Roman"/>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4" w:hRule="atLeast"/>
              </w:trPr>
              <w:tc>
                <w:tcPr>
                  <w:tcW w:w="1144" w:type="pct"/>
                  <w:vMerge w:val="restar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r>
                    <w:rPr>
                      <w:rFonts w:hint="default" w:ascii="Times New Roman" w:hAnsi="Times New Roman" w:cs="Times New Roman"/>
                      <w:highlight w:val="none"/>
                    </w:rPr>
                    <w:t>PM</w:t>
                  </w:r>
                  <w:r>
                    <w:rPr>
                      <w:rFonts w:hint="default" w:ascii="Times New Roman" w:hAnsi="Times New Roman" w:cs="Times New Roman"/>
                      <w:highlight w:val="none"/>
                      <w:vertAlign w:val="subscript"/>
                    </w:rPr>
                    <w:t>10</w:t>
                  </w:r>
                </w:p>
              </w:tc>
              <w:tc>
                <w:tcPr>
                  <w:tcW w:w="1262"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年平均</w:t>
                  </w:r>
                </w:p>
              </w:tc>
              <w:tc>
                <w:tcPr>
                  <w:tcW w:w="708"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eastAsia="zh-CN"/>
                    </w:rPr>
                  </w:pPr>
                  <w:r>
                    <w:rPr>
                      <w:rFonts w:hint="eastAsia"/>
                      <w:highlight w:val="none"/>
                      <w:lang w:val="en-US" w:eastAsia="zh-CN"/>
                    </w:rPr>
                    <w:t>142</w:t>
                  </w:r>
                </w:p>
              </w:tc>
              <w:tc>
                <w:tcPr>
                  <w:tcW w:w="831"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60</w:t>
                  </w:r>
                </w:p>
              </w:tc>
              <w:tc>
                <w:tcPr>
                  <w:tcW w:w="609" w:type="pct"/>
                  <w:tcBorders>
                    <w:tl2br w:val="nil"/>
                    <w:tr2bl w:val="nil"/>
                  </w:tcBorders>
                  <w:shd w:val="clear" w:color="auto" w:fill="auto"/>
                  <w:noWrap w:val="0"/>
                  <w:vAlign w:val="center"/>
                </w:tcPr>
                <w:p>
                  <w:pPr>
                    <w:pStyle w:val="6"/>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237</w:t>
                  </w:r>
                </w:p>
              </w:tc>
              <w:tc>
                <w:tcPr>
                  <w:tcW w:w="443"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r>
                    <w:rPr>
                      <w:rFonts w:hint="default" w:ascii="Times New Roman" w:hAnsi="Times New Roman" w:cs="Times New Roman"/>
                      <w:highlight w:val="no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44" w:type="pct"/>
                  <w:vMerge w:val="continue"/>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p>
              </w:tc>
              <w:tc>
                <w:tcPr>
                  <w:tcW w:w="1262"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eastAsia="zh-CN"/>
                    </w:rPr>
                  </w:pPr>
                  <w:r>
                    <w:rPr>
                      <w:rFonts w:hint="eastAsia" w:cs="Times New Roman"/>
                      <w:highlight w:val="none"/>
                      <w:lang w:val="en-US" w:eastAsia="zh-CN"/>
                    </w:rPr>
                    <w:t>日均值</w:t>
                  </w:r>
                </w:p>
              </w:tc>
              <w:tc>
                <w:tcPr>
                  <w:tcW w:w="708"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eastAsia="zh-CN"/>
                    </w:rPr>
                  </w:pPr>
                  <w:r>
                    <w:rPr>
                      <w:rFonts w:hint="eastAsia"/>
                      <w:highlight w:val="none"/>
                      <w:lang w:val="en-US" w:eastAsia="zh-CN"/>
                    </w:rPr>
                    <w:t>375</w:t>
                  </w:r>
                </w:p>
              </w:tc>
              <w:tc>
                <w:tcPr>
                  <w:tcW w:w="831"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120</w:t>
                  </w:r>
                </w:p>
              </w:tc>
              <w:tc>
                <w:tcPr>
                  <w:tcW w:w="609" w:type="pct"/>
                  <w:tcBorders>
                    <w:tl2br w:val="nil"/>
                    <w:tr2bl w:val="nil"/>
                  </w:tcBorders>
                  <w:shd w:val="clear" w:color="auto" w:fill="auto"/>
                  <w:noWrap w:val="0"/>
                  <w:vAlign w:val="center"/>
                </w:tcPr>
                <w:p>
                  <w:pPr>
                    <w:pStyle w:val="6"/>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31</w:t>
                  </w:r>
                  <w:r>
                    <w:rPr>
                      <w:rFonts w:hint="eastAsia"/>
                      <w:highlight w:val="none"/>
                      <w:lang w:val="en-US" w:eastAsia="zh-CN"/>
                    </w:rPr>
                    <w:t>3</w:t>
                  </w:r>
                </w:p>
              </w:tc>
              <w:tc>
                <w:tcPr>
                  <w:tcW w:w="443"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r>
                    <w:rPr>
                      <w:rFonts w:hint="default" w:ascii="Times New Roman" w:hAnsi="Times New Roman" w:cs="Times New Roman"/>
                      <w:highlight w:val="no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44" w:type="pct"/>
                  <w:vMerge w:val="restar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r>
                    <w:rPr>
                      <w:rFonts w:hint="default" w:ascii="Times New Roman" w:hAnsi="Times New Roman" w:cs="Times New Roman"/>
                      <w:highlight w:val="none"/>
                    </w:rPr>
                    <w:t>PM</w:t>
                  </w:r>
                  <w:r>
                    <w:rPr>
                      <w:rFonts w:hint="default" w:ascii="Times New Roman" w:hAnsi="Times New Roman" w:cs="Times New Roman"/>
                      <w:highlight w:val="none"/>
                      <w:vertAlign w:val="subscript"/>
                    </w:rPr>
                    <w:t>2.5</w:t>
                  </w:r>
                </w:p>
              </w:tc>
              <w:tc>
                <w:tcPr>
                  <w:tcW w:w="1262"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年平均</w:t>
                  </w:r>
                </w:p>
              </w:tc>
              <w:tc>
                <w:tcPr>
                  <w:tcW w:w="708"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eastAsia="zh-CN"/>
                    </w:rPr>
                  </w:pPr>
                  <w:r>
                    <w:rPr>
                      <w:rFonts w:hint="eastAsia"/>
                      <w:highlight w:val="none"/>
                      <w:lang w:val="en-US" w:eastAsia="zh-CN"/>
                    </w:rPr>
                    <w:t>39</w:t>
                  </w:r>
                </w:p>
              </w:tc>
              <w:tc>
                <w:tcPr>
                  <w:tcW w:w="831"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30</w:t>
                  </w:r>
                </w:p>
              </w:tc>
              <w:tc>
                <w:tcPr>
                  <w:tcW w:w="609" w:type="pct"/>
                  <w:tcBorders>
                    <w:tl2br w:val="nil"/>
                    <w:tr2bl w:val="nil"/>
                  </w:tcBorders>
                  <w:shd w:val="clear" w:color="auto" w:fill="auto"/>
                  <w:noWrap w:val="0"/>
                  <w:vAlign w:val="center"/>
                </w:tcPr>
                <w:p>
                  <w:pPr>
                    <w:pStyle w:val="6"/>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130</w:t>
                  </w:r>
                </w:p>
              </w:tc>
              <w:tc>
                <w:tcPr>
                  <w:tcW w:w="443"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r>
                    <w:rPr>
                      <w:rFonts w:hint="default" w:ascii="Times New Roman" w:hAnsi="Times New Roman" w:cs="Times New Roman"/>
                      <w:highlight w:val="no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44" w:type="pct"/>
                  <w:vMerge w:val="continue"/>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p>
              </w:tc>
              <w:tc>
                <w:tcPr>
                  <w:tcW w:w="1262"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eastAsia="zh-CN"/>
                    </w:rPr>
                  </w:pPr>
                  <w:r>
                    <w:rPr>
                      <w:rFonts w:hint="eastAsia" w:cs="Times New Roman"/>
                      <w:highlight w:val="none"/>
                      <w:lang w:val="en-US" w:eastAsia="zh-CN"/>
                    </w:rPr>
                    <w:t>日均值</w:t>
                  </w:r>
                </w:p>
              </w:tc>
              <w:tc>
                <w:tcPr>
                  <w:tcW w:w="708"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lang w:val="en-US" w:eastAsia="zh-CN"/>
                    </w:rPr>
                  </w:pPr>
                  <w:r>
                    <w:rPr>
                      <w:rFonts w:hint="eastAsia"/>
                      <w:highlight w:val="none"/>
                      <w:lang w:val="en-US" w:eastAsia="zh-CN"/>
                    </w:rPr>
                    <w:t>77</w:t>
                  </w:r>
                </w:p>
              </w:tc>
              <w:tc>
                <w:tcPr>
                  <w:tcW w:w="831"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60</w:t>
                  </w:r>
                </w:p>
              </w:tc>
              <w:tc>
                <w:tcPr>
                  <w:tcW w:w="609" w:type="pct"/>
                  <w:tcBorders>
                    <w:tl2br w:val="nil"/>
                    <w:tr2bl w:val="nil"/>
                  </w:tcBorders>
                  <w:noWrap w:val="0"/>
                  <w:vAlign w:val="center"/>
                </w:tcPr>
                <w:p>
                  <w:pPr>
                    <w:pStyle w:val="6"/>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128</w:t>
                  </w:r>
                </w:p>
              </w:tc>
              <w:tc>
                <w:tcPr>
                  <w:tcW w:w="443"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highlight w:val="none"/>
                    </w:rPr>
                  </w:pPr>
                  <w:r>
                    <w:rPr>
                      <w:rFonts w:hint="default" w:ascii="Times New Roman" w:hAnsi="Times New Roman" w:cs="Times New Roman"/>
                      <w:highlight w:val="none"/>
                      <w:lang w:val="en-US" w:eastAsia="zh-CN"/>
                    </w:rPr>
                    <w:t>超标</w:t>
                  </w:r>
                </w:p>
              </w:tc>
            </w:tr>
          </w:tbl>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根据表3-1评价结果，PM</w:t>
            </w:r>
            <w:r>
              <w:rPr>
                <w:rFonts w:hint="default" w:ascii="Times New Roman" w:hAnsi="Times New Roman" w:cs="Times New Roman"/>
                <w:highlight w:val="none"/>
                <w:vertAlign w:val="subscript"/>
                <w:lang w:val="en-US" w:eastAsia="zh-CN"/>
              </w:rPr>
              <w:t>10</w:t>
            </w:r>
            <w:r>
              <w:rPr>
                <w:rFonts w:hint="default" w:ascii="Times New Roman" w:hAnsi="Times New Roman" w:cs="Times New Roman"/>
                <w:highlight w:val="none"/>
                <w:lang w:val="en-US" w:eastAsia="zh-CN"/>
              </w:rPr>
              <w:t>、PM</w:t>
            </w:r>
            <w:r>
              <w:rPr>
                <w:rFonts w:hint="default" w:ascii="Times New Roman" w:hAnsi="Times New Roman" w:cs="Times New Roman"/>
                <w:highlight w:val="none"/>
                <w:vertAlign w:val="subscript"/>
                <w:lang w:val="en-US" w:eastAsia="zh-CN"/>
              </w:rPr>
              <w:t>2.5</w:t>
            </w:r>
            <w:r>
              <w:rPr>
                <w:rFonts w:hint="default" w:ascii="Times New Roman" w:hAnsi="Times New Roman" w:cs="Times New Roman"/>
                <w:highlight w:val="none"/>
                <w:lang w:val="en-US" w:eastAsia="zh-CN"/>
              </w:rPr>
              <w:t>年均值</w:t>
            </w:r>
            <w:r>
              <w:rPr>
                <w:rFonts w:hint="eastAsia" w:cs="Times New Roman"/>
                <w:highlight w:val="none"/>
                <w:lang w:val="en-US" w:eastAsia="zh-CN"/>
              </w:rPr>
              <w:t>和日均值</w:t>
            </w:r>
            <w:r>
              <w:rPr>
                <w:rFonts w:hint="default" w:ascii="Times New Roman" w:hAnsi="Times New Roman" w:cs="Times New Roman"/>
                <w:highlight w:val="none"/>
                <w:lang w:val="en-US" w:eastAsia="zh-CN"/>
              </w:rPr>
              <w:t>浓度超过《环境空气质量标准》（GB3095-20</w:t>
            </w:r>
            <w:r>
              <w:rPr>
                <w:rFonts w:hint="eastAsia" w:cs="Times New Roman"/>
                <w:highlight w:val="none"/>
                <w:lang w:val="en-US" w:eastAsia="zh-CN"/>
              </w:rPr>
              <w:t>26</w:t>
            </w:r>
            <w:r>
              <w:rPr>
                <w:rFonts w:hint="default" w:ascii="Times New Roman" w:hAnsi="Times New Roman" w:cs="Times New Roman"/>
                <w:highlight w:val="none"/>
                <w:lang w:val="en-US" w:eastAsia="zh-CN"/>
              </w:rPr>
              <w:t>）过渡阶段的二级标准，NO</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、SO</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、CO、O</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等其他监测指标均满足过渡阶段的二级标准。PM</w:t>
            </w:r>
            <w:r>
              <w:rPr>
                <w:rFonts w:hint="default" w:ascii="Times New Roman" w:hAnsi="Times New Roman" w:cs="Times New Roman"/>
                <w:highlight w:val="none"/>
                <w:vertAlign w:val="subscript"/>
                <w:lang w:val="en-US" w:eastAsia="zh-CN"/>
              </w:rPr>
              <w:t>10</w:t>
            </w:r>
            <w:r>
              <w:rPr>
                <w:rFonts w:hint="default" w:ascii="Times New Roman" w:hAnsi="Times New Roman" w:cs="Times New Roman"/>
                <w:highlight w:val="none"/>
                <w:lang w:val="en-US" w:eastAsia="zh-CN"/>
              </w:rPr>
              <w:t>、PM</w:t>
            </w:r>
            <w:r>
              <w:rPr>
                <w:rFonts w:hint="default" w:ascii="Times New Roman" w:hAnsi="Times New Roman" w:cs="Times New Roman"/>
                <w:highlight w:val="none"/>
                <w:vertAlign w:val="subscript"/>
                <w:lang w:val="en-US" w:eastAsia="zh-CN"/>
              </w:rPr>
              <w:t>2.5</w:t>
            </w:r>
            <w:r>
              <w:rPr>
                <w:rFonts w:hint="default" w:ascii="Times New Roman" w:hAnsi="Times New Roman" w:cs="Times New Roman"/>
                <w:highlight w:val="none"/>
                <w:lang w:val="en-US" w:eastAsia="zh-CN"/>
              </w:rPr>
              <w:t>超标与所在区域地处干旱沙漠边缘有关。因此，项目所在区域为不达标区域。</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根据《关于将巴音郭楞蒙古自治州 吐鲁番市 哈密市纳入执行〈环境影响评价技术导则 大气环境（HJ2.2-2018）〉差别化政策范围的复函》（环办环评函〔2020〕341号），项目可不提供颗粒物区域削减方案。</w:t>
            </w:r>
          </w:p>
          <w:p>
            <w:pPr>
              <w:pStyle w:val="4"/>
              <w:keepNext w:val="0"/>
              <w:keepLines w:val="0"/>
              <w:suppressLineNumbers w:val="0"/>
              <w:bidi w:val="0"/>
              <w:ind w:left="0" w:right="0"/>
              <w:rPr>
                <w:rFonts w:hint="default" w:ascii="Times New Roman" w:hAnsi="Times New Roman" w:cs="Times New Roman"/>
                <w:lang w:val="en-US" w:eastAsia="zh-CN"/>
              </w:rPr>
            </w:pPr>
            <w:r>
              <w:rPr>
                <w:rFonts w:hint="default" w:ascii="Times New Roman" w:hAnsi="Times New Roman" w:cs="Times New Roman"/>
                <w:lang w:val="en-US" w:eastAsia="zh-CN"/>
              </w:rPr>
              <w:t>1.2其他污染物质量现状</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根据《建设项目环境影响报告表编制技术指南（污染影响类）（试行）》，排放国家、地方环境空气质量标准中有标准限值要求的特征污染物时，引用建设项目周边5千米范围内近3年的现有监测数据。</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本项目引用新疆中检联检测有限公司于2024年7月18日至7月21日关于《库尔勒聚盈建材有限公司年产15000立方挤塑板项目环境影响报告表》中TSP的监测数据</w:t>
            </w:r>
            <w:r>
              <w:rPr>
                <w:rFonts w:hint="eastAsia" w:cs="Times New Roman"/>
                <w:lang w:val="en-US" w:eastAsia="zh-CN"/>
              </w:rPr>
              <w:t>，监测点位于</w:t>
            </w:r>
            <w:r>
              <w:rPr>
                <w:rFonts w:hint="default" w:ascii="Times New Roman" w:hAnsi="Times New Roman" w:cs="Times New Roman"/>
                <w:lang w:val="en-US" w:eastAsia="zh-CN"/>
              </w:rPr>
              <w:t>本项目</w:t>
            </w:r>
            <w:r>
              <w:rPr>
                <w:rFonts w:hint="eastAsia" w:cs="Times New Roman"/>
                <w:lang w:val="en-US" w:eastAsia="zh-CN"/>
              </w:rPr>
              <w:t>东北</w:t>
            </w:r>
            <w:r>
              <w:rPr>
                <w:rFonts w:hint="default" w:ascii="Times New Roman" w:hAnsi="Times New Roman" w:cs="Times New Roman"/>
                <w:lang w:val="en-US" w:eastAsia="zh-CN"/>
              </w:rPr>
              <w:t>侧约</w:t>
            </w:r>
            <w:r>
              <w:rPr>
                <w:rFonts w:hint="eastAsia" w:cs="Times New Roman"/>
                <w:lang w:val="en-US" w:eastAsia="zh-CN"/>
              </w:rPr>
              <w:t>1108</w:t>
            </w:r>
            <w:r>
              <w:rPr>
                <w:rFonts w:hint="default" w:ascii="Times New Roman" w:hAnsi="Times New Roman" w:cs="Times New Roman"/>
                <w:lang w:val="en-US" w:eastAsia="zh-CN"/>
              </w:rPr>
              <w:t>m处，监测点位置为E：85°55′9.755"，N：41°51′4.454"</w:t>
            </w:r>
            <w:r>
              <w:rPr>
                <w:rFonts w:hint="eastAsia" w:cs="Times New Roman"/>
                <w:lang w:eastAsia="zh-CN"/>
              </w:rPr>
              <w:t>，</w:t>
            </w:r>
            <w:r>
              <w:rPr>
                <w:rFonts w:hint="eastAsia" w:cs="Times New Roman"/>
                <w:lang w:val="en-US" w:eastAsia="zh-CN"/>
              </w:rPr>
              <w:t>满足《建设项目环境影响报告表编制技术指南（污染影响类）（试行）》引用要求</w:t>
            </w:r>
            <w:r>
              <w:rPr>
                <w:rFonts w:hint="default" w:ascii="Times New Roman" w:hAnsi="Times New Roman" w:cs="Times New Roman"/>
                <w:lang w:val="en-US" w:eastAsia="zh-CN"/>
              </w:rPr>
              <w:t>。</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（1）监测项目、监测频次</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监测项目：TSP。</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监测频率：连续采样3天。</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（2）采样分析方法、评价标准及方法</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采样和分析方法：依据国家环保局颁布的《环境监测技术规范》（大气部分）和《空气和废气监测分析方法》进行监测。</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评价标准：TSP执行《环境空气质量标准》（GB3095-20</w:t>
            </w:r>
            <w:r>
              <w:rPr>
                <w:rFonts w:hint="eastAsia" w:cs="Times New Roman"/>
                <w:lang w:val="en-US" w:eastAsia="zh-CN"/>
              </w:rPr>
              <w:t>26</w:t>
            </w:r>
            <w:r>
              <w:rPr>
                <w:rFonts w:hint="default" w:ascii="Times New Roman" w:hAnsi="Times New Roman" w:cs="Times New Roman"/>
                <w:lang w:val="en-US" w:eastAsia="zh-CN"/>
              </w:rPr>
              <w:t>）。</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评价方法：本次大气环境质量现状评价采用最大占标百分比，计算公式如下：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Pi=Ci/Coi</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式中：Pi——i评价因子最大浓度占标率；</w:t>
            </w:r>
          </w:p>
          <w:p>
            <w:pPr>
              <w:keepNext w:val="0"/>
              <w:keepLines w:val="0"/>
              <w:suppressLineNumbers w:val="0"/>
              <w:bidi w:val="0"/>
              <w:spacing w:before="0" w:beforeAutospacing="0" w:after="0" w:afterAutospacing="0"/>
              <w:ind w:left="0" w:right="0" w:firstLine="1200" w:firstLineChars="500"/>
              <w:rPr>
                <w:rFonts w:hint="default" w:ascii="Times New Roman" w:hAnsi="Times New Roman" w:cs="Times New Roman"/>
                <w:lang w:val="en-US" w:eastAsia="zh-CN"/>
              </w:rPr>
            </w:pPr>
            <w:r>
              <w:rPr>
                <w:rFonts w:hint="default" w:ascii="Times New Roman" w:hAnsi="Times New Roman" w:cs="Times New Roman"/>
                <w:lang w:val="en-US" w:eastAsia="zh-CN"/>
              </w:rPr>
              <w:t>Ci——i评价因子的最大监测浓度（mg/m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w:t>
            </w:r>
          </w:p>
          <w:p>
            <w:pPr>
              <w:keepNext w:val="0"/>
              <w:keepLines w:val="0"/>
              <w:suppressLineNumbers w:val="0"/>
              <w:bidi w:val="0"/>
              <w:spacing w:before="0" w:beforeAutospacing="0" w:after="0" w:afterAutospacing="0"/>
              <w:ind w:left="0" w:right="0" w:firstLine="1200" w:firstLineChars="500"/>
              <w:rPr>
                <w:rFonts w:hint="default" w:ascii="Times New Roman" w:hAnsi="Times New Roman" w:cs="Times New Roman"/>
                <w:lang w:val="en-US" w:eastAsia="zh-CN"/>
              </w:rPr>
            </w:pPr>
            <w:r>
              <w:rPr>
                <w:rFonts w:hint="default" w:ascii="Times New Roman" w:hAnsi="Times New Roman" w:cs="Times New Roman"/>
                <w:lang w:val="en-US" w:eastAsia="zh-CN"/>
              </w:rPr>
              <w:t>Coi——i评价因子的评价标准（mg/m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（3）现状监测及评价结果</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颗粒物现状监测、评价结果见下表。</w:t>
            </w:r>
          </w:p>
          <w:p>
            <w:pPr>
              <w:pStyle w:val="5"/>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表3-2  TSP现状监测表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9"/>
              <w:gridCol w:w="1706"/>
              <w:gridCol w:w="1569"/>
              <w:gridCol w:w="1156"/>
              <w:gridCol w:w="1140"/>
              <w:gridCol w:w="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38"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监测点位</w:t>
                  </w:r>
                </w:p>
              </w:tc>
              <w:tc>
                <w:tcPr>
                  <w:tcW w:w="1055"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时间</w:t>
                  </w:r>
                </w:p>
              </w:tc>
              <w:tc>
                <w:tcPr>
                  <w:tcW w:w="970"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检测结果（ug/m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w:t>
                  </w:r>
                </w:p>
              </w:tc>
              <w:tc>
                <w:tcPr>
                  <w:tcW w:w="715"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标准值（ug/m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w:t>
                  </w:r>
                </w:p>
              </w:tc>
              <w:tc>
                <w:tcPr>
                  <w:tcW w:w="705"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浓度占标率（%）</w:t>
                  </w:r>
                </w:p>
              </w:tc>
              <w:tc>
                <w:tcPr>
                  <w:tcW w:w="514"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038" w:type="pct"/>
                  <w:vMerge w:val="restart"/>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E：85°55′9.755"，N：41°51′4.454"</w:t>
                  </w:r>
                </w:p>
              </w:tc>
              <w:tc>
                <w:tcPr>
                  <w:tcW w:w="1055"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2024年7月18日</w:t>
                  </w:r>
                </w:p>
              </w:tc>
              <w:tc>
                <w:tcPr>
                  <w:tcW w:w="970"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150</w:t>
                  </w:r>
                </w:p>
              </w:tc>
              <w:tc>
                <w:tcPr>
                  <w:tcW w:w="715"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300</w:t>
                  </w:r>
                </w:p>
              </w:tc>
              <w:tc>
                <w:tcPr>
                  <w:tcW w:w="705"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50</w:t>
                  </w:r>
                </w:p>
              </w:tc>
              <w:tc>
                <w:tcPr>
                  <w:tcW w:w="514"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38"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1055"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2024年7月19日</w:t>
                  </w:r>
                </w:p>
              </w:tc>
              <w:tc>
                <w:tcPr>
                  <w:tcW w:w="970"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156</w:t>
                  </w:r>
                </w:p>
              </w:tc>
              <w:tc>
                <w:tcPr>
                  <w:tcW w:w="715"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705"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52</w:t>
                  </w:r>
                </w:p>
              </w:tc>
              <w:tc>
                <w:tcPr>
                  <w:tcW w:w="514"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38"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1055"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2024年7月20日</w:t>
                  </w:r>
                </w:p>
              </w:tc>
              <w:tc>
                <w:tcPr>
                  <w:tcW w:w="970"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150</w:t>
                  </w:r>
                </w:p>
              </w:tc>
              <w:tc>
                <w:tcPr>
                  <w:tcW w:w="715"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705"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50</w:t>
                  </w:r>
                </w:p>
              </w:tc>
              <w:tc>
                <w:tcPr>
                  <w:tcW w:w="514"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达标</w:t>
                  </w:r>
                </w:p>
              </w:tc>
            </w:tr>
          </w:tbl>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监测数据分析：评价区大气环境中特征因子TSP未超出《环境空气质量标准》（GB3095-20</w:t>
            </w:r>
            <w:r>
              <w:rPr>
                <w:rFonts w:hint="eastAsia" w:cs="Times New Roman"/>
                <w:lang w:val="en-US" w:eastAsia="zh-CN"/>
              </w:rPr>
              <w:t>26</w:t>
            </w:r>
            <w:r>
              <w:rPr>
                <w:rFonts w:hint="default" w:ascii="Times New Roman" w:hAnsi="Times New Roman" w:cs="Times New Roman"/>
                <w:lang w:val="en-US" w:eastAsia="zh-CN"/>
              </w:rPr>
              <w:t>）限值要求。</w:t>
            </w:r>
          </w:p>
          <w:p>
            <w:pPr>
              <w:pStyle w:val="3"/>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default" w:ascii="Times New Roman" w:hAnsi="Times New Roman" w:cs="Times New Roman"/>
              </w:rPr>
              <w:t>2</w:t>
            </w:r>
            <w:r>
              <w:rPr>
                <w:rFonts w:hint="default" w:ascii="Times New Roman" w:hAnsi="Times New Roman" w:cs="Times New Roman"/>
                <w:lang w:val="en-US" w:eastAsia="zh-CN"/>
              </w:rPr>
              <w:t xml:space="preserve"> </w:t>
            </w:r>
            <w:r>
              <w:rPr>
                <w:rFonts w:hint="default" w:ascii="Times New Roman" w:hAnsi="Times New Roman" w:cs="Times New Roman"/>
              </w:rPr>
              <w:t>地表水环境现状评价</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根据《巴音郭楞蒙古自治州2024年第四季度水生态环境保护重点工作完成情况》可知：巴州6条监测河流（孔雀河、开都河、车尔臣河、黄水沟、迪那河、塔里木河）共19个监测断面达到或优于Ⅲ类比例为100%。</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项目所在地最近地表水体为南侧</w:t>
            </w:r>
            <w:r>
              <w:rPr>
                <w:rFonts w:hint="eastAsia" w:cs="Times New Roman"/>
                <w:lang w:val="en-US" w:eastAsia="zh-CN"/>
              </w:rPr>
              <w:t>1.9</w:t>
            </w:r>
            <w:r>
              <w:rPr>
                <w:rFonts w:hint="default" w:ascii="Times New Roman" w:hAnsi="Times New Roman" w:cs="Times New Roman"/>
                <w:lang w:val="en-US" w:eastAsia="zh-CN"/>
              </w:rPr>
              <w:t>km的十八团渠，十八团渠水引自孔雀河，根据《巴音郭楞蒙古自治州2024年生态环境状况公报》，孔雀河地表水环境质量满足《地表水环境质量标准》（GB3838-2002）中的Ⅲ类水体水质标准。</w:t>
            </w:r>
          </w:p>
          <w:p>
            <w:pPr>
              <w:pStyle w:val="3"/>
              <w:keepLines w:val="0"/>
              <w:suppressLineNumbers w:val="0"/>
              <w:bidi w:val="0"/>
              <w:spacing w:before="0" w:beforeAutospacing="0" w:after="0" w:afterAutospacing="0"/>
              <w:ind w:right="0"/>
              <w:rPr>
                <w:rFonts w:hint="default" w:ascii="Times New Roman" w:hAnsi="Times New Roman" w:cs="Times New Roman"/>
              </w:rPr>
            </w:pPr>
            <w:r>
              <w:rPr>
                <w:rFonts w:hint="default" w:ascii="Times New Roman" w:hAnsi="Times New Roman" w:cs="Times New Roman"/>
                <w:lang w:val="en-US" w:eastAsia="zh-CN"/>
              </w:rPr>
              <w:t xml:space="preserve">3 </w:t>
            </w:r>
            <w:r>
              <w:rPr>
                <w:rFonts w:hint="default" w:ascii="Times New Roman" w:hAnsi="Times New Roman" w:cs="Times New Roman"/>
              </w:rPr>
              <w:t>声环境质量现状调查与评价</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根据调查，本项目厂界周边50m范围内无声环境保护目标，因此本次不开展声环境质量现状调查与评价。</w:t>
            </w:r>
          </w:p>
          <w:p>
            <w:pPr>
              <w:pStyle w:val="3"/>
              <w:keepLines w:val="0"/>
              <w:suppressLineNumbers w:val="0"/>
              <w:bidi w:val="0"/>
              <w:spacing w:before="0" w:beforeAutospacing="0" w:after="0" w:afterAutospacing="0"/>
              <w:ind w:right="0"/>
              <w:rPr>
                <w:rFonts w:hint="default" w:ascii="Times New Roman" w:hAnsi="Times New Roman" w:cs="Times New Roman"/>
              </w:rPr>
            </w:pPr>
            <w:r>
              <w:rPr>
                <w:rFonts w:hint="default" w:ascii="Times New Roman" w:hAnsi="Times New Roman" w:cs="Times New Roman"/>
                <w:lang w:val="en-US" w:eastAsia="zh-CN"/>
              </w:rPr>
              <w:t xml:space="preserve">4 </w:t>
            </w:r>
            <w:r>
              <w:rPr>
                <w:rFonts w:hint="default" w:ascii="Times New Roman" w:hAnsi="Times New Roman" w:cs="Times New Roman"/>
              </w:rPr>
              <w:t>地下水、土壤环境质量现状调查与评价</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本项目不存在土壤、地下水环境污染途径，无需对地下水、土壤环境现状进行调查。</w:t>
            </w:r>
          </w:p>
          <w:p>
            <w:pPr>
              <w:pStyle w:val="3"/>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default" w:ascii="Times New Roman" w:hAnsi="Times New Roman" w:cs="Times New Roman"/>
                <w:lang w:val="en-US" w:eastAsia="zh-CN"/>
              </w:rPr>
              <w:t>5 生态环境质量现状调查</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位于新疆维吾尔自治区库尔勒上库综合产业园区内，根据《建设项目环境影响报告表编制技术指南（污染影响类）（试行）》的要求，本项目土地用途为工业用地，用地范围内无生态环境保护目标，可不进行生态现状调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1"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环境保护目标</w:t>
            </w:r>
          </w:p>
        </w:tc>
        <w:tc>
          <w:tcPr>
            <w:tcW w:w="8310" w:type="dxa"/>
            <w:noWrap w:val="0"/>
            <w:vAlign w:val="center"/>
          </w:tcPr>
          <w:p>
            <w:pPr>
              <w:pStyle w:val="3"/>
              <w:keepLines w:val="0"/>
              <w:suppressLineNumbers w:val="0"/>
              <w:bidi w:val="0"/>
              <w:spacing w:before="0" w:beforeAutospacing="0" w:after="0" w:afterAutospacing="0"/>
              <w:ind w:right="0"/>
              <w:rPr>
                <w:rFonts w:hint="default" w:ascii="Times New Roman" w:hAnsi="Times New Roman" w:cs="Times New Roman"/>
              </w:rPr>
            </w:pPr>
            <w:r>
              <w:rPr>
                <w:rFonts w:hint="default" w:ascii="Times New Roman" w:hAnsi="Times New Roman" w:cs="Times New Roman"/>
                <w:lang w:val="en-US" w:eastAsia="zh-CN"/>
              </w:rPr>
              <w:t xml:space="preserve">1 </w:t>
            </w:r>
            <w:r>
              <w:rPr>
                <w:rFonts w:hint="default" w:ascii="Times New Roman" w:hAnsi="Times New Roman" w:cs="Times New Roman"/>
              </w:rPr>
              <w:t>大气环境</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经现场踏勘，本项目厂界外500</w:t>
            </w:r>
            <w:r>
              <w:rPr>
                <w:rFonts w:hint="default" w:ascii="Times New Roman" w:hAnsi="Times New Roman" w:cs="Times New Roman"/>
                <w:lang w:val="en-US" w:eastAsia="zh-CN"/>
              </w:rPr>
              <w:t>m</w:t>
            </w:r>
            <w:r>
              <w:rPr>
                <w:rFonts w:hint="default" w:ascii="Times New Roman" w:hAnsi="Times New Roman" w:cs="Times New Roman"/>
              </w:rPr>
              <w:t>范围内无敏感点，无大气环境保护目标。</w:t>
            </w:r>
          </w:p>
          <w:p>
            <w:pPr>
              <w:pStyle w:val="3"/>
              <w:keepLines w:val="0"/>
              <w:suppressLineNumbers w:val="0"/>
              <w:bidi w:val="0"/>
              <w:spacing w:before="0" w:beforeAutospacing="0" w:after="0" w:afterAutospacing="0"/>
              <w:ind w:right="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 xml:space="preserve"> </w:t>
            </w:r>
            <w:r>
              <w:rPr>
                <w:rFonts w:hint="default" w:ascii="Times New Roman" w:hAnsi="Times New Roman" w:cs="Times New Roman"/>
              </w:rPr>
              <w:t>声环境</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经现场踏勘，本项目厂界外50</w:t>
            </w:r>
            <w:r>
              <w:rPr>
                <w:rFonts w:hint="default" w:ascii="Times New Roman" w:hAnsi="Times New Roman" w:cs="Times New Roman"/>
                <w:lang w:val="en-US" w:eastAsia="zh-CN"/>
              </w:rPr>
              <w:t>m</w:t>
            </w:r>
            <w:r>
              <w:rPr>
                <w:rFonts w:hint="default" w:ascii="Times New Roman" w:hAnsi="Times New Roman" w:cs="Times New Roman"/>
              </w:rPr>
              <w:t>范围内无敏感点，无声环境保护目标。</w:t>
            </w:r>
          </w:p>
          <w:p>
            <w:pPr>
              <w:pStyle w:val="3"/>
              <w:keepLines w:val="0"/>
              <w:suppressLineNumbers w:val="0"/>
              <w:bidi w:val="0"/>
              <w:spacing w:before="0" w:beforeAutospacing="0" w:after="0" w:afterAutospacing="0"/>
              <w:ind w:right="0"/>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lang w:val="en-US" w:eastAsia="zh-CN"/>
              </w:rPr>
              <w:t xml:space="preserve"> </w:t>
            </w:r>
            <w:r>
              <w:rPr>
                <w:rFonts w:hint="default" w:ascii="Times New Roman" w:hAnsi="Times New Roman" w:cs="Times New Roman"/>
              </w:rPr>
              <w:t>地下水</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经现场踏勘及收集相关资料，本项目厂界外500m范围内无地下水集中式饮用水水源和热源、矿泉水、温泉等特殊地下水资源。</w:t>
            </w:r>
          </w:p>
          <w:p>
            <w:pPr>
              <w:pStyle w:val="3"/>
              <w:keepLines w:val="0"/>
              <w:suppressLineNumbers w:val="0"/>
              <w:bidi w:val="0"/>
              <w:spacing w:before="0" w:beforeAutospacing="0" w:after="0" w:afterAutospacing="0"/>
              <w:ind w:right="0"/>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lang w:val="en-US" w:eastAsia="zh-CN"/>
              </w:rPr>
              <w:t xml:space="preserve"> </w:t>
            </w:r>
            <w:r>
              <w:rPr>
                <w:rFonts w:hint="default" w:ascii="Times New Roman" w:hAnsi="Times New Roman" w:cs="Times New Roman"/>
              </w:rPr>
              <w:t>生态环境</w:t>
            </w:r>
          </w:p>
          <w:p>
            <w:pPr>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cs="Times New Roman"/>
              </w:rPr>
              <w:t>项目用地范围内无生态环境保护目标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75" w:hRule="atLeast"/>
          <w:jc w:val="center"/>
        </w:trPr>
        <w:tc>
          <w:tcPr>
            <w:tcW w:w="751" w:type="dxa"/>
            <w:noWrap w:val="0"/>
            <w:tcMar>
              <w:left w:w="28" w:type="dxa"/>
              <w:right w:w="28" w:type="dxa"/>
            </w:tcMar>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污染物排放控制标准</w:t>
            </w:r>
          </w:p>
        </w:tc>
        <w:tc>
          <w:tcPr>
            <w:tcW w:w="8310" w:type="dxa"/>
            <w:noWrap w:val="0"/>
            <w:vAlign w:val="center"/>
          </w:tcPr>
          <w:p>
            <w:pPr>
              <w:pStyle w:val="3"/>
              <w:keepLines w:val="0"/>
              <w:suppressLineNumbers w:val="0"/>
              <w:bidi w:val="0"/>
              <w:spacing w:before="0" w:beforeAutospacing="0" w:after="0" w:afterAutospacing="0"/>
              <w:ind w:right="0"/>
              <w:rPr>
                <w:rFonts w:hint="default" w:ascii="Times New Roman" w:hAnsi="Times New Roman" w:cs="Times New Roman"/>
              </w:rPr>
            </w:pPr>
            <w:r>
              <w:rPr>
                <w:rFonts w:hint="default" w:ascii="Times New Roman" w:hAnsi="Times New Roman" w:cs="Times New Roman"/>
                <w:lang w:val="en-US" w:eastAsia="zh-CN"/>
              </w:rPr>
              <w:t xml:space="preserve">1 </w:t>
            </w:r>
            <w:r>
              <w:rPr>
                <w:rFonts w:hint="default" w:ascii="Times New Roman" w:hAnsi="Times New Roman" w:cs="Times New Roman"/>
              </w:rPr>
              <w:t>运营期污染物排放控制标准</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（1）废气</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本项目有组织颗粒物</w:t>
            </w:r>
            <w:r>
              <w:rPr>
                <w:rFonts w:hint="default" w:ascii="Times New Roman" w:hAnsi="Times New Roman" w:cs="Times New Roman"/>
              </w:rPr>
              <w:t>执行《水泥工业大气污染物排放标准》（含2025年修改单）（GB4915-2013）表</w:t>
            </w:r>
            <w:r>
              <w:rPr>
                <w:rFonts w:hint="default" w:ascii="Times New Roman" w:hAnsi="Times New Roman" w:cs="Times New Roman"/>
                <w:lang w:val="en-US" w:eastAsia="zh-CN"/>
              </w:rPr>
              <w:t>2大气污染物特别排放限值</w:t>
            </w:r>
            <w:r>
              <w:rPr>
                <w:rFonts w:hint="default" w:ascii="Times New Roman" w:hAnsi="Times New Roman" w:cs="Times New Roman"/>
              </w:rPr>
              <w:t>；无组织排放颗粒物执行《水泥工业大气污染物排放标准》（含2025年修改单）（GB4915-2013）表3标准</w:t>
            </w:r>
            <w:r>
              <w:rPr>
                <w:rFonts w:hint="eastAsia" w:cs="Times New Roman"/>
                <w:lang w:eastAsia="zh-CN"/>
              </w:rPr>
              <w:t>；</w:t>
            </w:r>
            <w:r>
              <w:rPr>
                <w:rFonts w:hint="eastAsia" w:cs="Times New Roman"/>
                <w:lang w:val="en-US" w:eastAsia="zh-CN"/>
              </w:rPr>
              <w:t>非甲烷总烃执行《大气污染物综合排放标准》（GB16297-1996）和《挥发性有机物无组织排放控制标准》（GB37822—2019）</w:t>
            </w:r>
            <w:r>
              <w:rPr>
                <w:rFonts w:hint="default" w:ascii="Times New Roman" w:hAnsi="Times New Roman" w:cs="Times New Roman"/>
                <w:lang w:eastAsia="zh-CN"/>
              </w:rPr>
              <w:t>。</w:t>
            </w:r>
          </w:p>
          <w:p>
            <w:pPr>
              <w:pStyle w:val="5"/>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3-3  废气</w:t>
            </w:r>
            <w:r>
              <w:rPr>
                <w:rFonts w:hint="default" w:ascii="Times New Roman" w:hAnsi="Times New Roman" w:cs="Times New Roman"/>
              </w:rPr>
              <w:t>最高允许排放浓度</w:t>
            </w:r>
          </w:p>
          <w:tbl>
            <w:tblPr>
              <w:tblStyle w:val="33"/>
              <w:tblW w:w="499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873"/>
              <w:gridCol w:w="775"/>
              <w:gridCol w:w="914"/>
              <w:gridCol w:w="2568"/>
              <w:gridCol w:w="294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20" w:hRule="atLeast"/>
                <w:jc w:val="center"/>
              </w:trPr>
              <w:tc>
                <w:tcPr>
                  <w:tcW w:w="541" w:type="pc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污染物</w:t>
                  </w:r>
                  <w:r>
                    <w:rPr>
                      <w:rFonts w:hint="default" w:ascii="Times New Roman" w:hAnsi="Times New Roman" w:cs="Times New Roman"/>
                    </w:rPr>
                    <w:t>项目</w:t>
                  </w:r>
                </w:p>
              </w:tc>
              <w:tc>
                <w:tcPr>
                  <w:tcW w:w="480" w:type="pc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排放方式</w:t>
                  </w:r>
                </w:p>
              </w:tc>
              <w:tc>
                <w:tcPr>
                  <w:tcW w:w="2156" w:type="pct"/>
                  <w:gridSpan w:val="2"/>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最高允许排放浓度</w:t>
                  </w:r>
                  <w:r>
                    <w:rPr>
                      <w:rFonts w:hint="default" w:ascii="Times New Roman" w:hAnsi="Times New Roman" w:cs="Times New Roman"/>
                      <w:lang w:eastAsia="zh-CN"/>
                    </w:rPr>
                    <w:t>（</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lang w:eastAsia="zh-CN"/>
                    </w:rPr>
                    <w:t>）</w:t>
                  </w:r>
                </w:p>
              </w:tc>
              <w:tc>
                <w:tcPr>
                  <w:tcW w:w="1821" w:type="pc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执行标准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41" w:type="pct"/>
                  <w:vMerge w:val="restar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cs="Times New Roman"/>
                      <w:lang w:val="en-US" w:eastAsia="zh-CN"/>
                    </w:rPr>
                    <w:t>颗粒物</w:t>
                  </w:r>
                </w:p>
              </w:tc>
              <w:tc>
                <w:tcPr>
                  <w:tcW w:w="480" w:type="pc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cs="Times New Roman"/>
                      <w:lang w:val="en-US" w:eastAsia="zh-CN"/>
                    </w:rPr>
                    <w:t>有组织</w:t>
                  </w:r>
                </w:p>
              </w:tc>
              <w:tc>
                <w:tcPr>
                  <w:tcW w:w="2156" w:type="pct"/>
                  <w:gridSpan w:val="2"/>
                  <w:tcBorders>
                    <w:bottom w:val="single" w:color="auto" w:sz="4" w:space="0"/>
                    <w:tl2br w:val="nil"/>
                    <w:tr2bl w:val="nil"/>
                  </w:tcBorders>
                  <w:shd w:val="clear" w:color="auto" w:fill="auto"/>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rPr>
                    <w:t>10mg/m</w:t>
                  </w:r>
                  <w:r>
                    <w:rPr>
                      <w:rFonts w:hint="default" w:ascii="Times New Roman" w:hAnsi="Times New Roman" w:cs="Times New Roman"/>
                      <w:vertAlign w:val="superscript"/>
                    </w:rPr>
                    <w:t>3</w:t>
                  </w:r>
                </w:p>
              </w:tc>
              <w:tc>
                <w:tcPr>
                  <w:tcW w:w="1821" w:type="pct"/>
                  <w:tcBorders>
                    <w:bottom w:val="single" w:color="auto" w:sz="4" w:space="0"/>
                    <w:tl2br w:val="nil"/>
                    <w:tr2bl w:val="nil"/>
                  </w:tcBorders>
                  <w:shd w:val="clear" w:color="auto" w:fill="auto"/>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rPr>
                    <w:t>《水泥工业大气污染物排放标准》（含2025年修改单）（GB</w:t>
                  </w:r>
                  <w:r>
                    <w:rPr>
                      <w:rFonts w:hint="default" w:ascii="Times New Roman" w:hAnsi="Times New Roman" w:cs="Times New Roman"/>
                      <w:lang w:val="en-US" w:eastAsia="zh-CN"/>
                    </w:rPr>
                    <w:t xml:space="preserve"> </w:t>
                  </w:r>
                  <w:r>
                    <w:rPr>
                      <w:rFonts w:hint="default" w:ascii="Times New Roman" w:hAnsi="Times New Roman" w:cs="Times New Roman"/>
                    </w:rPr>
                    <w:t>4915-2013）表2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738" w:hRule="atLeast"/>
                <w:jc w:val="center"/>
              </w:trPr>
              <w:tc>
                <w:tcPr>
                  <w:tcW w:w="541"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eastAsia="宋体" w:cs="Times New Roman"/>
                      <w:lang w:val="en-US" w:eastAsia="zh-CN"/>
                    </w:rPr>
                  </w:pPr>
                </w:p>
              </w:tc>
              <w:tc>
                <w:tcPr>
                  <w:tcW w:w="480" w:type="pc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无组织</w:t>
                  </w:r>
                </w:p>
              </w:tc>
              <w:tc>
                <w:tcPr>
                  <w:tcW w:w="566" w:type="pct"/>
                  <w:tcBorders>
                    <w:bottom w:val="single" w:color="auto" w:sz="4" w:space="0"/>
                    <w:right w:val="single" w:color="auto" w:sz="4" w:space="0"/>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项目营运期</w:t>
                  </w:r>
                </w:p>
              </w:tc>
              <w:tc>
                <w:tcPr>
                  <w:tcW w:w="1590" w:type="pct"/>
                  <w:tcBorders>
                    <w:left w:val="single" w:color="auto" w:sz="4" w:space="0"/>
                    <w:bottom w:val="single" w:color="auto" w:sz="4" w:space="0"/>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0.5mg/m</w:t>
                  </w:r>
                  <w:r>
                    <w:rPr>
                      <w:rFonts w:hint="default" w:ascii="Times New Roman" w:hAnsi="Times New Roman" w:cs="Times New Roman"/>
                      <w:vertAlign w:val="superscript"/>
                    </w:rPr>
                    <w:t>3</w:t>
                  </w:r>
                  <w:r>
                    <w:rPr>
                      <w:rFonts w:hint="default" w:ascii="Times New Roman" w:hAnsi="Times New Roman" w:cs="Times New Roman"/>
                      <w:lang w:eastAsia="zh-CN"/>
                    </w:rPr>
                    <w:t>（</w:t>
                  </w:r>
                  <w:r>
                    <w:rPr>
                      <w:rFonts w:hint="default" w:ascii="Times New Roman" w:hAnsi="Times New Roman" w:cs="Times New Roman"/>
                      <w:lang w:val="en-US" w:eastAsia="zh-CN"/>
                    </w:rPr>
                    <w:t>监测点与参照点总悬浮颗粒物（TSP）1小时浓度值的差值</w:t>
                  </w:r>
                  <w:r>
                    <w:rPr>
                      <w:rFonts w:hint="default" w:ascii="Times New Roman" w:hAnsi="Times New Roman" w:cs="Times New Roman"/>
                      <w:lang w:eastAsia="zh-CN"/>
                    </w:rPr>
                    <w:t>）</w:t>
                  </w:r>
                </w:p>
              </w:tc>
              <w:tc>
                <w:tcPr>
                  <w:tcW w:w="1821" w:type="pct"/>
                  <w:tcBorders>
                    <w:bottom w:val="single" w:color="auto" w:sz="4" w:space="0"/>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《水泥工业大气污染物排放标准》（含2025年修改单）（GB</w:t>
                  </w:r>
                  <w:r>
                    <w:rPr>
                      <w:rFonts w:hint="default" w:ascii="Times New Roman" w:hAnsi="Times New Roman" w:cs="Times New Roman"/>
                      <w:lang w:val="en-US" w:eastAsia="zh-CN"/>
                    </w:rPr>
                    <w:t xml:space="preserve"> </w:t>
                  </w:r>
                  <w:r>
                    <w:rPr>
                      <w:rFonts w:hint="default" w:ascii="Times New Roman" w:hAnsi="Times New Roman" w:cs="Times New Roman"/>
                    </w:rPr>
                    <w:t>4915-2013）表3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90" w:hRule="atLeast"/>
                <w:jc w:val="center"/>
              </w:trPr>
              <w:tc>
                <w:tcPr>
                  <w:tcW w:w="541" w:type="pct"/>
                  <w:vMerge w:val="restar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lang w:val="en-US" w:eastAsia="zh-CN"/>
                    </w:rPr>
                    <w:t>非甲烷总烃</w:t>
                  </w:r>
                </w:p>
              </w:tc>
              <w:tc>
                <w:tcPr>
                  <w:tcW w:w="480" w:type="pc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有组织</w:t>
                  </w:r>
                </w:p>
              </w:tc>
              <w:tc>
                <w:tcPr>
                  <w:tcW w:w="2156" w:type="pct"/>
                  <w:gridSpan w:val="2"/>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120mg/m</w:t>
                  </w:r>
                  <w:r>
                    <w:rPr>
                      <w:rFonts w:hint="default" w:ascii="Times New Roman" w:hAnsi="Times New Roman" w:cs="Times New Roman"/>
                      <w:vertAlign w:val="superscript"/>
                      <w:lang w:val="en-US" w:eastAsia="zh-CN"/>
                    </w:rPr>
                    <w:t>3</w:t>
                  </w:r>
                </w:p>
              </w:tc>
              <w:tc>
                <w:tcPr>
                  <w:tcW w:w="1821" w:type="pc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90" w:hRule="atLeast"/>
                <w:jc w:val="center"/>
              </w:trPr>
              <w:tc>
                <w:tcPr>
                  <w:tcW w:w="541" w:type="pct"/>
                  <w:vMerge w:val="continue"/>
                  <w:tcBorders>
                    <w:tl2br w:val="nil"/>
                    <w:tr2bl w:val="nil"/>
                  </w:tcBorders>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p>
              </w:tc>
              <w:tc>
                <w:tcPr>
                  <w:tcW w:w="480" w:type="pct"/>
                  <w:vMerge w:val="restart"/>
                  <w:tcBorders>
                    <w:tl2br w:val="nil"/>
                    <w:tr2bl w:val="nil"/>
                  </w:tcBorders>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lang w:val="en-US" w:eastAsia="zh-CN"/>
                    </w:rPr>
                    <w:t>无组织</w:t>
                  </w:r>
                </w:p>
              </w:tc>
              <w:tc>
                <w:tcPr>
                  <w:tcW w:w="566" w:type="pct"/>
                  <w:vMerge w:val="restart"/>
                  <w:tcBorders>
                    <w:tl2br w:val="nil"/>
                    <w:tr2bl w:val="nil"/>
                  </w:tcBorders>
                  <w:shd w:val="clear" w:color="auto" w:fill="auto"/>
                  <w:noWrap w:val="0"/>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厂内</w:t>
                  </w:r>
                </w:p>
              </w:tc>
              <w:tc>
                <w:tcPr>
                  <w:tcW w:w="1590" w:type="pct"/>
                  <w:tcBorders>
                    <w:tl2br w:val="nil"/>
                    <w:tr2bl w:val="nil"/>
                  </w:tcBorders>
                  <w:shd w:val="clear" w:color="auto" w:fill="auto"/>
                  <w:noWrap w:val="0"/>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6mg/m</w:t>
                  </w:r>
                  <w:r>
                    <w:rPr>
                      <w:rFonts w:hint="eastAsia"/>
                      <w:vertAlign w:val="superscript"/>
                      <w:lang w:val="en-US" w:eastAsia="zh-CN"/>
                    </w:rPr>
                    <w:t>3</w:t>
                  </w:r>
                  <w:r>
                    <w:rPr>
                      <w:rFonts w:hint="eastAsia"/>
                      <w:vertAlign w:val="baseline"/>
                      <w:lang w:val="en-US" w:eastAsia="zh-CN"/>
                    </w:rPr>
                    <w:t>（监控点处1h平均浓度值）</w:t>
                  </w:r>
                </w:p>
              </w:tc>
              <w:tc>
                <w:tcPr>
                  <w:tcW w:w="1821" w:type="pct"/>
                  <w:vMerge w:val="restart"/>
                  <w:tcBorders>
                    <w:tl2br w:val="nil"/>
                    <w:tr2bl w:val="nil"/>
                  </w:tcBorders>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《挥发性有机物无组织排放控制标准》（GB37822—2019）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90" w:hRule="atLeast"/>
                <w:jc w:val="center"/>
              </w:trPr>
              <w:tc>
                <w:tcPr>
                  <w:tcW w:w="541" w:type="pct"/>
                  <w:vMerge w:val="continue"/>
                  <w:tcBorders>
                    <w:tl2br w:val="nil"/>
                    <w:tr2bl w:val="nil"/>
                  </w:tcBorders>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p>
              </w:tc>
              <w:tc>
                <w:tcPr>
                  <w:tcW w:w="480" w:type="pct"/>
                  <w:vMerge w:val="continue"/>
                  <w:tcBorders>
                    <w:tl2br w:val="nil"/>
                    <w:tr2bl w:val="nil"/>
                  </w:tcBorders>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p>
              </w:tc>
              <w:tc>
                <w:tcPr>
                  <w:tcW w:w="566" w:type="pct"/>
                  <w:vMerge w:val="continue"/>
                  <w:tcBorders>
                    <w:tl2br w:val="nil"/>
                    <w:tr2bl w:val="nil"/>
                  </w:tcBorders>
                  <w:shd w:val="clear" w:color="auto" w:fill="auto"/>
                  <w:noWrap w:val="0"/>
                  <w:vAlign w:val="center"/>
                </w:tcPr>
                <w:p>
                  <w:pPr>
                    <w:pStyle w:val="6"/>
                    <w:suppressLineNumbers w:val="0"/>
                    <w:bidi w:val="0"/>
                    <w:spacing w:before="0" w:beforeAutospacing="0" w:after="0" w:afterAutospacing="0"/>
                    <w:ind w:left="0" w:right="0"/>
                    <w:rPr>
                      <w:rFonts w:hint="default"/>
                      <w:lang w:val="en-US" w:eastAsia="zh-CN"/>
                    </w:rPr>
                  </w:pPr>
                </w:p>
              </w:tc>
              <w:tc>
                <w:tcPr>
                  <w:tcW w:w="1590" w:type="pct"/>
                  <w:tcBorders>
                    <w:tl2br w:val="nil"/>
                    <w:tr2bl w:val="nil"/>
                  </w:tcBorders>
                  <w:shd w:val="clear" w:color="auto" w:fill="auto"/>
                  <w:noWrap w:val="0"/>
                  <w:vAlign w:val="center"/>
                </w:tcPr>
                <w:p>
                  <w:pPr>
                    <w:pStyle w:val="6"/>
                    <w:suppressLineNumbers w:val="0"/>
                    <w:bidi w:val="0"/>
                    <w:spacing w:before="0" w:beforeAutospacing="0" w:after="0" w:afterAutospacing="0"/>
                    <w:ind w:left="0" w:right="0"/>
                    <w:rPr>
                      <w:rFonts w:hint="default"/>
                      <w:vertAlign w:val="baseline"/>
                      <w:lang w:val="en-US" w:eastAsia="zh-CN"/>
                    </w:rPr>
                  </w:pPr>
                  <w:r>
                    <w:rPr>
                      <w:rFonts w:hint="eastAsia"/>
                      <w:lang w:val="en-US" w:eastAsia="zh-CN"/>
                    </w:rPr>
                    <w:t>20mg/m</w:t>
                  </w:r>
                  <w:r>
                    <w:rPr>
                      <w:rFonts w:hint="eastAsia"/>
                      <w:vertAlign w:val="superscript"/>
                      <w:lang w:val="en-US" w:eastAsia="zh-CN"/>
                    </w:rPr>
                    <w:t>3</w:t>
                  </w:r>
                  <w:r>
                    <w:rPr>
                      <w:rFonts w:hint="eastAsia"/>
                      <w:vertAlign w:val="baseline"/>
                      <w:lang w:val="en-US" w:eastAsia="zh-CN"/>
                    </w:rPr>
                    <w:t>（监控点处任意一次浓度值）</w:t>
                  </w:r>
                </w:p>
              </w:tc>
              <w:tc>
                <w:tcPr>
                  <w:tcW w:w="1821" w:type="pct"/>
                  <w:vMerge w:val="continue"/>
                  <w:tcBorders>
                    <w:tl2br w:val="nil"/>
                    <w:tr2bl w:val="nil"/>
                  </w:tcBorders>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90" w:hRule="atLeast"/>
                <w:jc w:val="center"/>
              </w:trPr>
              <w:tc>
                <w:tcPr>
                  <w:tcW w:w="541" w:type="pct"/>
                  <w:vMerge w:val="continue"/>
                  <w:tcBorders>
                    <w:tl2br w:val="nil"/>
                    <w:tr2bl w:val="nil"/>
                  </w:tcBorders>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p>
              </w:tc>
              <w:tc>
                <w:tcPr>
                  <w:tcW w:w="480" w:type="pct"/>
                  <w:vMerge w:val="continue"/>
                  <w:tcBorders>
                    <w:tl2br w:val="nil"/>
                    <w:tr2bl w:val="nil"/>
                  </w:tcBorders>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p>
              </w:tc>
              <w:tc>
                <w:tcPr>
                  <w:tcW w:w="566" w:type="pct"/>
                  <w:tcBorders>
                    <w:tl2br w:val="nil"/>
                    <w:tr2bl w:val="nil"/>
                  </w:tcBorders>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lang w:val="en-US" w:eastAsia="zh-CN"/>
                    </w:rPr>
                    <w:t>厂界</w:t>
                  </w:r>
                </w:p>
              </w:tc>
              <w:tc>
                <w:tcPr>
                  <w:tcW w:w="1590" w:type="pct"/>
                  <w:tcBorders>
                    <w:tl2br w:val="nil"/>
                    <w:tr2bl w:val="nil"/>
                  </w:tcBorders>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lang w:val="en-US" w:eastAsia="zh-CN"/>
                    </w:rPr>
                    <w:t>4.0mg/m</w:t>
                  </w:r>
                  <w:r>
                    <w:rPr>
                      <w:rFonts w:hint="default" w:ascii="Times New Roman" w:hAnsi="Times New Roman" w:cs="Times New Roman"/>
                      <w:vertAlign w:val="superscript"/>
                      <w:lang w:val="en-US" w:eastAsia="zh-CN"/>
                    </w:rPr>
                    <w:t>3</w:t>
                  </w:r>
                </w:p>
              </w:tc>
              <w:tc>
                <w:tcPr>
                  <w:tcW w:w="1821" w:type="pct"/>
                  <w:tcBorders>
                    <w:tl2br w:val="nil"/>
                    <w:tr2bl w:val="nil"/>
                  </w:tcBorders>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lang w:val="en-US" w:eastAsia="zh-CN"/>
                    </w:rPr>
                    <w:t>《大气污染物综合排放标准》（GB16297-1996）</w:t>
                  </w:r>
                </w:p>
              </w:tc>
            </w:tr>
          </w:tbl>
          <w:p>
            <w:pPr>
              <w:keepNext w:val="0"/>
              <w:keepLines w:val="0"/>
              <w:numPr>
                <w:ilvl w:val="0"/>
                <w:numId w:val="0"/>
              </w:numPr>
              <w:suppressLineNumbers w:val="0"/>
              <w:bidi w:val="0"/>
              <w:spacing w:before="0" w:beforeAutospacing="0" w:after="0" w:afterAutospacing="0"/>
              <w:ind w:left="0" w:right="0" w:firstLine="480" w:firstLineChars="200"/>
              <w:rPr>
                <w:rFonts w:hint="default" w:ascii="Times New Roman" w:hAnsi="Times New Roman" w:cs="Times New Roman"/>
              </w:rPr>
            </w:pPr>
            <w:r>
              <w:rPr>
                <w:rFonts w:hint="default" w:ascii="Times New Roman" w:hAnsi="Times New Roman" w:eastAsia="宋体" w:cs="Times New Roman"/>
                <w:kern w:val="2"/>
                <w:sz w:val="24"/>
                <w:szCs w:val="24"/>
                <w:lang w:val="en-US" w:eastAsia="zh-CN" w:bidi="ar-SA"/>
              </w:rPr>
              <w:t>（2）</w:t>
            </w:r>
            <w:r>
              <w:rPr>
                <w:rFonts w:hint="default" w:ascii="Times New Roman" w:hAnsi="Times New Roman" w:cs="Times New Roman"/>
              </w:rPr>
              <w:t>噪声</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根据《库尔勒市声环境功能区划》项目属于3类声环境功能区，故</w:t>
            </w:r>
            <w:r>
              <w:rPr>
                <w:rFonts w:hint="default" w:ascii="Times New Roman" w:hAnsi="Times New Roman" w:cs="Times New Roman"/>
              </w:rPr>
              <w:t>运营期噪声执行《工业企业厂界环境噪声排放标准》（GB12348-2008）表中</w:t>
            </w:r>
            <w:r>
              <w:rPr>
                <w:rFonts w:hint="default" w:ascii="Times New Roman" w:hAnsi="Times New Roman" w:cs="Times New Roman"/>
                <w:lang w:val="en-US" w:eastAsia="zh-CN"/>
              </w:rPr>
              <w:t>3</w:t>
            </w:r>
            <w:r>
              <w:rPr>
                <w:rFonts w:hint="default" w:ascii="Times New Roman" w:hAnsi="Times New Roman" w:cs="Times New Roman"/>
              </w:rPr>
              <w:t>类区规定的排放限值。</w:t>
            </w:r>
          </w:p>
          <w:p>
            <w:pPr>
              <w:pStyle w:val="5"/>
              <w:suppressLineNumbers w:val="0"/>
              <w:bidi w:val="0"/>
              <w:spacing w:before="0" w:beforeAutospacing="0" w:after="0" w:afterAutospacing="0"/>
              <w:ind w:left="0" w:right="0"/>
              <w:rPr>
                <w:rFonts w:hint="default" w:ascii="Times New Roman" w:hAnsi="Times New Roman" w:cs="Times New Roman"/>
                <w:lang w:val="zh-CN"/>
              </w:rPr>
            </w:pPr>
            <w:r>
              <w:rPr>
                <w:rFonts w:hint="default" w:ascii="Times New Roman" w:hAnsi="Times New Roman" w:cs="Times New Roman"/>
              </w:rPr>
              <w:t>表</w:t>
            </w:r>
            <w:r>
              <w:rPr>
                <w:rFonts w:hint="default" w:ascii="Times New Roman" w:hAnsi="Times New Roman" w:cs="Times New Roman"/>
                <w:lang w:val="en-US" w:eastAsia="zh-CN"/>
              </w:rPr>
              <w:t xml:space="preserve">3-4  </w:t>
            </w:r>
            <w:r>
              <w:rPr>
                <w:rFonts w:hint="default" w:ascii="Times New Roman" w:hAnsi="Times New Roman" w:cs="Times New Roman"/>
              </w:rPr>
              <w:t>工业企业厂界环境噪声排放限值</w:t>
            </w:r>
          </w:p>
          <w:tbl>
            <w:tblPr>
              <w:tblStyle w:val="33"/>
              <w:tblW w:w="4949"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0" w:type="dxa"/>
                <w:bottom w:w="0" w:type="dxa"/>
                <w:right w:w="0" w:type="dxa"/>
              </w:tblCellMar>
            </w:tblPr>
            <w:tblGrid>
              <w:gridCol w:w="1297"/>
              <w:gridCol w:w="1362"/>
              <w:gridCol w:w="1881"/>
              <w:gridCol w:w="3462"/>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23" w:hRule="atLeast"/>
                <w:jc w:val="center"/>
              </w:trPr>
              <w:tc>
                <w:tcPr>
                  <w:tcW w:w="810" w:type="pct"/>
                  <w:tcBorders>
                    <w:tl2br w:val="nil"/>
                    <w:tr2bl w:val="nil"/>
                  </w:tcBorders>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执行标准</w:t>
                  </w:r>
                </w:p>
              </w:tc>
              <w:tc>
                <w:tcPr>
                  <w:tcW w:w="2026" w:type="pct"/>
                  <w:gridSpan w:val="2"/>
                  <w:tcBorders>
                    <w:tl2br w:val="nil"/>
                    <w:tr2bl w:val="nil"/>
                  </w:tcBorders>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zh-CN"/>
                    </w:rPr>
                    <w:t>标准值</w:t>
                  </w:r>
                </w:p>
              </w:tc>
              <w:tc>
                <w:tcPr>
                  <w:tcW w:w="2162" w:type="pct"/>
                  <w:tcBorders>
                    <w:tl2br w:val="nil"/>
                    <w:tr2bl w:val="nil"/>
                  </w:tcBorders>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标准来源</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810" w:type="pct"/>
                  <w:vMerge w:val="restart"/>
                  <w:tcBorders>
                    <w:tl2br w:val="nil"/>
                    <w:tr2bl w:val="nil"/>
                  </w:tcBorders>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类</w:t>
                  </w:r>
                </w:p>
              </w:tc>
              <w:tc>
                <w:tcPr>
                  <w:tcW w:w="851" w:type="pct"/>
                  <w:tcBorders>
                    <w:tl2br w:val="nil"/>
                    <w:tr2bl w:val="nil"/>
                  </w:tcBorders>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昼间</w:t>
                  </w:r>
                </w:p>
              </w:tc>
              <w:tc>
                <w:tcPr>
                  <w:tcW w:w="1175" w:type="pct"/>
                  <w:tcBorders>
                    <w:tl2br w:val="nil"/>
                    <w:tr2bl w:val="nil"/>
                  </w:tcBorders>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6</w:t>
                  </w:r>
                  <w:r>
                    <w:rPr>
                      <w:rFonts w:hint="default" w:ascii="Times New Roman" w:hAnsi="Times New Roman" w:cs="Times New Roman"/>
                      <w:lang w:val="en-US" w:eastAsia="zh-CN"/>
                    </w:rPr>
                    <w:t>5</w:t>
                  </w:r>
                  <w:r>
                    <w:rPr>
                      <w:rFonts w:hint="default" w:ascii="Times New Roman" w:hAnsi="Times New Roman" w:cs="Times New Roman"/>
                      <w:lang w:val="zh-CN"/>
                    </w:rPr>
                    <w:t>dB（A）</w:t>
                  </w:r>
                </w:p>
              </w:tc>
              <w:tc>
                <w:tcPr>
                  <w:tcW w:w="2162" w:type="pct"/>
                  <w:vMerge w:val="restart"/>
                  <w:tcBorders>
                    <w:tl2br w:val="nil"/>
                    <w:tr2bl w:val="nil"/>
                  </w:tcBorders>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《工业企业厂界环境噪声排放标准》（GB12348-2008）</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23" w:hRule="atLeast"/>
                <w:jc w:val="center"/>
              </w:trPr>
              <w:tc>
                <w:tcPr>
                  <w:tcW w:w="810" w:type="pct"/>
                  <w:vMerge w:val="continue"/>
                  <w:tcBorders>
                    <w:tl2br w:val="nil"/>
                    <w:tr2bl w:val="nil"/>
                  </w:tcBorders>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851" w:type="pct"/>
                  <w:tcBorders>
                    <w:tl2br w:val="nil"/>
                    <w:tr2bl w:val="nil"/>
                  </w:tcBorders>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夜间</w:t>
                  </w:r>
                </w:p>
              </w:tc>
              <w:tc>
                <w:tcPr>
                  <w:tcW w:w="1175" w:type="pct"/>
                  <w:tcBorders>
                    <w:tl2br w:val="nil"/>
                    <w:tr2bl w:val="nil"/>
                  </w:tcBorders>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5</w:t>
                  </w:r>
                  <w:r>
                    <w:rPr>
                      <w:rFonts w:hint="default" w:ascii="Times New Roman" w:hAnsi="Times New Roman" w:cs="Times New Roman"/>
                      <w:lang w:val="en-US" w:eastAsia="zh-CN"/>
                    </w:rPr>
                    <w:t>5</w:t>
                  </w:r>
                  <w:r>
                    <w:rPr>
                      <w:rFonts w:hint="default" w:ascii="Times New Roman" w:hAnsi="Times New Roman" w:cs="Times New Roman"/>
                      <w:lang w:val="zh-CN"/>
                    </w:rPr>
                    <w:t>dB（A）</w:t>
                  </w:r>
                </w:p>
              </w:tc>
              <w:tc>
                <w:tcPr>
                  <w:tcW w:w="2162" w:type="pct"/>
                  <w:vMerge w:val="continue"/>
                  <w:tcBorders>
                    <w:tl2br w:val="nil"/>
                    <w:tr2bl w:val="nil"/>
                  </w:tcBorders>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p>
              </w:tc>
            </w:tr>
          </w:tbl>
          <w:p>
            <w:pPr>
              <w:keepNext w:val="0"/>
              <w:keepLines w:val="0"/>
              <w:numPr>
                <w:ilvl w:val="0"/>
                <w:numId w:val="0"/>
              </w:numPr>
              <w:suppressLineNumbers w:val="0"/>
              <w:bidi w:val="0"/>
              <w:spacing w:before="0" w:beforeAutospacing="0" w:after="0" w:afterAutospacing="0"/>
              <w:ind w:left="0" w:right="0" w:firstLine="480" w:firstLineChars="200"/>
              <w:rPr>
                <w:rFonts w:hint="default" w:ascii="Times New Roman" w:hAnsi="Times New Roman" w:cs="Times New Roman"/>
                <w:lang w:val="en-US" w:eastAsia="zh-CN"/>
              </w:rPr>
            </w:pPr>
            <w:r>
              <w:rPr>
                <w:rFonts w:hint="default" w:ascii="Times New Roman" w:hAnsi="Times New Roman" w:eastAsia="宋体" w:cs="Times New Roman"/>
                <w:kern w:val="2"/>
                <w:sz w:val="24"/>
                <w:szCs w:val="24"/>
                <w:lang w:val="en-US" w:eastAsia="zh-CN" w:bidi="ar-SA"/>
              </w:rPr>
              <w:t>（3）</w:t>
            </w:r>
            <w:r>
              <w:rPr>
                <w:rFonts w:hint="default" w:ascii="Times New Roman" w:hAnsi="Times New Roman" w:cs="Times New Roman"/>
                <w:lang w:val="en-US" w:eastAsia="zh-CN"/>
              </w:rPr>
              <w:t>污水</w:t>
            </w:r>
          </w:p>
          <w:p>
            <w:pPr>
              <w:keepNext w:val="0"/>
              <w:keepLines w:val="0"/>
              <w:numPr>
                <w:ilvl w:val="0"/>
                <w:numId w:val="0"/>
              </w:numPr>
              <w:suppressLineNumbers w:val="0"/>
              <w:bidi w:val="0"/>
              <w:spacing w:before="0" w:beforeAutospacing="0" w:after="0" w:afterAutospacing="0"/>
              <w:ind w:left="0" w:right="0" w:firstLine="480" w:firstLineChars="200"/>
              <w:rPr>
                <w:rFonts w:hint="default" w:ascii="Times New Roman" w:hAnsi="Times New Roman" w:eastAsia="宋体" w:cs="Times New Roman"/>
                <w:lang w:eastAsia="zh-CN"/>
              </w:rPr>
            </w:pPr>
            <w:r>
              <w:rPr>
                <w:rFonts w:hint="eastAsia" w:cs="Times New Roman"/>
                <w:lang w:val="en-US" w:eastAsia="zh-CN"/>
              </w:rPr>
              <w:t>项目生产废水经沉淀池沉淀后用于成品养护，不外排；生活污水经化粪池预处理后通过园区污水管网排入铁门关市污水处理厂统一处理，根据《污水综合排放标准》（GB8978-1996）排入设置二级污水处理厂的城镇排水系统的污水，执行三级标准，故</w:t>
            </w:r>
            <w:r>
              <w:rPr>
                <w:rFonts w:hint="default" w:ascii="Times New Roman" w:hAnsi="Times New Roman" w:cs="Times New Roman"/>
                <w:lang w:val="en-US" w:eastAsia="zh-CN"/>
              </w:rPr>
              <w:t>项目污水</w:t>
            </w:r>
            <w:r>
              <w:rPr>
                <w:rFonts w:hint="default" w:ascii="Times New Roman" w:hAnsi="Times New Roman" w:cs="Times New Roman"/>
              </w:rPr>
              <w:t>排水执行《污水综合排放标准》（GB8978-1996）三级标准</w:t>
            </w:r>
            <w:r>
              <w:rPr>
                <w:rFonts w:hint="default" w:ascii="Times New Roman" w:hAnsi="Times New Roman" w:cs="Times New Roman"/>
                <w:lang w:eastAsia="zh-CN"/>
              </w:rPr>
              <w:t>。</w:t>
            </w:r>
          </w:p>
          <w:p>
            <w:pPr>
              <w:pStyle w:val="5"/>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3-5</w:t>
            </w:r>
            <w:r>
              <w:rPr>
                <w:rFonts w:hint="default" w:ascii="Times New Roman" w:hAnsi="Times New Roman" w:cs="Times New Roman"/>
              </w:rPr>
              <w:t xml:space="preserve">  </w:t>
            </w:r>
            <w:r>
              <w:rPr>
                <w:rFonts w:hint="default" w:ascii="Times New Roman" w:hAnsi="Times New Roman" w:cs="Times New Roman"/>
                <w:lang w:val="en-US" w:eastAsia="zh-CN"/>
              </w:rPr>
              <w:t>污水</w:t>
            </w:r>
            <w:r>
              <w:rPr>
                <w:rFonts w:hint="default" w:ascii="Times New Roman" w:hAnsi="Times New Roman" w:cs="Times New Roman"/>
              </w:rPr>
              <w:t>排放浓度限值</w:t>
            </w:r>
          </w:p>
          <w:tbl>
            <w:tblPr>
              <w:tblStyle w:val="33"/>
              <w:tblW w:w="4991"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9"/>
              <w:gridCol w:w="1980"/>
              <w:gridCol w:w="198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1226" w:type="pct"/>
                  <w:tcBorders>
                    <w:bottom w:val="single" w:color="auto" w:sz="2" w:space="0"/>
                    <w:right w:val="single" w:color="auto" w:sz="2"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r>
                    <w:rPr>
                      <w:rFonts w:hint="default" w:ascii="Times New Roman" w:hAnsi="Times New Roman" w:eastAsia="宋体" w:cs="Times New Roman"/>
                    </w:rPr>
                    <w:t>污染物</w:t>
                  </w:r>
                </w:p>
              </w:tc>
              <w:tc>
                <w:tcPr>
                  <w:tcW w:w="1226" w:type="pct"/>
                  <w:tcBorders>
                    <w:left w:val="single" w:color="auto" w:sz="2" w:space="0"/>
                    <w:bottom w:val="single" w:color="auto" w:sz="2" w:space="0"/>
                    <w:right w:val="single" w:color="auto" w:sz="4"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r>
                    <w:rPr>
                      <w:rFonts w:hint="default" w:ascii="Times New Roman" w:hAnsi="Times New Roman" w:eastAsia="宋体" w:cs="Times New Roman"/>
                    </w:rPr>
                    <w:t>单位</w:t>
                  </w:r>
                </w:p>
              </w:tc>
              <w:tc>
                <w:tcPr>
                  <w:tcW w:w="1226" w:type="pct"/>
                  <w:tcBorders>
                    <w:left w:val="single" w:color="auto" w:sz="4" w:space="0"/>
                    <w:bottom w:val="single" w:color="auto" w:sz="2" w:space="0"/>
                    <w:right w:val="single" w:color="auto" w:sz="4"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r>
                    <w:rPr>
                      <w:rFonts w:hint="default" w:ascii="Times New Roman" w:hAnsi="Times New Roman" w:eastAsia="宋体" w:cs="Times New Roman"/>
                    </w:rPr>
                    <w:t>标准值</w:t>
                  </w:r>
                </w:p>
              </w:tc>
              <w:tc>
                <w:tcPr>
                  <w:tcW w:w="1319" w:type="pct"/>
                  <w:tcBorders>
                    <w:left w:val="single" w:color="auto" w:sz="4" w:space="0"/>
                    <w:bottom w:val="single" w:color="auto" w:sz="2"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r>
                    <w:rPr>
                      <w:rFonts w:hint="default" w:ascii="Times New Roman" w:hAnsi="Times New Roman" w:eastAsia="宋体" w:cs="Times New Roma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26" w:type="pct"/>
                  <w:tcBorders>
                    <w:top w:val="single" w:color="auto" w:sz="2" w:space="0"/>
                    <w:right w:val="single" w:color="auto" w:sz="2"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r>
                    <w:rPr>
                      <w:rFonts w:hint="default" w:ascii="Times New Roman" w:hAnsi="Times New Roman" w:eastAsia="宋体" w:cs="Times New Roman"/>
                    </w:rPr>
                    <w:t>pH</w:t>
                  </w:r>
                </w:p>
              </w:tc>
              <w:tc>
                <w:tcPr>
                  <w:tcW w:w="1226" w:type="pct"/>
                  <w:tcBorders>
                    <w:top w:val="single" w:color="auto" w:sz="2" w:space="0"/>
                    <w:left w:val="single" w:color="auto" w:sz="2" w:space="0"/>
                    <w:bottom w:val="single" w:color="auto" w:sz="2" w:space="0"/>
                    <w:right w:val="single" w:color="auto" w:sz="4"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r>
                    <w:rPr>
                      <w:rFonts w:hint="default" w:ascii="Times New Roman" w:hAnsi="Times New Roman" w:eastAsia="宋体" w:cs="Times New Roman"/>
                    </w:rPr>
                    <w:t>无量纲</w:t>
                  </w:r>
                </w:p>
              </w:tc>
              <w:tc>
                <w:tcPr>
                  <w:tcW w:w="1226" w:type="pct"/>
                  <w:tcBorders>
                    <w:top w:val="single" w:color="auto" w:sz="2" w:space="0"/>
                    <w:left w:val="single" w:color="auto" w:sz="4" w:space="0"/>
                    <w:bottom w:val="single" w:color="auto" w:sz="2" w:space="0"/>
                    <w:right w:val="single" w:color="auto" w:sz="4"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r>
                    <w:rPr>
                      <w:rFonts w:hint="default" w:ascii="Times New Roman" w:hAnsi="Times New Roman" w:eastAsia="宋体" w:cs="Times New Roman"/>
                    </w:rPr>
                    <w:t>6-9</w:t>
                  </w:r>
                </w:p>
              </w:tc>
              <w:tc>
                <w:tcPr>
                  <w:tcW w:w="1319" w:type="pct"/>
                  <w:vMerge w:val="restart"/>
                  <w:tcBorders>
                    <w:top w:val="single" w:color="auto" w:sz="2" w:space="0"/>
                    <w:left w:val="single" w:color="auto" w:sz="4"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r>
                    <w:rPr>
                      <w:rFonts w:hint="default" w:ascii="Times New Roman" w:hAnsi="Times New Roman" w:eastAsia="宋体" w:cs="Times New Roman"/>
                    </w:rPr>
                    <w:t>《污水综合排放标准》（GB8978-1996）三级标准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1226" w:type="pct"/>
                  <w:tcBorders>
                    <w:right w:val="single" w:color="auto" w:sz="2" w:space="0"/>
                  </w:tcBorders>
                  <w:noWrap w:val="0"/>
                  <w:vAlign w:val="center"/>
                </w:tcPr>
                <w:p>
                  <w:pPr>
                    <w:pStyle w:val="7"/>
                    <w:keepNext w:val="0"/>
                    <w:keepLines w:val="0"/>
                    <w:suppressLineNumbers w:val="0"/>
                    <w:bidi w:val="0"/>
                    <w:spacing w:before="0" w:beforeAutospacing="0" w:after="0" w:afterAutospacing="0"/>
                    <w:ind w:left="0" w:right="0" w:firstLine="0"/>
                    <w:rPr>
                      <w:rFonts w:hint="eastAsia" w:ascii="Times New Roman" w:hAnsi="Times New Roman" w:eastAsia="宋体" w:cs="Times New Roman"/>
                      <w:lang w:val="en-US" w:eastAsia="zh-CN"/>
                    </w:rPr>
                  </w:pPr>
                  <w:r>
                    <w:rPr>
                      <w:rFonts w:hint="default" w:ascii="Times New Roman" w:hAnsi="Times New Roman" w:eastAsia="宋体" w:cs="Times New Roman"/>
                    </w:rPr>
                    <w:t>BOD</w:t>
                  </w:r>
                  <w:r>
                    <w:rPr>
                      <w:rFonts w:hint="eastAsia" w:cs="Times New Roman"/>
                      <w:vertAlign w:val="subscript"/>
                      <w:lang w:val="en-US" w:eastAsia="zh-CN"/>
                    </w:rPr>
                    <w:t>5</w:t>
                  </w:r>
                </w:p>
              </w:tc>
              <w:tc>
                <w:tcPr>
                  <w:tcW w:w="1226" w:type="pct"/>
                  <w:tcBorders>
                    <w:top w:val="single" w:color="auto" w:sz="2" w:space="0"/>
                    <w:left w:val="single" w:color="auto" w:sz="2" w:space="0"/>
                    <w:bottom w:val="single" w:color="auto" w:sz="2" w:space="0"/>
                    <w:right w:val="single" w:color="auto" w:sz="4"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r>
                    <w:rPr>
                      <w:rFonts w:hint="default" w:ascii="Times New Roman" w:hAnsi="Times New Roman" w:eastAsia="宋体" w:cs="Times New Roman"/>
                    </w:rPr>
                    <w:t>mg/L</w:t>
                  </w:r>
                </w:p>
              </w:tc>
              <w:tc>
                <w:tcPr>
                  <w:tcW w:w="1226" w:type="pct"/>
                  <w:tcBorders>
                    <w:top w:val="single" w:color="auto" w:sz="2" w:space="0"/>
                    <w:left w:val="single" w:color="auto" w:sz="4" w:space="0"/>
                    <w:bottom w:val="single" w:color="auto" w:sz="2" w:space="0"/>
                    <w:right w:val="single" w:color="auto" w:sz="4"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r>
                    <w:rPr>
                      <w:rFonts w:hint="default" w:ascii="Times New Roman" w:hAnsi="Times New Roman" w:eastAsia="宋体" w:cs="Times New Roman"/>
                    </w:rPr>
                    <w:t>300</w:t>
                  </w:r>
                </w:p>
              </w:tc>
              <w:tc>
                <w:tcPr>
                  <w:tcW w:w="1319" w:type="pct"/>
                  <w:vMerge w:val="continue"/>
                  <w:tcBorders>
                    <w:left w:val="single" w:color="auto" w:sz="4"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1226" w:type="pct"/>
                  <w:tcBorders>
                    <w:right w:val="single" w:color="auto" w:sz="2"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r>
                    <w:rPr>
                      <w:rFonts w:hint="default" w:ascii="Times New Roman" w:hAnsi="Times New Roman" w:eastAsia="宋体" w:cs="Times New Roman"/>
                    </w:rPr>
                    <w:t>COD</w:t>
                  </w:r>
                </w:p>
              </w:tc>
              <w:tc>
                <w:tcPr>
                  <w:tcW w:w="1226" w:type="pct"/>
                  <w:tcBorders>
                    <w:top w:val="single" w:color="auto" w:sz="2" w:space="0"/>
                    <w:left w:val="single" w:color="auto" w:sz="2" w:space="0"/>
                    <w:bottom w:val="single" w:color="auto" w:sz="2" w:space="0"/>
                    <w:right w:val="single" w:color="auto" w:sz="4"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r>
                    <w:rPr>
                      <w:rFonts w:hint="default" w:ascii="Times New Roman" w:hAnsi="Times New Roman" w:eastAsia="宋体" w:cs="Times New Roman"/>
                    </w:rPr>
                    <w:t>mg/L</w:t>
                  </w:r>
                </w:p>
              </w:tc>
              <w:tc>
                <w:tcPr>
                  <w:tcW w:w="1226" w:type="pct"/>
                  <w:tcBorders>
                    <w:top w:val="single" w:color="auto" w:sz="2" w:space="0"/>
                    <w:left w:val="single" w:color="auto" w:sz="4" w:space="0"/>
                    <w:bottom w:val="single" w:color="auto" w:sz="2" w:space="0"/>
                    <w:right w:val="single" w:color="auto" w:sz="4"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r>
                    <w:rPr>
                      <w:rFonts w:hint="default" w:ascii="Times New Roman" w:hAnsi="Times New Roman" w:eastAsia="宋体" w:cs="Times New Roman"/>
                    </w:rPr>
                    <w:t>500</w:t>
                  </w:r>
                </w:p>
              </w:tc>
              <w:tc>
                <w:tcPr>
                  <w:tcW w:w="1319" w:type="pct"/>
                  <w:vMerge w:val="continue"/>
                  <w:tcBorders>
                    <w:left w:val="single" w:color="auto" w:sz="4"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1226" w:type="pct"/>
                  <w:tcBorders>
                    <w:right w:val="single" w:color="auto" w:sz="2"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r>
                    <w:rPr>
                      <w:rFonts w:hint="default" w:ascii="Times New Roman" w:hAnsi="Times New Roman" w:eastAsia="宋体" w:cs="Times New Roman"/>
                    </w:rPr>
                    <w:t>氨氮</w:t>
                  </w:r>
                </w:p>
              </w:tc>
              <w:tc>
                <w:tcPr>
                  <w:tcW w:w="1226" w:type="pct"/>
                  <w:tcBorders>
                    <w:top w:val="single" w:color="auto" w:sz="2" w:space="0"/>
                    <w:left w:val="single" w:color="auto" w:sz="2" w:space="0"/>
                    <w:bottom w:val="single" w:color="auto" w:sz="2" w:space="0"/>
                    <w:right w:val="single" w:color="auto" w:sz="4"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r>
                    <w:rPr>
                      <w:rFonts w:hint="default" w:ascii="Times New Roman" w:hAnsi="Times New Roman" w:eastAsia="宋体" w:cs="Times New Roman"/>
                    </w:rPr>
                    <w:t>mg/L</w:t>
                  </w:r>
                </w:p>
              </w:tc>
              <w:tc>
                <w:tcPr>
                  <w:tcW w:w="1226" w:type="pct"/>
                  <w:tcBorders>
                    <w:top w:val="single" w:color="auto" w:sz="2" w:space="0"/>
                    <w:left w:val="single" w:color="auto" w:sz="4" w:space="0"/>
                    <w:bottom w:val="single" w:color="auto" w:sz="2" w:space="0"/>
                    <w:right w:val="single" w:color="auto" w:sz="4"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r>
                    <w:rPr>
                      <w:rFonts w:hint="default" w:ascii="Times New Roman" w:hAnsi="Times New Roman" w:eastAsia="宋体" w:cs="Times New Roman"/>
                    </w:rPr>
                    <w:t>/</w:t>
                  </w:r>
                </w:p>
              </w:tc>
              <w:tc>
                <w:tcPr>
                  <w:tcW w:w="1319" w:type="pct"/>
                  <w:vMerge w:val="continue"/>
                  <w:tcBorders>
                    <w:left w:val="single" w:color="auto" w:sz="4"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1226" w:type="pct"/>
                  <w:tcBorders>
                    <w:right w:val="single" w:color="auto" w:sz="2"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r>
                    <w:rPr>
                      <w:rFonts w:hint="default" w:ascii="Times New Roman" w:hAnsi="Times New Roman" w:eastAsia="宋体" w:cs="Times New Roman"/>
                    </w:rPr>
                    <w:t>SS</w:t>
                  </w:r>
                </w:p>
              </w:tc>
              <w:tc>
                <w:tcPr>
                  <w:tcW w:w="1226" w:type="pct"/>
                  <w:tcBorders>
                    <w:top w:val="single" w:color="auto" w:sz="2" w:space="0"/>
                    <w:left w:val="single" w:color="auto" w:sz="2" w:space="0"/>
                    <w:right w:val="single" w:color="auto" w:sz="4"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r>
                    <w:rPr>
                      <w:rFonts w:hint="default" w:ascii="Times New Roman" w:hAnsi="Times New Roman" w:eastAsia="宋体" w:cs="Times New Roman"/>
                    </w:rPr>
                    <w:t>mg/L</w:t>
                  </w:r>
                </w:p>
              </w:tc>
              <w:tc>
                <w:tcPr>
                  <w:tcW w:w="1226" w:type="pct"/>
                  <w:tcBorders>
                    <w:top w:val="single" w:color="auto" w:sz="2" w:space="0"/>
                    <w:left w:val="single" w:color="auto" w:sz="4" w:space="0"/>
                    <w:right w:val="single" w:color="auto" w:sz="4"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r>
                    <w:rPr>
                      <w:rFonts w:hint="default" w:ascii="Times New Roman" w:hAnsi="Times New Roman" w:eastAsia="宋体" w:cs="Times New Roman"/>
                    </w:rPr>
                    <w:t>400</w:t>
                  </w:r>
                </w:p>
              </w:tc>
              <w:tc>
                <w:tcPr>
                  <w:tcW w:w="1319" w:type="pct"/>
                  <w:vMerge w:val="continue"/>
                  <w:tcBorders>
                    <w:left w:val="single" w:color="auto" w:sz="4" w:space="0"/>
                  </w:tcBorders>
                  <w:noWrap w:val="0"/>
                  <w:vAlign w:val="center"/>
                </w:tcPr>
                <w:p>
                  <w:pPr>
                    <w:pStyle w:val="7"/>
                    <w:keepNext w:val="0"/>
                    <w:keepLines w:val="0"/>
                    <w:suppressLineNumbers w:val="0"/>
                    <w:bidi w:val="0"/>
                    <w:spacing w:before="0" w:beforeAutospacing="0" w:after="0" w:afterAutospacing="0"/>
                    <w:ind w:left="0" w:right="0" w:firstLine="0"/>
                    <w:rPr>
                      <w:rFonts w:hint="default" w:ascii="Times New Roman" w:hAnsi="Times New Roman" w:eastAsia="宋体" w:cs="Times New Roman"/>
                    </w:rPr>
                  </w:pPr>
                </w:p>
              </w:tc>
            </w:tr>
          </w:tbl>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4</w:t>
            </w:r>
            <w:r>
              <w:rPr>
                <w:rFonts w:hint="default" w:ascii="Times New Roman" w:hAnsi="Times New Roman" w:cs="Times New Roman"/>
              </w:rPr>
              <w:t>）固废</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1）一般固废</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一般工业固废执行《中华人民共和国固体废物污染环境防治法》。在暂存过程中应按照简单防渗区要求做好防渗、防雨淋、防扬尘等环境保护要求。</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）危险废物</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危险废物应按照《危险废物贮存污染控制标准》（GB18597</w:t>
            </w:r>
            <w:r>
              <w:rPr>
                <w:rFonts w:hint="default" w:ascii="Times New Roman" w:hAnsi="Times New Roman" w:cs="Times New Roman"/>
                <w:lang w:val="en-US" w:eastAsia="zh-CN"/>
              </w:rPr>
              <w:t>-</w:t>
            </w:r>
            <w:r>
              <w:rPr>
                <w:rFonts w:hint="default" w:ascii="Times New Roman" w:hAnsi="Times New Roman" w:cs="Times New Roman"/>
              </w:rPr>
              <w:t>2023）和《危险废物收集</w:t>
            </w:r>
            <w:r>
              <w:rPr>
                <w:rFonts w:hint="default" w:ascii="Times New Roman" w:hAnsi="Times New Roman" w:cs="Times New Roman"/>
                <w:lang w:val="en-US" w:eastAsia="zh-CN"/>
              </w:rPr>
              <w:t xml:space="preserve"> </w:t>
            </w:r>
            <w:r>
              <w:rPr>
                <w:rFonts w:hint="default" w:ascii="Times New Roman" w:hAnsi="Times New Roman" w:cs="Times New Roman"/>
              </w:rPr>
              <w:t>贮存</w:t>
            </w:r>
            <w:r>
              <w:rPr>
                <w:rFonts w:hint="default" w:ascii="Times New Roman" w:hAnsi="Times New Roman" w:cs="Times New Roman"/>
                <w:lang w:val="en-US" w:eastAsia="zh-CN"/>
              </w:rPr>
              <w:t xml:space="preserve"> </w:t>
            </w:r>
            <w:r>
              <w:rPr>
                <w:rFonts w:hint="default" w:ascii="Times New Roman" w:hAnsi="Times New Roman" w:cs="Times New Roman"/>
              </w:rPr>
              <w:t>运输技术规范》(HJ2025-2012)中相关规定要求进行危险废物的包装、贮存设施的选址、设计、运行、安全防护、监测和关闭等要求进行合理的贮存。</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）生活垃圾</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rPr>
              <w:t>生活垃圾处理执行《城市生活垃圾处理及污染防治技术政策》（建城</w:t>
            </w:r>
            <w:r>
              <w:rPr>
                <w:rFonts w:hint="default" w:ascii="Times New Roman" w:hAnsi="Times New Roman" w:cs="Times New Roman"/>
                <w:lang w:eastAsia="zh-CN"/>
              </w:rPr>
              <w:t>〔2000〕120号</w:t>
            </w:r>
            <w:r>
              <w:rPr>
                <w:rFonts w:hint="default" w:ascii="Times New Roman" w:hAnsi="Times New Roman" w:cs="Times New Roman"/>
              </w:rPr>
              <w:t>）和《生活垃圾处理技术指南》（建城</w:t>
            </w:r>
            <w:r>
              <w:rPr>
                <w:rFonts w:hint="default" w:ascii="Times New Roman" w:hAnsi="Times New Roman" w:cs="Times New Roman"/>
                <w:lang w:eastAsia="zh-CN"/>
              </w:rPr>
              <w:t>〔2010〕61号</w:t>
            </w:r>
            <w:r>
              <w:rPr>
                <w:rFonts w:hint="default" w:ascii="Times New Roman" w:hAnsi="Times New Roman" w:cs="Times New Roman"/>
              </w:rPr>
              <w:t>）以及国家、省市关于固体废物污染环境防治的法律法规。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12" w:hRule="atLeast"/>
          <w:jc w:val="center"/>
        </w:trPr>
        <w:tc>
          <w:tcPr>
            <w:tcW w:w="751"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总量</w:t>
            </w:r>
          </w:p>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控制</w:t>
            </w:r>
          </w:p>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指标</w:t>
            </w:r>
          </w:p>
        </w:tc>
        <w:tc>
          <w:tcPr>
            <w:tcW w:w="8310" w:type="dxa"/>
            <w:noWrap w:val="0"/>
            <w:vAlign w:val="top"/>
          </w:tcPr>
          <w:p>
            <w:pPr>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根据运营期环境影响和保护措施章节分析，项目总量控制建议指标见下表。</w:t>
            </w:r>
          </w:p>
          <w:p>
            <w:pPr>
              <w:pStyle w:val="5"/>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表3-6  总量控制建议指标</w:t>
            </w:r>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21"/>
              <w:gridCol w:w="928"/>
              <w:gridCol w:w="1727"/>
              <w:gridCol w:w="1620"/>
              <w:gridCol w:w="26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1849" w:type="dxa"/>
                  <w:gridSpan w:val="2"/>
                  <w:tcBorders>
                    <w:tl2br w:val="nil"/>
                    <w:tr2bl w:val="nil"/>
                  </w:tcBorders>
                  <w:vAlign w:val="center"/>
                </w:tcPr>
                <w:p>
                  <w:pPr>
                    <w:pStyle w:val="6"/>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污染物名称</w:t>
                  </w:r>
                </w:p>
              </w:tc>
              <w:tc>
                <w:tcPr>
                  <w:tcW w:w="3347" w:type="dxa"/>
                  <w:gridSpan w:val="2"/>
                  <w:tcBorders>
                    <w:tl2br w:val="nil"/>
                    <w:tr2bl w:val="nil"/>
                  </w:tcBorders>
                  <w:vAlign w:val="center"/>
                </w:tcPr>
                <w:p>
                  <w:pPr>
                    <w:pStyle w:val="6"/>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项目污染物排放量（t/a）</w:t>
                  </w:r>
                </w:p>
              </w:tc>
              <w:tc>
                <w:tcPr>
                  <w:tcW w:w="2675" w:type="dxa"/>
                  <w:tcBorders>
                    <w:tl2br w:val="nil"/>
                    <w:tr2bl w:val="nil"/>
                  </w:tcBorders>
                  <w:vAlign w:val="center"/>
                </w:tcPr>
                <w:p>
                  <w:pPr>
                    <w:pStyle w:val="6"/>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总量控制指标来源及量(t/a)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921" w:type="dxa"/>
                  <w:vMerge w:val="restart"/>
                  <w:tcBorders>
                    <w:tl2br w:val="nil"/>
                    <w:tr2bl w:val="nil"/>
                  </w:tcBorders>
                  <w:vAlign w:val="center"/>
                </w:tcPr>
                <w:p>
                  <w:pPr>
                    <w:pStyle w:val="6"/>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废气</w:t>
                  </w:r>
                </w:p>
              </w:tc>
              <w:tc>
                <w:tcPr>
                  <w:tcW w:w="928" w:type="dxa"/>
                  <w:vMerge w:val="restart"/>
                  <w:tcBorders>
                    <w:tl2br w:val="nil"/>
                    <w:tr2bl w:val="nil"/>
                  </w:tcBorders>
                  <w:vAlign w:val="center"/>
                </w:tcPr>
                <w:p>
                  <w:pPr>
                    <w:pStyle w:val="6"/>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VOC</w:t>
                  </w:r>
                  <w:r>
                    <w:rPr>
                      <w:rFonts w:hint="eastAsia"/>
                      <w:highlight w:val="none"/>
                      <w:vertAlign w:val="subscript"/>
                      <w:lang w:val="en-US" w:eastAsia="zh-CN"/>
                    </w:rPr>
                    <w:t>S</w:t>
                  </w:r>
                </w:p>
              </w:tc>
              <w:tc>
                <w:tcPr>
                  <w:tcW w:w="1727" w:type="dxa"/>
                  <w:tcBorders>
                    <w:tl2br w:val="nil"/>
                    <w:tr2bl w:val="nil"/>
                  </w:tcBorders>
                  <w:vAlign w:val="center"/>
                </w:tcPr>
                <w:p>
                  <w:pPr>
                    <w:pStyle w:val="6"/>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有组织</w:t>
                  </w:r>
                </w:p>
              </w:tc>
              <w:tc>
                <w:tcPr>
                  <w:tcW w:w="1620" w:type="dxa"/>
                  <w:tcBorders>
                    <w:tl2br w:val="nil"/>
                    <w:tr2bl w:val="nil"/>
                  </w:tcBorders>
                  <w:vAlign w:val="center"/>
                </w:tcPr>
                <w:p>
                  <w:pPr>
                    <w:pStyle w:val="6"/>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0.18</w:t>
                  </w:r>
                </w:p>
              </w:tc>
              <w:tc>
                <w:tcPr>
                  <w:tcW w:w="2675" w:type="dxa"/>
                  <w:vMerge w:val="restart"/>
                  <w:tcBorders>
                    <w:tl2br w:val="nil"/>
                    <w:tr2bl w:val="nil"/>
                  </w:tcBorders>
                  <w:vAlign w:val="center"/>
                </w:tcPr>
                <w:p>
                  <w:pPr>
                    <w:pStyle w:val="6"/>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0.26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921" w:type="dxa"/>
                  <w:vMerge w:val="continue"/>
                  <w:tcBorders>
                    <w:tl2br w:val="nil"/>
                    <w:tr2bl w:val="nil"/>
                  </w:tcBorders>
                  <w:vAlign w:val="center"/>
                </w:tcPr>
                <w:p>
                  <w:pPr>
                    <w:pStyle w:val="6"/>
                    <w:suppressLineNumbers w:val="0"/>
                    <w:bidi w:val="0"/>
                    <w:spacing w:before="0" w:beforeAutospacing="0" w:after="0" w:afterAutospacing="0"/>
                    <w:ind w:left="0" w:right="0"/>
                    <w:rPr>
                      <w:rFonts w:hint="eastAsia"/>
                      <w:highlight w:val="none"/>
                      <w:lang w:val="en-US" w:eastAsia="zh-CN"/>
                    </w:rPr>
                  </w:pPr>
                </w:p>
              </w:tc>
              <w:tc>
                <w:tcPr>
                  <w:tcW w:w="928" w:type="dxa"/>
                  <w:vMerge w:val="continue"/>
                  <w:tcBorders>
                    <w:tl2br w:val="nil"/>
                    <w:tr2bl w:val="nil"/>
                  </w:tcBorders>
                  <w:vAlign w:val="center"/>
                </w:tcPr>
                <w:p>
                  <w:pPr>
                    <w:pStyle w:val="6"/>
                    <w:suppressLineNumbers w:val="0"/>
                    <w:bidi w:val="0"/>
                    <w:spacing w:before="0" w:beforeAutospacing="0" w:after="0" w:afterAutospacing="0"/>
                    <w:ind w:left="0" w:right="0"/>
                    <w:rPr>
                      <w:rFonts w:hint="eastAsia"/>
                      <w:highlight w:val="none"/>
                      <w:lang w:val="en-US" w:eastAsia="zh-CN"/>
                    </w:rPr>
                  </w:pPr>
                </w:p>
              </w:tc>
              <w:tc>
                <w:tcPr>
                  <w:tcW w:w="1727" w:type="dxa"/>
                  <w:tcBorders>
                    <w:tl2br w:val="nil"/>
                    <w:tr2bl w:val="nil"/>
                  </w:tcBorders>
                  <w:vAlign w:val="center"/>
                </w:tcPr>
                <w:p>
                  <w:pPr>
                    <w:pStyle w:val="6"/>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无组织</w:t>
                  </w:r>
                </w:p>
              </w:tc>
              <w:tc>
                <w:tcPr>
                  <w:tcW w:w="1620" w:type="dxa"/>
                  <w:tcBorders>
                    <w:tl2br w:val="nil"/>
                    <w:tr2bl w:val="nil"/>
                  </w:tcBorders>
                  <w:vAlign w:val="center"/>
                </w:tcPr>
                <w:p>
                  <w:pPr>
                    <w:pStyle w:val="6"/>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0.08</w:t>
                  </w:r>
                </w:p>
              </w:tc>
              <w:tc>
                <w:tcPr>
                  <w:tcW w:w="2675" w:type="dxa"/>
                  <w:vMerge w:val="continue"/>
                  <w:tcBorders>
                    <w:tl2br w:val="nil"/>
                    <w:tr2bl w:val="nil"/>
                  </w:tcBorders>
                  <w:vAlign w:val="center"/>
                </w:tcPr>
                <w:p>
                  <w:pPr>
                    <w:pStyle w:val="6"/>
                    <w:suppressLineNumbers w:val="0"/>
                    <w:bidi w:val="0"/>
                    <w:spacing w:before="0" w:beforeAutospacing="0" w:after="0" w:afterAutospacing="0"/>
                    <w:ind w:left="0" w:right="0"/>
                    <w:rPr>
                      <w:rFonts w:hint="eastAsia"/>
                      <w:highlight w:val="none"/>
                      <w:lang w:val="en-US" w:eastAsia="zh-CN"/>
                    </w:rPr>
                  </w:pPr>
                </w:p>
              </w:tc>
            </w:tr>
          </w:tbl>
          <w:p>
            <w:pPr>
              <w:keepNext w:val="0"/>
              <w:keepLines w:val="0"/>
              <w:suppressLineNumbers w:val="0"/>
              <w:bidi w:val="0"/>
              <w:spacing w:before="0" w:beforeAutospacing="0" w:after="0" w:afterAutospacing="0"/>
              <w:ind w:left="0" w:right="0"/>
              <w:rPr>
                <w:rFonts w:hint="default"/>
                <w:lang w:val="en-US" w:eastAsia="zh-CN"/>
              </w:rPr>
            </w:pPr>
            <w:r>
              <w:rPr>
                <w:rFonts w:hint="eastAsia"/>
                <w:highlight w:val="none"/>
                <w:lang w:val="en-US" w:eastAsia="zh-CN"/>
              </w:rPr>
              <w:t>现申请巴州生态环境局给予巴州安禄能建材有限公司《巴州安禄能建材有限公司二期装配式水泥制品项目》总量批准：总量控制建议指标为VOC</w:t>
            </w:r>
            <w:r>
              <w:rPr>
                <w:rFonts w:hint="eastAsia"/>
                <w:highlight w:val="none"/>
                <w:vertAlign w:val="subscript"/>
                <w:lang w:val="en-US" w:eastAsia="zh-CN"/>
              </w:rPr>
              <w:t>S</w:t>
            </w:r>
            <w:r>
              <w:rPr>
                <w:rFonts w:hint="eastAsia"/>
                <w:highlight w:val="none"/>
                <w:lang w:val="en-US" w:eastAsia="zh-CN"/>
              </w:rPr>
              <w:t>：0.26t/a。项目建成后企业须按排污许可管理要求，建立VOCs排放台账并定期开展自行监测，确保排放量不超过核定控制指标。</w:t>
            </w:r>
          </w:p>
        </w:tc>
      </w:tr>
    </w:tbl>
    <w:p>
      <w:pPr>
        <w:pStyle w:val="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hint="default" w:ascii="Times New Roman" w:hAnsi="Times New Roman" w:eastAsia="黑体" w:cs="Times New Roman"/>
          <w:b w:val="0"/>
          <w:bCs w:val="0"/>
          <w:snapToGrid w:val="0"/>
          <w:color w:val="000000"/>
          <w:szCs w:val="30"/>
          <w:highlight w:val="none"/>
        </w:rPr>
      </w:pPr>
      <w:r>
        <w:rPr>
          <w:rFonts w:hint="default" w:ascii="Times New Roman" w:hAnsi="Times New Roman" w:eastAsia="黑体" w:cs="Times New Roman"/>
          <w:snapToGrid w:val="0"/>
          <w:color w:val="000000"/>
          <w:szCs w:val="36"/>
          <w:highlight w:val="none"/>
        </w:rPr>
        <w:br w:type="page"/>
      </w:r>
      <w:r>
        <w:rPr>
          <w:rFonts w:hint="default"/>
        </w:rPr>
        <w:t>四、主要环境影响和保护措施</w:t>
      </w:r>
    </w:p>
    <w:tbl>
      <w:tblPr>
        <w:tblStyle w:val="33"/>
        <w:tblW w:w="898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18"/>
        <w:gridCol w:w="82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70" w:hRule="atLeast"/>
          <w:jc w:val="center"/>
        </w:trPr>
        <w:tc>
          <w:tcPr>
            <w:tcW w:w="718" w:type="dxa"/>
            <w:noWrap w:val="0"/>
            <w:tcMar>
              <w:left w:w="28" w:type="dxa"/>
              <w:right w:w="28" w:type="dxa"/>
            </w:tcMar>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000000"/>
                <w:sz w:val="28"/>
                <w:szCs w:val="28"/>
                <w:highlight w:val="none"/>
              </w:rPr>
            </w:pPr>
            <w:r>
              <w:rPr>
                <w:rStyle w:val="51"/>
                <w:rFonts w:hint="default" w:ascii="Times New Roman" w:hAnsi="Times New Roman" w:cs="Times New Roman"/>
                <w:lang w:val="en-US" w:eastAsia="zh-CN"/>
              </w:rPr>
              <w:t>施</w:t>
            </w:r>
            <w:r>
              <w:rPr>
                <w:rStyle w:val="51"/>
                <w:rFonts w:hint="default" w:ascii="Times New Roman" w:hAnsi="Times New Roman" w:cs="Times New Roman"/>
              </w:rPr>
              <w:t>工期环境保护措施</w:t>
            </w:r>
          </w:p>
        </w:tc>
        <w:tc>
          <w:tcPr>
            <w:tcW w:w="8263" w:type="dxa"/>
            <w:noWrap w:val="0"/>
            <w:vAlign w:val="center"/>
          </w:tcPr>
          <w:p>
            <w:pPr>
              <w:keepNext w:val="0"/>
              <w:keepLines w:val="0"/>
              <w:suppressLineNumbers w:val="0"/>
              <w:spacing w:before="0" w:beforeAutospacing="0" w:after="0" w:afterAutospacing="0" w:line="500" w:lineRule="exact"/>
              <w:ind w:left="0" w:right="0" w:firstLine="480" w:firstLineChars="200"/>
              <w:rPr>
                <w:rFonts w:hint="default" w:ascii="Times New Roman" w:hAnsi="Times New Roman" w:cs="Times New Roman"/>
                <w:bCs/>
                <w:color w:val="000000"/>
                <w:spacing w:val="-10"/>
                <w:szCs w:val="21"/>
                <w:highlight w:val="none"/>
              </w:rPr>
            </w:pPr>
            <w:r>
              <w:rPr>
                <w:rFonts w:hint="default" w:ascii="Times New Roman" w:hAnsi="Times New Roman" w:eastAsia="宋体" w:cs="Times New Roman"/>
                <w:color w:val="auto"/>
                <w:kern w:val="2"/>
                <w:sz w:val="24"/>
                <w:szCs w:val="24"/>
                <w:highlight w:val="none"/>
                <w:lang w:val="en-US" w:eastAsia="zh-CN" w:bidi="ar-SA"/>
              </w:rPr>
              <w:t>本项目已</w:t>
            </w:r>
            <w:r>
              <w:rPr>
                <w:rFonts w:hint="eastAsia" w:cs="Times New Roman"/>
                <w:color w:val="auto"/>
                <w:kern w:val="2"/>
                <w:sz w:val="24"/>
                <w:szCs w:val="24"/>
                <w:highlight w:val="none"/>
                <w:lang w:val="en-US" w:eastAsia="zh-CN" w:bidi="ar-SA"/>
              </w:rPr>
              <w:t>基本</w:t>
            </w:r>
            <w:r>
              <w:rPr>
                <w:rFonts w:hint="default" w:ascii="Times New Roman" w:hAnsi="Times New Roman" w:eastAsia="宋体" w:cs="Times New Roman"/>
                <w:color w:val="auto"/>
                <w:kern w:val="2"/>
                <w:sz w:val="24"/>
                <w:szCs w:val="24"/>
                <w:highlight w:val="none"/>
                <w:lang w:val="en-US" w:eastAsia="zh-CN" w:bidi="ar-SA"/>
              </w:rPr>
              <w:t>建设完成，施工期环境影响已随施工期结束而消失，本次环评不对其进行评价。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18" w:type="dxa"/>
            <w:noWrap w:val="0"/>
            <w:tcMar>
              <w:left w:w="28" w:type="dxa"/>
              <w:right w:w="28" w:type="dxa"/>
            </w:tcMar>
            <w:vAlign w:val="center"/>
          </w:tcPr>
          <w:p>
            <w:pPr>
              <w:keepNext w:val="0"/>
              <w:keepLines w:val="0"/>
              <w:widowControl/>
              <w:suppressLineNumbers w:val="0"/>
              <w:spacing w:before="0" w:beforeAutospacing="0" w:after="0" w:afterAutospacing="0" w:line="240" w:lineRule="auto"/>
              <w:ind w:left="0" w:leftChars="0" w:right="0" w:firstLine="0" w:firstLineChars="0"/>
              <w:jc w:val="center"/>
              <w:rPr>
                <w:rStyle w:val="51"/>
                <w:rFonts w:hint="default" w:ascii="Times New Roman" w:hAnsi="Times New Roman" w:cs="Times New Roman"/>
                <w:lang w:val="en-US" w:eastAsia="zh-CN"/>
              </w:rPr>
            </w:pPr>
            <w:r>
              <w:rPr>
                <w:rStyle w:val="51"/>
                <w:rFonts w:hint="default" w:ascii="Times New Roman" w:hAnsi="Times New Roman" w:cs="Times New Roman"/>
              </w:rPr>
              <w:t>运营期环境影响和保护措施</w:t>
            </w:r>
          </w:p>
        </w:tc>
        <w:tc>
          <w:tcPr>
            <w:tcW w:w="8263" w:type="dxa"/>
            <w:noWrap w:val="0"/>
            <w:vAlign w:val="center"/>
          </w:tcPr>
          <w:p>
            <w:pPr>
              <w:pStyle w:val="3"/>
              <w:keepLines w:val="0"/>
              <w:suppressLineNumbers w:val="0"/>
              <w:bidi w:val="0"/>
              <w:spacing w:before="0" w:beforeAutospacing="0" w:after="0" w:afterAutospacing="0"/>
              <w:ind w:right="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 xml:space="preserve"> </w:t>
            </w:r>
            <w:r>
              <w:rPr>
                <w:rFonts w:hint="default" w:ascii="Times New Roman" w:hAnsi="Times New Roman" w:cs="Times New Roman"/>
              </w:rPr>
              <w:t>废气影响分析及防治措施</w:t>
            </w:r>
          </w:p>
          <w:p>
            <w:pPr>
              <w:pStyle w:val="3"/>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default" w:ascii="Times New Roman" w:hAnsi="Times New Roman" w:cs="Times New Roman"/>
                <w:lang w:val="en-US" w:eastAsia="zh-CN"/>
              </w:rPr>
              <w:t>1.1 营运期大气环境影响分析</w:t>
            </w:r>
          </w:p>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本项目生产过程中主要产生</w:t>
            </w:r>
            <w:r>
              <w:rPr>
                <w:rFonts w:hint="eastAsia" w:cs="Times New Roman"/>
                <w:lang w:val="en-US" w:eastAsia="zh-CN"/>
              </w:rPr>
              <w:t>：搅拌粉尘、</w:t>
            </w:r>
            <w:r>
              <w:rPr>
                <w:rFonts w:hint="default" w:ascii="Times New Roman" w:hAnsi="Times New Roman" w:cs="Times New Roman"/>
                <w:lang w:val="en-US" w:eastAsia="zh-CN"/>
              </w:rPr>
              <w:t>水泥筒仓粉尘、焊接废气、原料堆场扬尘、脱模剂挥发产生的VOCs废气、上料粉尘</w:t>
            </w:r>
            <w:r>
              <w:rPr>
                <w:rFonts w:hint="eastAsia" w:cs="Times New Roman"/>
                <w:lang w:val="en-US" w:eastAsia="zh-CN"/>
              </w:rPr>
              <w:t>、水性防腐涂料挥发产生的VOCs废气</w:t>
            </w:r>
            <w:r>
              <w:rPr>
                <w:rFonts w:hint="default" w:ascii="Times New Roman" w:hAnsi="Times New Roman" w:cs="Times New Roman"/>
                <w:lang w:val="en-US" w:eastAsia="zh-CN"/>
              </w:rPr>
              <w:t>。</w:t>
            </w:r>
          </w:p>
          <w:p>
            <w:pPr>
              <w:keepNext w:val="0"/>
              <w:keepLines w:val="0"/>
              <w:suppressLineNumbers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（1）无组织废气</w:t>
            </w:r>
          </w:p>
          <w:p>
            <w:pPr>
              <w:keepNext w:val="0"/>
              <w:keepLines w:val="0"/>
              <w:suppressLineNumbers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①</w:t>
            </w:r>
            <w:r>
              <w:rPr>
                <w:rFonts w:hint="eastAsia" w:cs="Times New Roman"/>
                <w:highlight w:val="none"/>
                <w:lang w:val="en-US" w:eastAsia="zh-CN"/>
              </w:rPr>
              <w:t>搅拌</w:t>
            </w:r>
            <w:r>
              <w:rPr>
                <w:rFonts w:hint="default" w:ascii="Times New Roman" w:hAnsi="Times New Roman" w:cs="Times New Roman"/>
                <w:highlight w:val="none"/>
                <w:lang w:val="en-US" w:eastAsia="zh-CN"/>
              </w:rPr>
              <w:t>粉尘</w:t>
            </w:r>
          </w:p>
          <w:p>
            <w:pPr>
              <w:keepNext w:val="0"/>
              <w:keepLines w:val="0"/>
              <w:suppressLineNumbers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本项目水泥通过筒仓由管道输送至计量系统后进入搅拌器。石子、砂子由铲车输送至计量系统后进入搅拌器。搅拌器内加水投料、搅拌时会产生粉尘。</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highlight w:val="yellow"/>
                <w:lang w:val="en-US" w:eastAsia="zh-CN"/>
              </w:rPr>
            </w:pPr>
            <w:r>
              <w:rPr>
                <w:rFonts w:hint="default" w:ascii="Times New Roman" w:hAnsi="Times New Roman" w:cs="Times New Roman"/>
                <w:highlight w:val="none"/>
                <w:lang w:val="en-US" w:eastAsia="zh-CN"/>
              </w:rPr>
              <w:t>根据《3021水泥制品制造（含3022砼结构构件制造、3029其他水泥类似制品制造）行业系数手册》本项目颗粒物的产污系数为0.523kg/t（产品），项目产品产量为</w:t>
            </w:r>
            <w:r>
              <w:rPr>
                <w:rFonts w:hint="eastAsia" w:cs="Times New Roman"/>
                <w:highlight w:val="none"/>
                <w:lang w:val="en-US" w:eastAsia="zh-CN"/>
              </w:rPr>
              <w:t>146400</w:t>
            </w:r>
            <w:r>
              <w:rPr>
                <w:rFonts w:hint="default" w:ascii="Times New Roman" w:hAnsi="Times New Roman" w:cs="Times New Roman"/>
                <w:highlight w:val="none"/>
                <w:lang w:val="en-US" w:eastAsia="zh-CN"/>
              </w:rPr>
              <w:t>t/a，则物料混合搅拌过程中粉尘的产生量为</w:t>
            </w:r>
            <w:r>
              <w:rPr>
                <w:rFonts w:hint="eastAsia" w:cs="Times New Roman"/>
                <w:highlight w:val="none"/>
                <w:lang w:val="en-US" w:eastAsia="zh-CN"/>
              </w:rPr>
              <w:t>76.5672</w:t>
            </w:r>
            <w:r>
              <w:rPr>
                <w:rFonts w:hint="default" w:ascii="Times New Roman" w:hAnsi="Times New Roman" w:cs="Times New Roman"/>
                <w:highlight w:val="none"/>
                <w:lang w:val="en-US" w:eastAsia="zh-CN"/>
              </w:rPr>
              <w:t>t/a，</w:t>
            </w:r>
            <w:r>
              <w:rPr>
                <w:rFonts w:hint="eastAsia" w:cs="Times New Roman"/>
                <w:highlight w:val="none"/>
                <w:lang w:val="en-US" w:eastAsia="zh-CN"/>
              </w:rPr>
              <w:t>产生</w:t>
            </w:r>
            <w:r>
              <w:rPr>
                <w:rFonts w:hint="default" w:ascii="Times New Roman" w:hAnsi="Times New Roman" w:cs="Times New Roman"/>
                <w:highlight w:val="none"/>
                <w:lang w:val="en-US" w:eastAsia="zh-CN"/>
              </w:rPr>
              <w:t>速率为</w:t>
            </w:r>
            <w:r>
              <w:rPr>
                <w:rFonts w:hint="eastAsia" w:cs="Times New Roman"/>
                <w:highlight w:val="none"/>
                <w:lang w:val="en-US" w:eastAsia="zh-CN"/>
              </w:rPr>
              <w:t>39.8788</w:t>
            </w:r>
            <w:r>
              <w:rPr>
                <w:rFonts w:hint="default" w:ascii="Times New Roman" w:hAnsi="Times New Roman" w:cs="Times New Roman"/>
                <w:highlight w:val="none"/>
                <w:lang w:val="en-US" w:eastAsia="zh-CN"/>
              </w:rPr>
              <w:t>kg/h。本项目选用全密闭搅拌设备，参照《固体物料堆存颗粒物产排污核算系数手册》附录5，控制效率为99%，且搅拌过程中同步投加水。则本项目搅拌粉尘无组织排放量为0.</w:t>
            </w:r>
            <w:r>
              <w:rPr>
                <w:rFonts w:hint="eastAsia" w:cs="Times New Roman"/>
                <w:highlight w:val="none"/>
                <w:lang w:val="en-US" w:eastAsia="zh-CN"/>
              </w:rPr>
              <w:t>766</w:t>
            </w:r>
            <w:r>
              <w:rPr>
                <w:rFonts w:hint="default" w:ascii="Times New Roman" w:hAnsi="Times New Roman" w:cs="Times New Roman"/>
                <w:highlight w:val="none"/>
                <w:lang w:val="en-US" w:eastAsia="zh-CN"/>
              </w:rPr>
              <w:t>t/a，排放速率为</w:t>
            </w:r>
            <w:r>
              <w:rPr>
                <w:rFonts w:hint="eastAsia" w:cs="Times New Roman"/>
                <w:highlight w:val="none"/>
                <w:lang w:val="en-US" w:eastAsia="zh-CN"/>
              </w:rPr>
              <w:t>0.399</w:t>
            </w:r>
            <w:r>
              <w:rPr>
                <w:rFonts w:hint="default" w:ascii="Times New Roman" w:hAnsi="Times New Roman" w:cs="Times New Roman"/>
                <w:highlight w:val="none"/>
                <w:lang w:val="en-US" w:eastAsia="zh-CN"/>
              </w:rPr>
              <w:t>kg/h。</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综上所述，项目搅拌粉尘产生量较少，通过全封闭式设施，能够有效控制颗粒物无组织废气排放，使其满足《水泥工业大气污染物排放标准》（含2025年修改单）（GB4915-2013）表3浓度限值要求，对周边环境影响较小。</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②水泥筒仓粉尘</w:t>
            </w:r>
          </w:p>
          <w:p>
            <w:pPr>
              <w:keepNext w:val="0"/>
              <w:keepLines w:val="0"/>
              <w:suppressLineNumbers w:val="0"/>
              <w:bidi w:val="0"/>
              <w:spacing w:before="0" w:beforeAutospacing="0" w:after="0" w:afterAutospacing="0"/>
              <w:ind w:left="0" w:right="0"/>
              <w:rPr>
                <w:rFonts w:hint="default" w:ascii="Times New Roman" w:hAnsi="Times New Roman" w:cs="Times New Roman"/>
                <w:highlight w:val="yellow"/>
              </w:rPr>
            </w:pPr>
            <w:r>
              <w:rPr>
                <w:rFonts w:hint="default" w:ascii="Times New Roman" w:hAnsi="Times New Roman" w:cs="Times New Roman"/>
                <w:highlight w:val="none"/>
                <w:lang w:val="en-US" w:eastAsia="zh-CN"/>
              </w:rPr>
              <w:t>本项目水泥采用水泥筒仓储存，设置</w:t>
            </w:r>
            <w:r>
              <w:rPr>
                <w:rFonts w:hint="eastAsia" w:cs="Times New Roman"/>
                <w:highlight w:val="none"/>
                <w:lang w:val="en-US" w:eastAsia="zh-CN"/>
              </w:rPr>
              <w:t>2</w:t>
            </w:r>
            <w:r>
              <w:rPr>
                <w:rFonts w:hint="default" w:ascii="Times New Roman" w:hAnsi="Times New Roman" w:cs="Times New Roman"/>
                <w:highlight w:val="none"/>
                <w:lang w:val="en-US" w:eastAsia="zh-CN"/>
              </w:rPr>
              <w:t>座100t水泥筒仓，顶部均配有滤筒式过滤器。外购的水泥进料时筒仓顶部排气口需要向外界排气，排气过程中会有粉尘产生，筒仓产污系数参照《逸散性工业粉尘控制技术》（中国环境科学出版社出版、1989年12月第一版）第二十二章混凝土分批搅拌厂表22-1混凝土分批搅拌厂的逸散尘排放因子，卸水泥至高架贮仓，粉尘产生量为0.12kg/t（卸料），本项目水泥使用量为</w:t>
            </w:r>
            <w:r>
              <w:rPr>
                <w:rFonts w:hint="eastAsia" w:cs="Times New Roman"/>
                <w:highlight w:val="none"/>
                <w:lang w:val="en-US" w:eastAsia="zh-CN"/>
              </w:rPr>
              <w:t>26400</w:t>
            </w:r>
            <w:r>
              <w:rPr>
                <w:rFonts w:hint="default" w:ascii="Times New Roman" w:hAnsi="Times New Roman" w:cs="Times New Roman"/>
                <w:highlight w:val="none"/>
                <w:lang w:val="en-US" w:eastAsia="zh-CN"/>
              </w:rPr>
              <w:t>吨（单个筒仓装载量为</w:t>
            </w:r>
            <w:r>
              <w:rPr>
                <w:rFonts w:hint="eastAsia" w:cs="Times New Roman"/>
                <w:highlight w:val="none"/>
                <w:lang w:val="en-US" w:eastAsia="zh-CN"/>
              </w:rPr>
              <w:t>13200</w:t>
            </w:r>
            <w:r>
              <w:rPr>
                <w:rFonts w:hint="default" w:ascii="Times New Roman" w:hAnsi="Times New Roman" w:cs="Times New Roman"/>
                <w:highlight w:val="none"/>
                <w:lang w:val="en-US" w:eastAsia="zh-CN"/>
              </w:rPr>
              <w:t>t/a），每个筒仓进料时间约为</w:t>
            </w:r>
            <w:r>
              <w:rPr>
                <w:rFonts w:hint="eastAsia" w:cs="Times New Roman"/>
                <w:highlight w:val="none"/>
                <w:lang w:val="en-US" w:eastAsia="zh-CN"/>
              </w:rPr>
              <w:t>132</w:t>
            </w:r>
            <w:r>
              <w:rPr>
                <w:rFonts w:hint="default" w:ascii="Times New Roman" w:hAnsi="Times New Roman" w:cs="Times New Roman"/>
                <w:highlight w:val="none"/>
                <w:lang w:val="en-US" w:eastAsia="zh-CN"/>
              </w:rPr>
              <w:t>h（卸料次数为</w:t>
            </w:r>
            <w:r>
              <w:rPr>
                <w:rFonts w:hint="eastAsia" w:cs="Times New Roman"/>
                <w:highlight w:val="none"/>
                <w:lang w:val="en-US" w:eastAsia="zh-CN"/>
              </w:rPr>
              <w:t>132</w:t>
            </w:r>
            <w:r>
              <w:rPr>
                <w:rFonts w:hint="default" w:ascii="Times New Roman" w:hAnsi="Times New Roman" w:cs="Times New Roman"/>
                <w:highlight w:val="none"/>
                <w:lang w:val="en-US" w:eastAsia="zh-CN"/>
              </w:rPr>
              <w:t>次，单次卸料时间为1h）。</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1#筒仓粉尘的产生量为</w:t>
            </w:r>
            <w:r>
              <w:rPr>
                <w:rFonts w:hint="eastAsia" w:cs="Times New Roman"/>
                <w:highlight w:val="none"/>
                <w:lang w:val="en-US" w:eastAsia="zh-CN"/>
              </w:rPr>
              <w:t>1.584</w:t>
            </w:r>
            <w:r>
              <w:rPr>
                <w:rFonts w:hint="default" w:ascii="Times New Roman" w:hAnsi="Times New Roman" w:cs="Times New Roman"/>
                <w:highlight w:val="none"/>
                <w:lang w:val="en-US" w:eastAsia="zh-CN"/>
              </w:rPr>
              <w:t>t/a，产生速率为</w:t>
            </w:r>
            <w:r>
              <w:rPr>
                <w:rFonts w:hint="eastAsia" w:cs="Times New Roman"/>
                <w:highlight w:val="none"/>
                <w:lang w:val="en-US" w:eastAsia="zh-CN"/>
              </w:rPr>
              <w:t>12</w:t>
            </w:r>
            <w:r>
              <w:rPr>
                <w:rFonts w:hint="default" w:ascii="Times New Roman" w:hAnsi="Times New Roman" w:cs="Times New Roman"/>
                <w:highlight w:val="none"/>
                <w:lang w:val="en-US" w:eastAsia="zh-CN"/>
              </w:rPr>
              <w:t>kg/h，水泥筒仓经上方自带的滤筒式过滤器</w:t>
            </w:r>
            <w:r>
              <w:rPr>
                <w:rFonts w:hint="eastAsia" w:cs="Times New Roman"/>
                <w:highlight w:val="none"/>
                <w:lang w:val="en-US" w:eastAsia="zh-CN"/>
              </w:rPr>
              <w:t>，</w:t>
            </w:r>
            <w:r>
              <w:rPr>
                <w:rFonts w:hint="default" w:ascii="Times New Roman" w:hAnsi="Times New Roman" w:cs="Times New Roman"/>
                <w:highlight w:val="none"/>
                <w:lang w:val="en-US" w:eastAsia="zh-CN"/>
              </w:rPr>
              <w:t>（收集效率100%，治理效率为99.7%</w:t>
            </w:r>
            <w:r>
              <w:rPr>
                <w:rFonts w:hint="eastAsia" w:cs="Times New Roman"/>
                <w:highlight w:val="none"/>
                <w:lang w:val="en-US" w:eastAsia="zh-CN"/>
              </w:rPr>
              <w:t>，治理效率参照《排放源统计调查产排污核算方法和系数手册》中“3021水泥制品制造（含3022砼结构构件、3029其他水泥类似制品制造）行业系数手册”</w:t>
            </w:r>
            <w:r>
              <w:rPr>
                <w:rFonts w:hint="default" w:ascii="Times New Roman" w:hAnsi="Times New Roman" w:cs="Times New Roman"/>
                <w:highlight w:val="none"/>
                <w:lang w:val="en-US" w:eastAsia="zh-CN"/>
              </w:rPr>
              <w:t>）处理后无组织排放，则排放量为0.00</w:t>
            </w:r>
            <w:r>
              <w:rPr>
                <w:rFonts w:hint="eastAsia" w:cs="Times New Roman"/>
                <w:highlight w:val="none"/>
                <w:lang w:val="en-US" w:eastAsia="zh-CN"/>
              </w:rPr>
              <w:t>48</w:t>
            </w:r>
            <w:r>
              <w:rPr>
                <w:rFonts w:hint="default" w:ascii="Times New Roman" w:hAnsi="Times New Roman" w:cs="Times New Roman"/>
                <w:highlight w:val="none"/>
                <w:lang w:val="en-US" w:eastAsia="zh-CN"/>
              </w:rPr>
              <w:t>t/a，排放速率为0.036kg/h。</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2#筒仓粉尘的产生量为1.584t/a，产生速率为12kg/h，水泥筒仓经上方自带的滤筒式过滤器（收集效率100%，治理效率为99.7%）处理后无组织排放，则排放量为0.0048t/a，排放速率为0.036kg/h。</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综上所述，项目水泥筒仓粉尘产生量较少，通过滤筒式过滤器，能够有效控制颗粒物无组织废气排放，使其满足《水泥工业大气污染物排放标准》（含2025年修改单）（GB4915-2013）表3浓度限值要求，对周边环境影响较小。</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lang w:val="en-US" w:eastAsia="zh-CN"/>
              </w:rPr>
              <w:t>③原料堆场扬尘</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eastAsia="zh-CN"/>
              </w:rPr>
            </w:pPr>
            <w:r>
              <w:rPr>
                <w:rFonts w:hint="default" w:ascii="Times New Roman" w:hAnsi="Times New Roman" w:cs="Times New Roman"/>
                <w:highlight w:val="none"/>
              </w:rPr>
              <w:t>根据《</w:t>
            </w:r>
            <w:r>
              <w:rPr>
                <w:rFonts w:hint="default" w:ascii="Times New Roman" w:hAnsi="Times New Roman" w:cs="Times New Roman"/>
                <w:highlight w:val="none"/>
                <w:lang w:val="en-US" w:eastAsia="zh-CN"/>
              </w:rPr>
              <w:t>排放源统计调查产排污核算方法和系数手册</w:t>
            </w:r>
            <w:r>
              <w:rPr>
                <w:rFonts w:hint="default" w:ascii="Times New Roman" w:hAnsi="Times New Roman" w:cs="Times New Roman"/>
                <w:highlight w:val="none"/>
              </w:rPr>
              <w:t>》</w:t>
            </w:r>
            <w:r>
              <w:rPr>
                <w:rFonts w:hint="default" w:ascii="Times New Roman" w:hAnsi="Times New Roman" w:cs="Times New Roman"/>
                <w:highlight w:val="none"/>
                <w:lang w:val="en-US" w:eastAsia="zh-CN"/>
              </w:rPr>
              <w:t>中工业源</w:t>
            </w:r>
            <w:r>
              <w:rPr>
                <w:rFonts w:hint="default" w:ascii="Times New Roman" w:hAnsi="Times New Roman" w:cs="Times New Roman"/>
                <w:highlight w:val="none"/>
              </w:rPr>
              <w:t>固体物料堆</w:t>
            </w:r>
            <w:r>
              <w:rPr>
                <w:rFonts w:hint="default" w:ascii="Times New Roman" w:hAnsi="Times New Roman" w:cs="Times New Roman"/>
                <w:highlight w:val="none"/>
                <w:lang w:val="en-US" w:eastAsia="zh-CN"/>
              </w:rPr>
              <w:t>场</w:t>
            </w:r>
            <w:r>
              <w:rPr>
                <w:rFonts w:hint="default" w:ascii="Times New Roman" w:hAnsi="Times New Roman" w:cs="Times New Roman"/>
                <w:highlight w:val="none"/>
              </w:rPr>
              <w:t>颗粒物核算系数手册</w:t>
            </w:r>
            <w:r>
              <w:rPr>
                <w:rFonts w:hint="default" w:ascii="Times New Roman" w:hAnsi="Times New Roman" w:cs="Times New Roman"/>
                <w:highlight w:val="none"/>
                <w:lang w:eastAsia="zh-CN"/>
              </w:rPr>
              <w:t>，工业企业固体物料堆存颗粒物包括装卸扬尘和风蚀扬尘，颗粒物产生量核算公式如下：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highlight w:val="none"/>
                <w:vertAlign w:val="superscript"/>
                <w:lang w:val="en-US" w:eastAsia="zh-CN"/>
              </w:rPr>
            </w:pPr>
            <w:r>
              <w:rPr>
                <w:rFonts w:hint="default" w:ascii="Times New Roman" w:hAnsi="Times New Roman" w:cs="Times New Roman"/>
                <w:highlight w:val="none"/>
                <w:lang w:val="en-US" w:eastAsia="zh-CN"/>
              </w:rPr>
              <w:t>P=ZCy+FCy={N</w:t>
            </w:r>
            <w:r>
              <w:rPr>
                <w:rFonts w:hint="default" w:ascii="Times New Roman" w:hAnsi="Times New Roman" w:cs="Times New Roman"/>
                <w:highlight w:val="none"/>
                <w:vertAlign w:val="subscript"/>
                <w:lang w:val="en-US" w:eastAsia="zh-CN"/>
              </w:rPr>
              <w:t>C</w:t>
            </w:r>
            <w:r>
              <w:rPr>
                <w:rFonts w:hint="default" w:ascii="Times New Roman" w:hAnsi="Times New Roman" w:cs="Times New Roman"/>
                <w:highlight w:val="none"/>
                <w:lang w:val="en-US" w:eastAsia="zh-CN"/>
              </w:rPr>
              <w:t>×D×(a/b)+2×Ef×S}×10</w:t>
            </w:r>
            <w:r>
              <w:rPr>
                <w:rFonts w:hint="default" w:ascii="Times New Roman" w:hAnsi="Times New Roman" w:cs="Times New Roman"/>
                <w:highlight w:val="none"/>
                <w:vertAlign w:val="superscript"/>
                <w:lang w:val="en-US" w:eastAsia="zh-CN"/>
              </w:rPr>
              <w:t>-3</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式中：P值颗粒物产生量（单位：吨）；</w:t>
            </w:r>
          </w:p>
          <w:p>
            <w:pPr>
              <w:keepNext w:val="0"/>
              <w:keepLines w:val="0"/>
              <w:suppressLineNumbers w:val="0"/>
              <w:bidi w:val="0"/>
              <w:spacing w:before="0" w:beforeAutospacing="0" w:after="0" w:afterAutospacing="0"/>
              <w:ind w:left="0" w:right="0" w:firstLine="1200" w:firstLineChars="5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ZCy指装卸场扬尘产生量（单位：吨）；</w:t>
            </w:r>
          </w:p>
          <w:p>
            <w:pPr>
              <w:keepNext w:val="0"/>
              <w:keepLines w:val="0"/>
              <w:suppressLineNumbers w:val="0"/>
              <w:bidi w:val="0"/>
              <w:spacing w:before="0" w:beforeAutospacing="0" w:after="0" w:afterAutospacing="0"/>
              <w:ind w:left="0" w:right="0" w:firstLine="1200" w:firstLineChars="5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FCy指风蚀扬尘产生量（单位：吨）；</w:t>
            </w:r>
          </w:p>
          <w:p>
            <w:pPr>
              <w:keepNext w:val="0"/>
              <w:keepLines w:val="0"/>
              <w:suppressLineNumbers w:val="0"/>
              <w:bidi w:val="0"/>
              <w:spacing w:before="0" w:beforeAutospacing="0" w:after="0" w:afterAutospacing="0"/>
              <w:ind w:left="0" w:right="0" w:firstLine="1200" w:firstLineChars="5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N</w:t>
            </w:r>
            <w:r>
              <w:rPr>
                <w:rFonts w:hint="default" w:ascii="Times New Roman" w:hAnsi="Times New Roman" w:cs="Times New Roman"/>
                <w:highlight w:val="none"/>
                <w:vertAlign w:val="subscript"/>
                <w:lang w:val="en-US" w:eastAsia="zh-CN"/>
              </w:rPr>
              <w:t>C</w:t>
            </w:r>
            <w:r>
              <w:rPr>
                <w:rFonts w:hint="default" w:ascii="Times New Roman" w:hAnsi="Times New Roman" w:cs="Times New Roman"/>
                <w:highlight w:val="none"/>
                <w:lang w:val="en-US" w:eastAsia="zh-CN"/>
              </w:rPr>
              <w:t>指年物料运载车次（单位：车）；</w:t>
            </w:r>
          </w:p>
          <w:p>
            <w:pPr>
              <w:keepNext w:val="0"/>
              <w:keepLines w:val="0"/>
              <w:suppressLineNumbers w:val="0"/>
              <w:bidi w:val="0"/>
              <w:spacing w:before="0" w:beforeAutospacing="0" w:after="0" w:afterAutospacing="0"/>
              <w:ind w:left="0" w:right="0" w:firstLine="1200" w:firstLineChars="5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D指单车平均运载量（单位：吨/车）；</w:t>
            </w:r>
          </w:p>
          <w:p>
            <w:pPr>
              <w:keepNext w:val="0"/>
              <w:keepLines w:val="0"/>
              <w:suppressLineNumbers w:val="0"/>
              <w:bidi w:val="0"/>
              <w:spacing w:before="0" w:beforeAutospacing="0" w:after="0" w:afterAutospacing="0"/>
              <w:ind w:left="0" w:right="0" w:firstLine="1200" w:firstLineChars="5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(a/b)指装卸扬尘概化系数（单位：千克/吨），a指各省风速概化系数，b指物料含水率概化系数；</w:t>
            </w:r>
          </w:p>
          <w:p>
            <w:pPr>
              <w:keepNext w:val="0"/>
              <w:keepLines w:val="0"/>
              <w:suppressLineNumbers w:val="0"/>
              <w:bidi w:val="0"/>
              <w:spacing w:before="0" w:beforeAutospacing="0" w:after="0" w:afterAutospacing="0"/>
              <w:ind w:left="0" w:right="0" w:firstLine="1200" w:firstLineChars="5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Ef指堆场风蚀扬尘概化系数，（单位：千克/平方米）；</w:t>
            </w:r>
          </w:p>
          <w:p>
            <w:pPr>
              <w:keepNext w:val="0"/>
              <w:keepLines w:val="0"/>
              <w:suppressLineNumbers w:val="0"/>
              <w:bidi w:val="0"/>
              <w:spacing w:before="0" w:beforeAutospacing="0" w:after="0" w:afterAutospacing="0"/>
              <w:ind w:left="0" w:right="0" w:firstLine="1200" w:firstLineChars="5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S指堆场占地面积（单位：平方米）。</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原料堆场堆存物料为石子、砂子。堆存量为</w:t>
            </w:r>
            <w:r>
              <w:rPr>
                <w:rFonts w:hint="eastAsia" w:cs="Times New Roman"/>
                <w:highlight w:val="none"/>
                <w:lang w:val="en-US" w:eastAsia="zh-CN"/>
              </w:rPr>
              <w:t>117000</w:t>
            </w:r>
            <w:r>
              <w:rPr>
                <w:rFonts w:hint="default" w:ascii="Times New Roman" w:hAnsi="Times New Roman" w:cs="Times New Roman"/>
                <w:highlight w:val="none"/>
                <w:lang w:val="en-US" w:eastAsia="zh-CN"/>
              </w:rPr>
              <w:t>t/a，其中N</w:t>
            </w:r>
            <w:r>
              <w:rPr>
                <w:rFonts w:hint="default" w:ascii="Times New Roman" w:hAnsi="Times New Roman" w:cs="Times New Roman"/>
                <w:highlight w:val="none"/>
                <w:vertAlign w:val="subscript"/>
                <w:lang w:val="en-US" w:eastAsia="zh-CN"/>
              </w:rPr>
              <w:t>C</w:t>
            </w:r>
            <w:r>
              <w:rPr>
                <w:rFonts w:hint="default" w:ascii="Times New Roman" w:hAnsi="Times New Roman" w:cs="Times New Roman"/>
                <w:highlight w:val="none"/>
                <w:lang w:val="en-US" w:eastAsia="zh-CN"/>
              </w:rPr>
              <w:t>为</w:t>
            </w:r>
            <w:r>
              <w:rPr>
                <w:rFonts w:hint="eastAsia" w:cs="Times New Roman"/>
                <w:highlight w:val="none"/>
                <w:lang w:val="en-US" w:eastAsia="zh-CN"/>
              </w:rPr>
              <w:t>5850</w:t>
            </w:r>
            <w:r>
              <w:rPr>
                <w:rFonts w:hint="default" w:ascii="Times New Roman" w:hAnsi="Times New Roman" w:cs="Times New Roman"/>
                <w:highlight w:val="none"/>
                <w:lang w:val="en-US" w:eastAsia="zh-CN"/>
              </w:rPr>
              <w:t>、D为20、a为0.0011、b为0.0017、Ef为3.6062、S为</w:t>
            </w:r>
            <w:r>
              <w:rPr>
                <w:rFonts w:hint="eastAsia" w:cs="Times New Roman"/>
                <w:highlight w:val="none"/>
                <w:lang w:val="en-US" w:eastAsia="zh-CN"/>
              </w:rPr>
              <w:t>2128</w:t>
            </w:r>
            <w:r>
              <w:rPr>
                <w:rFonts w:hint="default" w:ascii="Times New Roman" w:hAnsi="Times New Roman" w:cs="Times New Roman"/>
                <w:highlight w:val="none"/>
                <w:lang w:val="en-US" w:eastAsia="zh-CN"/>
              </w:rPr>
              <w:t>，则颗粒物产生量为</w:t>
            </w:r>
            <w:r>
              <w:rPr>
                <w:rFonts w:hint="eastAsia" w:cs="Times New Roman"/>
                <w:highlight w:val="none"/>
                <w:lang w:val="en-US" w:eastAsia="zh-CN"/>
              </w:rPr>
              <w:t>91.054</w:t>
            </w:r>
            <w:r>
              <w:rPr>
                <w:rFonts w:hint="default" w:ascii="Times New Roman" w:hAnsi="Times New Roman" w:cs="Times New Roman"/>
                <w:highlight w:val="none"/>
                <w:lang w:val="en-US" w:eastAsia="zh-CN"/>
              </w:rPr>
              <w:t>t/a，产生速率为</w:t>
            </w:r>
            <w:r>
              <w:rPr>
                <w:rFonts w:hint="eastAsia" w:cs="Times New Roman"/>
                <w:highlight w:val="none"/>
                <w:lang w:val="en-US" w:eastAsia="zh-CN"/>
              </w:rPr>
              <w:t>15.808</w:t>
            </w:r>
            <w:r>
              <w:rPr>
                <w:rFonts w:hint="default" w:ascii="Times New Roman" w:hAnsi="Times New Roman" w:cs="Times New Roman"/>
                <w:highlight w:val="none"/>
                <w:lang w:val="en-US" w:eastAsia="zh-CN"/>
              </w:rPr>
              <w:t>kg/h（堆存时间为</w:t>
            </w:r>
            <w:r>
              <w:rPr>
                <w:rFonts w:hint="eastAsia" w:cs="Times New Roman"/>
                <w:highlight w:val="none"/>
                <w:lang w:val="en-US" w:eastAsia="zh-CN"/>
              </w:rPr>
              <w:t>5760</w:t>
            </w:r>
            <w:r>
              <w:rPr>
                <w:rFonts w:hint="default" w:ascii="Times New Roman" w:hAnsi="Times New Roman" w:cs="Times New Roman"/>
                <w:highlight w:val="none"/>
                <w:lang w:val="en-US" w:eastAsia="zh-CN"/>
              </w:rPr>
              <w:t>h/a）。</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工业企业固体物料堆场颗粒物排放量核算公式如下：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Uc=P×(1-Cm)×(1-Tm)</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式中：P指颗粒物产生量（单位：吨）；Uc指颗粒物排放量（单位：吨）；</w:t>
            </w:r>
          </w:p>
          <w:p>
            <w:pPr>
              <w:keepNext w:val="0"/>
              <w:keepLines w:val="0"/>
              <w:suppressLineNumbers w:val="0"/>
              <w:bidi w:val="0"/>
              <w:spacing w:before="0" w:beforeAutospacing="0" w:after="0" w:afterAutospacing="0"/>
              <w:ind w:left="0" w:right="0" w:firstLine="1200" w:firstLineChars="5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Cm指颗粒物控制措施控制效率（单位：%）；</w:t>
            </w:r>
          </w:p>
          <w:p>
            <w:pPr>
              <w:keepNext w:val="0"/>
              <w:keepLines w:val="0"/>
              <w:suppressLineNumbers w:val="0"/>
              <w:bidi w:val="0"/>
              <w:spacing w:before="0" w:beforeAutospacing="0" w:after="0" w:afterAutospacing="0"/>
              <w:ind w:left="0" w:right="0" w:firstLine="1200" w:firstLineChars="5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Tm指堆场类型控制效率（单位：%）；</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原料堆场颗粒物排放量计算如下，其中P为</w:t>
            </w:r>
            <w:r>
              <w:rPr>
                <w:rFonts w:hint="eastAsia" w:cs="Times New Roman"/>
                <w:highlight w:val="none"/>
                <w:lang w:val="en-US" w:eastAsia="zh-CN"/>
              </w:rPr>
              <w:t>91.054</w:t>
            </w:r>
            <w:r>
              <w:rPr>
                <w:rFonts w:hint="default" w:ascii="Times New Roman" w:hAnsi="Times New Roman" w:cs="Times New Roman"/>
                <w:highlight w:val="none"/>
                <w:lang w:val="en-US" w:eastAsia="zh-CN"/>
              </w:rPr>
              <w:t>、颗粒物控制措施为洒水降尘则Cm为74%、原料堆场为封闭式堆场则Tm为99%，颗粒物排放量为0.</w:t>
            </w:r>
            <w:r>
              <w:rPr>
                <w:rFonts w:hint="eastAsia" w:cs="Times New Roman"/>
                <w:highlight w:val="none"/>
                <w:lang w:val="en-US" w:eastAsia="zh-CN"/>
              </w:rPr>
              <w:t>237</w:t>
            </w:r>
            <w:r>
              <w:rPr>
                <w:rFonts w:hint="default" w:ascii="Times New Roman" w:hAnsi="Times New Roman" w:cs="Times New Roman"/>
                <w:highlight w:val="none"/>
                <w:lang w:val="en-US" w:eastAsia="zh-CN"/>
              </w:rPr>
              <w:t>t/a，排放速率为0.0</w:t>
            </w:r>
            <w:r>
              <w:rPr>
                <w:rFonts w:hint="eastAsia" w:cs="Times New Roman"/>
                <w:highlight w:val="none"/>
                <w:lang w:val="en-US" w:eastAsia="zh-CN"/>
              </w:rPr>
              <w:t>411</w:t>
            </w:r>
            <w:r>
              <w:rPr>
                <w:rFonts w:hint="default" w:ascii="Times New Roman" w:hAnsi="Times New Roman" w:cs="Times New Roman"/>
                <w:highlight w:val="none"/>
                <w:lang w:val="en-US" w:eastAsia="zh-CN"/>
              </w:rPr>
              <w:t>kg/h。</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综上所述，项目原料堆场无组织颗粒物产生量较少，通过密闭厂房+洒水降尘设施，能够满足《水泥工业大气污染物排放标准》（含2025年修改单）（GB4915-2013）表3浓度限值要求，对周边环境影响较小。</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④焊接废气</w:t>
            </w:r>
          </w:p>
          <w:p>
            <w:pPr>
              <w:keepNext w:val="0"/>
              <w:keepLines w:val="0"/>
              <w:suppressLineNumbers w:val="0"/>
              <w:bidi w:val="0"/>
              <w:spacing w:before="0" w:beforeAutospacing="0" w:after="0" w:afterAutospacing="0"/>
              <w:ind w:left="0" w:right="0"/>
              <w:rPr>
                <w:rFonts w:hint="eastAsia"/>
                <w:highlight w:val="none"/>
                <w:lang w:eastAsia="zh-CN"/>
              </w:rPr>
            </w:pPr>
            <w:r>
              <w:rPr>
                <w:rFonts w:hint="default" w:ascii="Times New Roman" w:hAnsi="Times New Roman" w:cs="Times New Roman"/>
                <w:highlight w:val="none"/>
                <w:lang w:val="en-US" w:eastAsia="zh-CN"/>
              </w:rPr>
              <w:t>本项目工件焊接时采用</w:t>
            </w:r>
            <w:r>
              <w:rPr>
                <w:rFonts w:hint="eastAsia" w:cs="Times New Roman"/>
                <w:highlight w:val="none"/>
                <w:lang w:val="en-US" w:eastAsia="zh-CN"/>
              </w:rPr>
              <w:t>手动电弧焊接和滚焊机焊接</w:t>
            </w:r>
            <w:r>
              <w:rPr>
                <w:rFonts w:hint="eastAsia"/>
                <w:highlight w:val="none"/>
                <w:lang w:eastAsia="zh-CN"/>
              </w:rPr>
              <w:t>。</w:t>
            </w:r>
          </w:p>
          <w:p>
            <w:pPr>
              <w:keepNext w:val="0"/>
              <w:keepLines w:val="0"/>
              <w:suppressLineNumbers w:val="0"/>
              <w:bidi w:val="0"/>
              <w:spacing w:before="0" w:beforeAutospacing="0" w:after="0" w:afterAutospacing="0"/>
              <w:ind w:left="0" w:right="0"/>
              <w:rPr>
                <w:rFonts w:hint="default" w:ascii="Times New Roman" w:hAnsi="Times New Roman" w:cs="Times New Roman"/>
                <w:highlight w:val="yellow"/>
                <w:lang w:val="en-US" w:eastAsia="zh-CN"/>
              </w:rPr>
            </w:pPr>
            <w:r>
              <w:rPr>
                <w:rFonts w:hint="default" w:ascii="Times New Roman" w:hAnsi="Times New Roman" w:cs="Times New Roman"/>
                <w:highlight w:val="none"/>
                <w:lang w:val="en-US" w:eastAsia="zh-CN"/>
              </w:rPr>
              <w:t>项目使用滚焊机输出的大电流，使其流经钢筋待焊接接触面及其邻近区域，借助电流热效应使该部位温度升高至熔化状态，进而实现钢筋的熔接成型。焊接过程中由于高温会产生少量的金属颗粒物。由于本项目</w:t>
            </w:r>
            <w:r>
              <w:rPr>
                <w:rFonts w:hint="eastAsia" w:cs="Times New Roman"/>
                <w:highlight w:val="none"/>
                <w:lang w:val="en-US" w:eastAsia="zh-CN"/>
              </w:rPr>
              <w:t>使用</w:t>
            </w:r>
            <w:r>
              <w:rPr>
                <w:rFonts w:hint="default" w:ascii="Times New Roman" w:hAnsi="Times New Roman" w:cs="Times New Roman"/>
                <w:highlight w:val="none"/>
                <w:lang w:val="en-US" w:eastAsia="zh-CN"/>
              </w:rPr>
              <w:t>滚焊机焊接量较少，且滚焊机位于密闭厂房，本次评价要求在焊接过程中通过优化焊接参数等措施降低焊接废气的影响，故本次评价不对滚焊机焊接废气提出定量分析。</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手动电弧焊接作业过程中，采用焊条施焊时，会伴随产生少量焊接烟尘颗粒物。</w:t>
            </w:r>
            <w:r>
              <w:rPr>
                <w:rFonts w:hint="default" w:ascii="Times New Roman" w:hAnsi="Times New Roman" w:cs="Times New Roman"/>
                <w:highlight w:val="none"/>
                <w:lang w:val="en-US" w:eastAsia="zh-CN"/>
              </w:rPr>
              <w:t>根据生态环境部《排放源统计调查产排污核算方法和系数手册》中</w:t>
            </w:r>
            <w:r>
              <w:rPr>
                <w:rFonts w:hint="eastAsia" w:ascii="宋体" w:hAnsi="宋体" w:eastAsia="宋体" w:cs="宋体"/>
                <w:highlight w:val="none"/>
                <w:lang w:val="en-US" w:eastAsia="zh-CN"/>
              </w:rPr>
              <w:t>“</w:t>
            </w:r>
            <w:r>
              <w:rPr>
                <w:rFonts w:hint="default" w:ascii="Times New Roman" w:hAnsi="Times New Roman" w:cs="Times New Roman"/>
                <w:highlight w:val="none"/>
                <w:lang w:val="en-US" w:eastAsia="zh-CN"/>
              </w:rPr>
              <w:t>33-37，431-434机械行业系数手册-09-焊接</w:t>
            </w:r>
            <w:r>
              <w:rPr>
                <w:rFonts w:hint="eastAsia" w:ascii="宋体" w:hAnsi="宋体" w:eastAsia="宋体" w:cs="宋体"/>
                <w:highlight w:val="none"/>
                <w:lang w:val="en-US" w:eastAsia="zh-CN"/>
              </w:rPr>
              <w:t>”</w:t>
            </w:r>
            <w:r>
              <w:rPr>
                <w:rFonts w:hint="default" w:ascii="Times New Roman" w:hAnsi="Times New Roman" w:cs="Times New Roman"/>
                <w:highlight w:val="none"/>
                <w:lang w:val="en-US" w:eastAsia="zh-CN"/>
              </w:rPr>
              <w:t>产污系数表，颗粒物产物系数为</w:t>
            </w:r>
            <w:r>
              <w:rPr>
                <w:rFonts w:hint="eastAsia" w:cs="Times New Roman"/>
                <w:highlight w:val="none"/>
                <w:lang w:val="en-US" w:eastAsia="zh-CN"/>
              </w:rPr>
              <w:t>20.02</w:t>
            </w:r>
            <w:r>
              <w:rPr>
                <w:rFonts w:hint="default" w:ascii="Times New Roman" w:hAnsi="Times New Roman" w:cs="Times New Roman"/>
                <w:highlight w:val="none"/>
                <w:lang w:val="en-US" w:eastAsia="zh-CN"/>
              </w:rPr>
              <w:t>千克/吨-原料，本项目使用焊条</w:t>
            </w:r>
            <w:r>
              <w:rPr>
                <w:rFonts w:hint="eastAsia" w:cs="Times New Roman"/>
                <w:highlight w:val="none"/>
                <w:lang w:val="en-US" w:eastAsia="zh-CN"/>
              </w:rPr>
              <w:t>1</w:t>
            </w:r>
            <w:r>
              <w:rPr>
                <w:rFonts w:hint="default" w:ascii="Times New Roman" w:hAnsi="Times New Roman" w:cs="Times New Roman"/>
                <w:highlight w:val="none"/>
                <w:lang w:val="en-US" w:eastAsia="zh-CN"/>
              </w:rPr>
              <w:t>t/a，则颗粒物产生量为</w:t>
            </w:r>
            <w:r>
              <w:rPr>
                <w:rFonts w:hint="eastAsia" w:cs="Times New Roman"/>
                <w:highlight w:val="none"/>
                <w:lang w:val="en-US" w:eastAsia="zh-CN"/>
              </w:rPr>
              <w:t>0.02002</w:t>
            </w:r>
            <w:r>
              <w:rPr>
                <w:rFonts w:hint="default" w:ascii="Times New Roman" w:hAnsi="Times New Roman" w:cs="Times New Roman"/>
                <w:highlight w:val="none"/>
                <w:lang w:val="en-US" w:eastAsia="zh-CN"/>
              </w:rPr>
              <w:t>t/a，产生速率为</w:t>
            </w:r>
            <w:r>
              <w:rPr>
                <w:rFonts w:hint="eastAsia" w:cs="Times New Roman"/>
                <w:highlight w:val="none"/>
                <w:lang w:val="en-US" w:eastAsia="zh-CN"/>
              </w:rPr>
              <w:t>0.0104</w:t>
            </w:r>
            <w:r>
              <w:rPr>
                <w:rFonts w:hint="default" w:ascii="Times New Roman" w:hAnsi="Times New Roman" w:cs="Times New Roman"/>
                <w:highlight w:val="none"/>
                <w:lang w:val="en-US" w:eastAsia="zh-CN"/>
              </w:rPr>
              <w:t>kg/h。焊接工位配套移动式烟尘净化器，净化器带有集气罩的万向软管延伸至焊接作业面附近，通过顶吸或侧吸的方式收集焊接烟尘（收集效率80%，治理效率95%</w:t>
            </w:r>
            <w:r>
              <w:rPr>
                <w:rFonts w:hint="eastAsia"/>
                <w:lang w:eastAsia="zh-CN"/>
              </w:rPr>
              <w:t>，</w:t>
            </w:r>
            <w:r>
              <w:rPr>
                <w:rFonts w:hint="eastAsia"/>
                <w:lang w:val="en-US" w:eastAsia="zh-CN"/>
              </w:rPr>
              <w:t>治理效率参照《排放源统计调查产排污核算方法和系数手册》中“33-37，431-434机械行业系数手册-09-焊接”</w:t>
            </w:r>
            <w:r>
              <w:rPr>
                <w:rFonts w:hint="default" w:ascii="Times New Roman" w:hAnsi="Times New Roman" w:cs="Times New Roman"/>
                <w:highlight w:val="none"/>
                <w:lang w:val="en-US" w:eastAsia="zh-CN"/>
              </w:rPr>
              <w:t>），风机量以2000m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/h计，焊接工序年运行</w:t>
            </w:r>
            <w:r>
              <w:rPr>
                <w:rFonts w:hint="eastAsia" w:cs="Times New Roman"/>
                <w:highlight w:val="none"/>
                <w:lang w:val="en-US" w:eastAsia="zh-CN"/>
              </w:rPr>
              <w:t>1920</w:t>
            </w:r>
            <w:r>
              <w:rPr>
                <w:rFonts w:hint="default" w:ascii="Times New Roman" w:hAnsi="Times New Roman" w:cs="Times New Roman"/>
                <w:highlight w:val="none"/>
                <w:lang w:val="en-US" w:eastAsia="zh-CN"/>
              </w:rPr>
              <w:t>h，过滤后的尾气与未收集的烟气在厂房内无组织排放，则焊接废气排放量为</w:t>
            </w:r>
            <w:r>
              <w:rPr>
                <w:rFonts w:hint="eastAsia" w:cs="Times New Roman"/>
                <w:highlight w:val="none"/>
                <w:lang w:val="en-US" w:eastAsia="zh-CN"/>
              </w:rPr>
              <w:t>0.0048</w:t>
            </w:r>
            <w:r>
              <w:rPr>
                <w:rFonts w:hint="default" w:ascii="Times New Roman" w:hAnsi="Times New Roman" w:cs="Times New Roman"/>
                <w:highlight w:val="none"/>
                <w:lang w:val="en-US" w:eastAsia="zh-CN"/>
              </w:rPr>
              <w:t>t/a，排放速率为</w:t>
            </w:r>
            <w:r>
              <w:rPr>
                <w:rFonts w:hint="eastAsia" w:cs="Times New Roman"/>
                <w:highlight w:val="none"/>
                <w:lang w:val="en-US" w:eastAsia="zh-CN"/>
              </w:rPr>
              <w:t>0.0025</w:t>
            </w:r>
            <w:r>
              <w:rPr>
                <w:rFonts w:hint="default" w:ascii="Times New Roman" w:hAnsi="Times New Roman" w:cs="Times New Roman"/>
                <w:highlight w:val="none"/>
                <w:lang w:val="en-US" w:eastAsia="zh-CN"/>
              </w:rPr>
              <w:t>kg/h。能够满足无组织排放浓度限值要求，实现达标排放。</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⑤</w:t>
            </w:r>
            <w:r>
              <w:rPr>
                <w:rFonts w:hint="eastAsia" w:cs="Times New Roman"/>
                <w:lang w:val="en-US" w:eastAsia="zh-CN"/>
              </w:rPr>
              <w:t>脱模剂挥发产生的VOCs废气</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本项目脱模作业环节产生的VOC</w:t>
            </w:r>
            <w:r>
              <w:rPr>
                <w:rFonts w:hint="default" w:ascii="Times New Roman" w:hAnsi="Times New Roman" w:cs="Times New Roman"/>
                <w:vertAlign w:val="subscript"/>
                <w:lang w:val="en-US" w:eastAsia="zh-CN"/>
              </w:rPr>
              <w:t>S</w:t>
            </w:r>
            <w:r>
              <w:rPr>
                <w:rFonts w:hint="default" w:ascii="Times New Roman" w:hAnsi="Times New Roman" w:cs="Times New Roman"/>
                <w:lang w:val="en-US" w:eastAsia="zh-CN"/>
              </w:rPr>
              <w:t>废气为无组织排放形式，项目选用CX801水溶性混凝土制品脱模剂，该产品为水性低VOC</w:t>
            </w:r>
            <w:r>
              <w:rPr>
                <w:rFonts w:hint="default" w:ascii="Times New Roman" w:hAnsi="Times New Roman" w:cs="Times New Roman"/>
                <w:vertAlign w:val="subscript"/>
                <w:lang w:val="en-US" w:eastAsia="zh-CN"/>
              </w:rPr>
              <w:t>S</w:t>
            </w:r>
            <w:r>
              <w:rPr>
                <w:rFonts w:hint="default" w:ascii="Times New Roman" w:hAnsi="Times New Roman" w:cs="Times New Roman"/>
                <w:lang w:val="en-US" w:eastAsia="zh-CN"/>
              </w:rPr>
              <w:t>型脱模剂。脱模剂储存于密闭容器中，取用后及时加盖封口，从储存环节避免有机组分无组织逸散；脱模剂使用为厂区开放式作业，过程中少量微量VOC</w:t>
            </w:r>
            <w:r>
              <w:rPr>
                <w:rFonts w:hint="default" w:ascii="Times New Roman" w:hAnsi="Times New Roman" w:cs="Times New Roman"/>
                <w:vertAlign w:val="subscript"/>
                <w:lang w:val="en-US" w:eastAsia="zh-CN"/>
              </w:rPr>
              <w:t>S</w:t>
            </w:r>
            <w:r>
              <w:rPr>
                <w:rFonts w:hint="default" w:ascii="Times New Roman" w:hAnsi="Times New Roman" w:cs="Times New Roman"/>
                <w:lang w:val="en-US" w:eastAsia="zh-CN"/>
              </w:rPr>
              <w:t>随操作无组织释</w:t>
            </w:r>
            <w:r>
              <w:rPr>
                <w:rFonts w:hint="eastAsia" w:cs="Times New Roman"/>
                <w:lang w:val="en-US" w:eastAsia="zh-CN"/>
              </w:rPr>
              <w:t>放</w:t>
            </w:r>
            <w:r>
              <w:rPr>
                <w:rFonts w:hint="default" w:ascii="Times New Roman" w:hAnsi="Times New Roman" w:cs="Times New Roman"/>
                <w:lang w:val="en-US" w:eastAsia="zh-CN"/>
              </w:rPr>
              <w:t>，经上述防控措施后，废气可得到有效稀释扩散，对周边大气环境及厂界空气质量影响较小，厂界VOC</w:t>
            </w:r>
            <w:r>
              <w:rPr>
                <w:rFonts w:hint="default" w:ascii="Times New Roman" w:hAnsi="Times New Roman" w:cs="Times New Roman"/>
                <w:vertAlign w:val="subscript"/>
                <w:lang w:val="en-US" w:eastAsia="zh-CN"/>
              </w:rPr>
              <w:t>S</w:t>
            </w:r>
            <w:r>
              <w:rPr>
                <w:rFonts w:hint="default" w:ascii="Times New Roman" w:hAnsi="Times New Roman" w:cs="Times New Roman"/>
                <w:lang w:val="en-US" w:eastAsia="zh-CN"/>
              </w:rPr>
              <w:t>无组织排放浓度可满足《大气污染物综合排放标准》（GB 16297-1996）表2相关限值要求，防控措施可行。</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（2）有组织废气</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①上料粉尘</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项目的主要原料输送流程为：水泥储存于专用筒仓，经密闭管道输送至计量系统后进入搅拌器；石子、砂子等骨料通过铲车转运至计量系统，计量后送入搅拌器；根据《3021水泥制品制造（含3022砼结构构件制造、3029其他水泥类似制品制造）行业系数手册》，项目上料时颗粒物产污系数为0.19kg/t（产品），项目产品产量为</w:t>
            </w:r>
            <w:r>
              <w:rPr>
                <w:rFonts w:hint="eastAsia" w:cs="Times New Roman"/>
                <w:lang w:val="en-US" w:eastAsia="zh-CN"/>
              </w:rPr>
              <w:t>146400</w:t>
            </w:r>
            <w:r>
              <w:rPr>
                <w:rFonts w:hint="default" w:ascii="Times New Roman" w:hAnsi="Times New Roman" w:cs="Times New Roman"/>
                <w:lang w:val="en-US" w:eastAsia="zh-CN"/>
              </w:rPr>
              <w:t>t/a，则本项目上料粉尘产生量为</w:t>
            </w:r>
            <w:r>
              <w:rPr>
                <w:rFonts w:hint="eastAsia" w:cs="Times New Roman"/>
                <w:lang w:val="en-US" w:eastAsia="zh-CN"/>
              </w:rPr>
              <w:t>27.816</w:t>
            </w:r>
            <w:r>
              <w:rPr>
                <w:rFonts w:hint="default" w:ascii="Times New Roman" w:hAnsi="Times New Roman" w:cs="Times New Roman"/>
                <w:lang w:val="en-US" w:eastAsia="zh-CN"/>
              </w:rPr>
              <w:t>t/a，上料口上方设置集气罩（风机风量</w:t>
            </w:r>
            <w:r>
              <w:rPr>
                <w:rFonts w:hint="eastAsia" w:cs="Times New Roman"/>
                <w:lang w:val="en-US" w:eastAsia="zh-CN"/>
              </w:rPr>
              <w:t>5</w:t>
            </w:r>
            <w:r>
              <w:rPr>
                <w:rFonts w:hint="default" w:ascii="Times New Roman" w:hAnsi="Times New Roman" w:cs="Times New Roman"/>
                <w:lang w:val="en-US" w:eastAsia="zh-CN"/>
              </w:rPr>
              <w:t>000m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/h），收集的粉尘经袋式除尘器处理后经15m高排气筒高空排放（收集效率90%，治理效率为99</w:t>
            </w:r>
            <w:r>
              <w:rPr>
                <w:rFonts w:hint="eastAsia" w:cs="Times New Roman"/>
                <w:lang w:val="en-US" w:eastAsia="zh-CN"/>
              </w:rPr>
              <w:t>.7</w:t>
            </w:r>
            <w:r>
              <w:rPr>
                <w:rFonts w:hint="default" w:ascii="Times New Roman" w:hAnsi="Times New Roman" w:cs="Times New Roman"/>
                <w:lang w:val="en-US" w:eastAsia="zh-CN"/>
              </w:rPr>
              <w:t>%）。则有组织颗粒物排放量为0.0</w:t>
            </w:r>
            <w:r>
              <w:rPr>
                <w:rFonts w:hint="eastAsia" w:cs="Times New Roman"/>
                <w:lang w:val="en-US" w:eastAsia="zh-CN"/>
              </w:rPr>
              <w:t>751</w:t>
            </w:r>
            <w:r>
              <w:rPr>
                <w:rFonts w:hint="default" w:ascii="Times New Roman" w:hAnsi="Times New Roman" w:cs="Times New Roman"/>
                <w:lang w:val="en-US" w:eastAsia="zh-CN"/>
              </w:rPr>
              <w:t>t/a，排放速率为0.0</w:t>
            </w:r>
            <w:r>
              <w:rPr>
                <w:rFonts w:hint="eastAsia" w:cs="Times New Roman"/>
                <w:lang w:val="en-US" w:eastAsia="zh-CN"/>
              </w:rPr>
              <w:t>391</w:t>
            </w:r>
            <w:r>
              <w:rPr>
                <w:rFonts w:hint="default" w:ascii="Times New Roman" w:hAnsi="Times New Roman" w:cs="Times New Roman"/>
                <w:lang w:val="en-US" w:eastAsia="zh-CN"/>
              </w:rPr>
              <w:t>kg/h，排放浓度</w:t>
            </w:r>
            <w:r>
              <w:rPr>
                <w:rFonts w:hint="eastAsia" w:cs="Times New Roman"/>
                <w:lang w:val="en-US" w:eastAsia="zh-CN"/>
              </w:rPr>
              <w:t>7.8233</w:t>
            </w:r>
            <w:r>
              <w:rPr>
                <w:rFonts w:hint="default" w:ascii="Times New Roman" w:hAnsi="Times New Roman" w:cs="Times New Roman"/>
                <w:lang w:val="en-US" w:eastAsia="zh-CN"/>
              </w:rPr>
              <w:t>mg/m</w:t>
            </w:r>
            <w:r>
              <w:rPr>
                <w:rFonts w:hint="default" w:ascii="Times New Roman" w:hAnsi="Times New Roman" w:cs="Times New Roman"/>
                <w:vertAlign w:val="superscript"/>
                <w:lang w:val="en-US" w:eastAsia="zh-CN"/>
              </w:rPr>
              <w:t>3</w:t>
            </w:r>
            <w:r>
              <w:rPr>
                <w:rFonts w:hint="default" w:ascii="Times New Roman" w:hAnsi="Times New Roman" w:cs="Times New Roman"/>
                <w:lang w:eastAsia="zh-CN"/>
              </w:rPr>
              <w:t>。</w:t>
            </w:r>
            <w:r>
              <w:rPr>
                <w:rFonts w:hint="default" w:ascii="Times New Roman" w:hAnsi="Times New Roman" w:cs="Times New Roman"/>
                <w:lang w:val="en-US" w:eastAsia="zh-CN"/>
              </w:rPr>
              <w:t>为控制该环节颗粒物无组织排放，项目上料口采取三面一顶围挡+软帘措施（治理效率99%），则无组织颗粒物排放量</w:t>
            </w:r>
            <w:r>
              <w:rPr>
                <w:rFonts w:hint="eastAsia" w:cs="Times New Roman"/>
                <w:lang w:val="en-US" w:eastAsia="zh-CN"/>
              </w:rPr>
              <w:t>0.0278</w:t>
            </w:r>
            <w:r>
              <w:rPr>
                <w:rFonts w:hint="default" w:ascii="Times New Roman" w:hAnsi="Times New Roman" w:cs="Times New Roman"/>
                <w:lang w:val="en-US" w:eastAsia="zh-CN"/>
              </w:rPr>
              <w:t>t/a，排放速率为0.0</w:t>
            </w:r>
            <w:r>
              <w:rPr>
                <w:rFonts w:hint="eastAsia" w:cs="Times New Roman"/>
                <w:lang w:val="en-US" w:eastAsia="zh-CN"/>
              </w:rPr>
              <w:t>14</w:t>
            </w:r>
            <w:r>
              <w:rPr>
                <w:rFonts w:hint="default" w:ascii="Times New Roman" w:hAnsi="Times New Roman" w:cs="Times New Roman"/>
                <w:lang w:val="en-US" w:eastAsia="zh-CN"/>
              </w:rPr>
              <w:t>5kg/h。</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综上所述，项目上料粉尘产生量较小，上料口设置三面一顶硬质围挡并配合软帘封闭，配套集气罩对该区域粉尘进行收集，收集的粉尘经袋式除尘器处理后通过15米高排气筒排放，能够有效控制颗粒物废气排放，使其满足《水泥工业大气污染物排放标准》（含2025年修改单）（GB4915-2013）表2大气污染物特别排放限值要求，对周边环境影响较小。</w:t>
            </w:r>
          </w:p>
          <w:p>
            <w:pPr>
              <w:keepNext w:val="0"/>
              <w:keepLines w:val="0"/>
              <w:suppressLineNumbers w:val="0"/>
              <w:bidi w:val="0"/>
              <w:spacing w:before="0" w:beforeAutospacing="0" w:after="0" w:afterAutospacing="0"/>
              <w:ind w:left="0" w:right="0"/>
              <w:rPr>
                <w:rFonts w:hint="eastAsia" w:cs="Times New Roman"/>
                <w:lang w:val="en-US" w:eastAsia="zh-CN"/>
              </w:rPr>
            </w:pPr>
            <w:r>
              <w:rPr>
                <w:rFonts w:hint="eastAsia" w:cs="Times New Roman"/>
                <w:lang w:val="en-US" w:eastAsia="zh-CN"/>
              </w:rPr>
              <w:t>②水性防腐涂料挥发产生的VOCs废气</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eastAsia" w:cs="Times New Roman"/>
                <w:lang w:val="en-US" w:eastAsia="zh-CN"/>
              </w:rPr>
            </w:pPr>
            <w:r>
              <w:rPr>
                <w:rFonts w:hint="default" w:cs="Times New Roman"/>
                <w:lang w:val="en-US" w:eastAsia="zh-CN"/>
              </w:rPr>
              <w:t>本项目水性防腐涂料挥发产生的VOCs废气产排量，</w:t>
            </w:r>
            <w:r>
              <w:rPr>
                <w:rFonts w:hint="eastAsia" w:cs="Times New Roman"/>
                <w:lang w:val="en-US" w:eastAsia="zh-CN"/>
              </w:rPr>
              <w:t>根据</w:t>
            </w:r>
            <w:r>
              <w:rPr>
                <w:rFonts w:hint="default" w:cs="Times New Roman"/>
                <w:lang w:val="en-US" w:eastAsia="zh-CN"/>
              </w:rPr>
              <w:t>《排放源统计调查产排污核算方法和系数手册》</w:t>
            </w:r>
            <w:r>
              <w:rPr>
                <w:rFonts w:hint="eastAsia" w:cs="Times New Roman"/>
                <w:lang w:val="en-US" w:eastAsia="zh-CN"/>
              </w:rPr>
              <w:t>中附表3工业源挥发性有机物通用源项核算系数手册，工业水性防腐涂料VOCs产污系数为200kg/t涂料，本项目水性防腐涂料用量为4t/a，每天刷涂约1h，堆存阴干时间4h，则VOCs废气产生的时间为1200h，则水性防腐涂料挥发产生的VOCs废气产生量为0.8t/a，产生速率为0.667kg/h。</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eastAsia" w:cs="Times New Roman"/>
                <w:lang w:val="en-US" w:eastAsia="zh-CN"/>
              </w:rPr>
            </w:pPr>
            <w:r>
              <w:rPr>
                <w:rFonts w:hint="eastAsia" w:cs="Times New Roman"/>
                <w:lang w:val="en-US" w:eastAsia="zh-CN"/>
              </w:rPr>
              <w:t>本项目水性防腐涂料刷涂在全密闭厂房中进行，废气由集气罩（风机风量2000m</w:t>
            </w:r>
            <w:r>
              <w:rPr>
                <w:rFonts w:hint="eastAsia" w:cs="Times New Roman"/>
                <w:vertAlign w:val="superscript"/>
                <w:lang w:val="en-US" w:eastAsia="zh-CN"/>
              </w:rPr>
              <w:t>3</w:t>
            </w:r>
            <w:r>
              <w:rPr>
                <w:rFonts w:hint="eastAsia" w:cs="Times New Roman"/>
                <w:lang w:val="en-US" w:eastAsia="zh-CN"/>
              </w:rPr>
              <w:t>/h）+二级活性炭吸附装置处理后通过15m高排气筒（DA002），废气收集率按90%计，二级活性炭吸附效率按75%计，则VOCs废气有组织排放量为0.18t/a，排放速率为0.15kg/h，排放浓度75mg/m</w:t>
            </w:r>
            <w:r>
              <w:rPr>
                <w:rFonts w:hint="eastAsia" w:cs="Times New Roman"/>
                <w:vertAlign w:val="superscript"/>
                <w:lang w:val="en-US" w:eastAsia="zh-CN"/>
              </w:rPr>
              <w:t>3</w:t>
            </w:r>
            <w:r>
              <w:rPr>
                <w:rFonts w:hint="eastAsia" w:cs="Times New Roman"/>
                <w:lang w:val="en-US" w:eastAsia="zh-CN"/>
              </w:rPr>
              <w:t>。水性防腐涂料刷涂在全密闭厂房中进行，无组织VOCs排放量0.08t/a，排放速率为0.067kg/h。</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水性防腐涂料挥发产生的VOCs废气</w:t>
            </w:r>
            <w:r>
              <w:rPr>
                <w:rFonts w:hint="eastAsia" w:cs="Times New Roman"/>
                <w:lang w:val="en-US" w:eastAsia="zh-CN"/>
              </w:rPr>
              <w:t>通过</w:t>
            </w:r>
            <w:r>
              <w:rPr>
                <w:rFonts w:hint="default" w:ascii="Times New Roman" w:hAnsi="Times New Roman" w:cs="Times New Roman"/>
                <w:lang w:val="en-US" w:eastAsia="zh-CN"/>
              </w:rPr>
              <w:t>集气罩</w:t>
            </w:r>
            <w:r>
              <w:rPr>
                <w:rFonts w:hint="eastAsia" w:cs="Times New Roman"/>
                <w:lang w:val="en-US" w:eastAsia="zh-CN"/>
              </w:rPr>
              <w:t>+二级</w:t>
            </w:r>
            <w:r>
              <w:rPr>
                <w:rFonts w:hint="default" w:ascii="Times New Roman" w:hAnsi="Times New Roman" w:cs="Times New Roman"/>
                <w:lang w:val="en-US" w:eastAsia="zh-CN"/>
              </w:rPr>
              <w:t>活性炭吸附装置</w:t>
            </w:r>
            <w:r>
              <w:rPr>
                <w:rFonts w:hint="eastAsia" w:cs="Times New Roman"/>
                <w:lang w:val="en-US" w:eastAsia="zh-CN"/>
              </w:rPr>
              <w:t>+</w:t>
            </w:r>
            <w:r>
              <w:rPr>
                <w:rFonts w:hint="default" w:ascii="Times New Roman" w:hAnsi="Times New Roman" w:cs="Times New Roman"/>
                <w:lang w:val="en-US" w:eastAsia="zh-CN"/>
              </w:rPr>
              <w:t>15m高排气筒（DA002）排放后，对周边大气环境及厂界空气质量影响较小，厂界VOCs排放浓度可满足《大气污染物综合排放标准》（GB 16297-1996）表2相关限值要求，所采取的防控措施技术可行、经济合理。</w: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pStyle w:val="52"/>
              <w:keepNext w:val="0"/>
              <w:keepLines w:val="0"/>
              <w:suppressLineNumbers w:val="0"/>
              <w:spacing w:before="0" w:beforeAutospacing="0" w:after="0" w:afterAutospacing="0"/>
              <w:ind w:left="0" w:right="0"/>
              <w:jc w:val="both"/>
              <w:rPr>
                <w:rFonts w:hint="default"/>
                <w:lang w:val="en-US" w:eastAsia="zh-CN"/>
              </w:rPr>
            </w:pPr>
          </w:p>
        </w:tc>
      </w:tr>
    </w:tbl>
    <w:p>
      <w:pPr>
        <w:adjustRightInd w:val="0"/>
        <w:snapToGrid w:val="0"/>
        <w:spacing w:line="520" w:lineRule="exact"/>
        <w:jc w:val="center"/>
        <w:rPr>
          <w:rFonts w:hint="default" w:ascii="Times New Roman" w:hAnsi="Times New Roman" w:cs="Times New Roman"/>
          <w:bCs/>
          <w:color w:val="00000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2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2" w:hRule="atLeast"/>
        </w:trPr>
        <w:tc>
          <w:tcPr>
            <w:tcW w:w="612" w:type="dxa"/>
          </w:tcPr>
          <w:p>
            <w:pPr>
              <w:keepNext w:val="0"/>
              <w:keepLines w:val="0"/>
              <w:suppressLineNumbers w:val="0"/>
              <w:adjustRightInd w:val="0"/>
              <w:snapToGrid w:val="0"/>
              <w:spacing w:before="0" w:beforeAutospacing="0" w:after="0" w:afterAutospacing="0" w:line="520" w:lineRule="exact"/>
              <w:ind w:left="0" w:right="0"/>
              <w:jc w:val="center"/>
              <w:rPr>
                <w:rFonts w:hint="default" w:ascii="Times New Roman" w:hAnsi="Times New Roman" w:cs="Times New Roman"/>
                <w:bCs/>
                <w:color w:val="000000"/>
                <w:sz w:val="28"/>
                <w:szCs w:val="28"/>
                <w:highlight w:val="none"/>
                <w:vertAlign w:val="baseline"/>
              </w:rPr>
            </w:pPr>
          </w:p>
        </w:tc>
        <w:tc>
          <w:tcPr>
            <w:tcW w:w="12616" w:type="dxa"/>
          </w:tcPr>
          <w:p>
            <w:pPr>
              <w:pStyle w:val="5"/>
              <w:suppressLineNumbers w:val="0"/>
              <w:bidi w:val="0"/>
              <w:spacing w:before="0" w:beforeAutospacing="0" w:after="0" w:afterAutospacing="0"/>
              <w:ind w:left="0" w:right="0"/>
              <w:rPr>
                <w:rFonts w:hint="default" w:ascii="Times New Roman" w:hAnsi="Times New Roman" w:cs="Times New Roman"/>
                <w:bCs/>
                <w:color w:val="000000"/>
                <w:sz w:val="28"/>
                <w:szCs w:val="28"/>
                <w:highlight w:val="none"/>
                <w:vertAlign w:val="baseline"/>
                <w:lang w:val="en-US" w:eastAsia="zh-CN"/>
              </w:rPr>
            </w:pPr>
            <w:r>
              <w:rPr>
                <w:rFonts w:hint="default" w:ascii="Times New Roman" w:hAnsi="Times New Roman" w:cs="Times New Roman"/>
                <w:bCs/>
                <w:color w:val="000000"/>
                <w:sz w:val="28"/>
                <w:szCs w:val="28"/>
                <w:highlight w:val="none"/>
                <w:vertAlign w:val="baseline"/>
                <w:lang w:val="en-US" w:eastAsia="zh-CN"/>
              </w:rPr>
              <w:t>表4-1  废气污染源源强核算一览表</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906"/>
              <w:gridCol w:w="387"/>
              <w:gridCol w:w="655"/>
              <w:gridCol w:w="875"/>
              <w:gridCol w:w="816"/>
              <w:gridCol w:w="684"/>
              <w:gridCol w:w="1290"/>
              <w:gridCol w:w="650"/>
              <w:gridCol w:w="560"/>
              <w:gridCol w:w="550"/>
              <w:gridCol w:w="700"/>
              <w:gridCol w:w="826"/>
              <w:gridCol w:w="796"/>
              <w:gridCol w:w="802"/>
              <w:gridCol w:w="759"/>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4" w:hRule="atLeast"/>
                <w:jc w:val="center"/>
              </w:trPr>
              <w:tc>
                <w:tcPr>
                  <w:tcW w:w="174"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污染源</w:t>
                  </w:r>
                </w:p>
              </w:tc>
              <w:tc>
                <w:tcPr>
                  <w:tcW w:w="365"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产污环节</w:t>
                  </w:r>
                </w:p>
              </w:tc>
              <w:tc>
                <w:tcPr>
                  <w:tcW w:w="156"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排放形式</w:t>
                  </w:r>
                </w:p>
              </w:tc>
              <w:tc>
                <w:tcPr>
                  <w:tcW w:w="264"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污染物名称</w:t>
                  </w:r>
                  <w:r>
                    <w:rPr>
                      <w:rFonts w:hint="default" w:ascii="Times New Roman" w:hAnsi="Times New Roman" w:cs="Times New Roman"/>
                      <w:kern w:val="2"/>
                      <w:sz w:val="21"/>
                      <w:szCs w:val="21"/>
                      <w:highlight w:val="none"/>
                      <w:lang w:val="en-US" w:eastAsia="zh-CN" w:bidi="ar-SA"/>
                    </w:rPr>
                    <w:t>颗粒物</w:t>
                  </w:r>
                </w:p>
              </w:tc>
              <w:tc>
                <w:tcPr>
                  <w:tcW w:w="958" w:type="pct"/>
                  <w:gridSpan w:val="3"/>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污染物产生情况</w:t>
                  </w:r>
                </w:p>
              </w:tc>
              <w:tc>
                <w:tcPr>
                  <w:tcW w:w="1514" w:type="pct"/>
                  <w:gridSpan w:val="5"/>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污染治理设施情况</w:t>
                  </w:r>
                </w:p>
              </w:tc>
              <w:tc>
                <w:tcPr>
                  <w:tcW w:w="1285" w:type="pct"/>
                  <w:gridSpan w:val="4"/>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污染物排放情况</w:t>
                  </w:r>
                </w:p>
              </w:tc>
              <w:tc>
                <w:tcPr>
                  <w:tcW w:w="280" w:type="pc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74"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365"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156"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264"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353" w:type="pc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产生量t/a</w:t>
                  </w:r>
                </w:p>
              </w:tc>
              <w:tc>
                <w:tcPr>
                  <w:tcW w:w="329" w:type="pc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产生速率kg/h</w:t>
                  </w:r>
                </w:p>
              </w:tc>
              <w:tc>
                <w:tcPr>
                  <w:tcW w:w="276" w:type="pc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产生浓度mg/m</w:t>
                  </w:r>
                  <w:r>
                    <w:rPr>
                      <w:rFonts w:hint="default" w:ascii="Times New Roman" w:hAnsi="Times New Roman" w:cs="Times New Roman"/>
                      <w:highlight w:val="none"/>
                      <w:vertAlign w:val="superscript"/>
                      <w:lang w:val="en-US" w:eastAsia="zh-CN"/>
                    </w:rPr>
                    <w:t>3</w:t>
                  </w:r>
                </w:p>
              </w:tc>
              <w:tc>
                <w:tcPr>
                  <w:tcW w:w="520" w:type="pc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污染治理设施工艺</w:t>
                  </w:r>
                </w:p>
              </w:tc>
              <w:tc>
                <w:tcPr>
                  <w:tcW w:w="262" w:type="pc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lang w:val="en-US" w:eastAsia="zh-CN"/>
                    </w:rPr>
                    <w:t>风机风量m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vertAlign w:val="baseline"/>
                      <w:lang w:val="en-US" w:eastAsia="zh-CN"/>
                    </w:rPr>
                    <w:t>/</w:t>
                  </w:r>
                  <w:r>
                    <w:rPr>
                      <w:rFonts w:hint="default" w:ascii="Times New Roman" w:hAnsi="Times New Roman" w:cs="Times New Roman"/>
                      <w:highlight w:val="none"/>
                      <w:lang w:val="en-US" w:eastAsia="zh-CN"/>
                    </w:rPr>
                    <w:t>h</w:t>
                  </w:r>
                </w:p>
              </w:tc>
              <w:tc>
                <w:tcPr>
                  <w:tcW w:w="226" w:type="pc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rPr>
                    <w:t>收集效率%</w:t>
                  </w:r>
                </w:p>
              </w:tc>
              <w:tc>
                <w:tcPr>
                  <w:tcW w:w="222" w:type="pc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rPr>
                    <w:t>去除效率%</w:t>
                  </w:r>
                </w:p>
              </w:tc>
              <w:tc>
                <w:tcPr>
                  <w:tcW w:w="282" w:type="pc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是否为可行技术</w:t>
                  </w:r>
                </w:p>
              </w:tc>
              <w:tc>
                <w:tcPr>
                  <w:tcW w:w="333" w:type="pc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排放量t/a</w:t>
                  </w:r>
                </w:p>
              </w:tc>
              <w:tc>
                <w:tcPr>
                  <w:tcW w:w="321" w:type="pc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排放速率kg/h</w:t>
                  </w:r>
                </w:p>
              </w:tc>
              <w:tc>
                <w:tcPr>
                  <w:tcW w:w="323" w:type="pc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排放浓度mg/m</w:t>
                  </w:r>
                  <w:r>
                    <w:rPr>
                      <w:rFonts w:hint="default" w:ascii="Times New Roman" w:hAnsi="Times New Roman" w:cs="Times New Roman"/>
                      <w:highlight w:val="none"/>
                      <w:vertAlign w:val="superscript"/>
                      <w:lang w:val="en-US" w:eastAsia="zh-CN"/>
                    </w:rPr>
                    <w:t>3</w:t>
                  </w:r>
                </w:p>
              </w:tc>
              <w:tc>
                <w:tcPr>
                  <w:tcW w:w="306" w:type="pc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排放口编号</w:t>
                  </w:r>
                </w:p>
              </w:tc>
              <w:tc>
                <w:tcPr>
                  <w:tcW w:w="280" w:type="pc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排放浓度mg/m</w:t>
                  </w:r>
                  <w:r>
                    <w:rPr>
                      <w:rFonts w:hint="default" w:ascii="Times New Roman" w:hAnsi="Times New Roman" w:cs="Times New Roman"/>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174"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检查井、化粪池/消防池生产线</w:t>
                  </w:r>
                </w:p>
              </w:tc>
              <w:tc>
                <w:tcPr>
                  <w:tcW w:w="365"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物料搅拌</w:t>
                  </w:r>
                </w:p>
              </w:tc>
              <w:tc>
                <w:tcPr>
                  <w:tcW w:w="156"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无组织</w:t>
                  </w:r>
                </w:p>
              </w:tc>
              <w:tc>
                <w:tcPr>
                  <w:tcW w:w="264" w:type="pct"/>
                  <w:vMerge w:val="restart"/>
                  <w:vAlign w:val="center"/>
                </w:tcPr>
                <w:p>
                  <w:pPr>
                    <w:pStyle w:val="6"/>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lang w:val="en-US" w:eastAsia="zh-CN"/>
                    </w:rPr>
                    <w:t>颗粒物</w:t>
                  </w:r>
                </w:p>
              </w:tc>
              <w:tc>
                <w:tcPr>
                  <w:tcW w:w="35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76.5672</w:t>
                  </w:r>
                </w:p>
              </w:tc>
              <w:tc>
                <w:tcPr>
                  <w:tcW w:w="329"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highlight w:val="none"/>
                      <w:lang w:val="en-US" w:eastAsia="zh-CN"/>
                    </w:rPr>
                    <w:t>39.8788</w:t>
                  </w:r>
                </w:p>
              </w:tc>
              <w:tc>
                <w:tcPr>
                  <w:tcW w:w="27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520" w:type="pct"/>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default" w:ascii="Times New Roman" w:hAnsi="Times New Roman" w:cs="Times New Roman"/>
                      <w:sz w:val="21"/>
                      <w:szCs w:val="21"/>
                      <w:highlight w:val="none"/>
                      <w:lang w:val="en-US" w:eastAsia="zh-CN"/>
                    </w:rPr>
                    <w:t>全封闭设施</w:t>
                  </w:r>
                </w:p>
              </w:tc>
              <w:tc>
                <w:tcPr>
                  <w:tcW w:w="26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226" w:type="pc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p>
              </w:tc>
              <w:tc>
                <w:tcPr>
                  <w:tcW w:w="22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99</w:t>
                  </w:r>
                </w:p>
              </w:tc>
              <w:tc>
                <w:tcPr>
                  <w:tcW w:w="28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是</w:t>
                  </w:r>
                </w:p>
              </w:tc>
              <w:tc>
                <w:tcPr>
                  <w:tcW w:w="33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0.766</w:t>
                  </w:r>
                </w:p>
              </w:tc>
              <w:tc>
                <w:tcPr>
                  <w:tcW w:w="321"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highlight w:val="none"/>
                      <w:lang w:val="en-US" w:eastAsia="zh-CN"/>
                    </w:rPr>
                    <w:t>0.399</w:t>
                  </w:r>
                </w:p>
              </w:tc>
              <w:tc>
                <w:tcPr>
                  <w:tcW w:w="32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30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280"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74"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365" w:type="pct"/>
                  <w:shd w:val="clear" w:color="auto" w:fill="auto"/>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1#水泥筒仓</w:t>
                  </w:r>
                </w:p>
              </w:tc>
              <w:tc>
                <w:tcPr>
                  <w:tcW w:w="156"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264"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35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1.584</w:t>
                  </w:r>
                </w:p>
              </w:tc>
              <w:tc>
                <w:tcPr>
                  <w:tcW w:w="329"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12</w:t>
                  </w:r>
                </w:p>
              </w:tc>
              <w:tc>
                <w:tcPr>
                  <w:tcW w:w="27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520" w:type="pct"/>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default" w:ascii="Times New Roman" w:hAnsi="Times New Roman" w:cs="Times New Roman"/>
                      <w:sz w:val="21"/>
                      <w:szCs w:val="21"/>
                      <w:highlight w:val="none"/>
                      <w:lang w:val="en-US" w:eastAsia="zh-CN"/>
                    </w:rPr>
                    <w:t>滤筒式过滤器</w:t>
                  </w:r>
                </w:p>
              </w:tc>
              <w:tc>
                <w:tcPr>
                  <w:tcW w:w="26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226" w:type="pc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100</w:t>
                  </w:r>
                </w:p>
              </w:tc>
              <w:tc>
                <w:tcPr>
                  <w:tcW w:w="22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99.7</w:t>
                  </w:r>
                </w:p>
              </w:tc>
              <w:tc>
                <w:tcPr>
                  <w:tcW w:w="28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是</w:t>
                  </w:r>
                </w:p>
              </w:tc>
              <w:tc>
                <w:tcPr>
                  <w:tcW w:w="33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0.00</w:t>
                  </w:r>
                  <w:r>
                    <w:rPr>
                      <w:rFonts w:hint="eastAsia" w:cs="Times New Roman"/>
                      <w:sz w:val="21"/>
                      <w:szCs w:val="21"/>
                      <w:highlight w:val="none"/>
                      <w:lang w:val="en-US" w:eastAsia="zh-CN"/>
                    </w:rPr>
                    <w:t>48</w:t>
                  </w:r>
                </w:p>
              </w:tc>
              <w:tc>
                <w:tcPr>
                  <w:tcW w:w="321"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0.036</w:t>
                  </w:r>
                </w:p>
              </w:tc>
              <w:tc>
                <w:tcPr>
                  <w:tcW w:w="32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30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280"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74"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365"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2#水泥筒仓</w:t>
                  </w:r>
                </w:p>
              </w:tc>
              <w:tc>
                <w:tcPr>
                  <w:tcW w:w="156"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264"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35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1.584</w:t>
                  </w:r>
                </w:p>
              </w:tc>
              <w:tc>
                <w:tcPr>
                  <w:tcW w:w="329"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12</w:t>
                  </w:r>
                </w:p>
              </w:tc>
              <w:tc>
                <w:tcPr>
                  <w:tcW w:w="27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520" w:type="pct"/>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default" w:ascii="Times New Roman" w:hAnsi="Times New Roman" w:cs="Times New Roman"/>
                      <w:sz w:val="21"/>
                      <w:szCs w:val="21"/>
                      <w:highlight w:val="none"/>
                      <w:lang w:val="en-US" w:eastAsia="zh-CN"/>
                    </w:rPr>
                    <w:t>滤筒式过滤器</w:t>
                  </w:r>
                </w:p>
              </w:tc>
              <w:tc>
                <w:tcPr>
                  <w:tcW w:w="26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226" w:type="pct"/>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100</w:t>
                  </w:r>
                </w:p>
              </w:tc>
              <w:tc>
                <w:tcPr>
                  <w:tcW w:w="22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99.7</w:t>
                  </w:r>
                </w:p>
              </w:tc>
              <w:tc>
                <w:tcPr>
                  <w:tcW w:w="28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是</w:t>
                  </w:r>
                </w:p>
              </w:tc>
              <w:tc>
                <w:tcPr>
                  <w:tcW w:w="33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0.00</w:t>
                  </w:r>
                  <w:r>
                    <w:rPr>
                      <w:rFonts w:hint="eastAsia" w:cs="Times New Roman"/>
                      <w:sz w:val="21"/>
                      <w:szCs w:val="21"/>
                      <w:highlight w:val="none"/>
                      <w:lang w:val="en-US" w:eastAsia="zh-CN"/>
                    </w:rPr>
                    <w:t>48</w:t>
                  </w:r>
                </w:p>
              </w:tc>
              <w:tc>
                <w:tcPr>
                  <w:tcW w:w="321"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0.036</w:t>
                  </w:r>
                </w:p>
              </w:tc>
              <w:tc>
                <w:tcPr>
                  <w:tcW w:w="32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30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280"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2" w:hRule="atLeast"/>
                <w:jc w:val="center"/>
              </w:trPr>
              <w:tc>
                <w:tcPr>
                  <w:tcW w:w="174"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365"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原料堆场</w:t>
                  </w:r>
                  <w:r>
                    <w:rPr>
                      <w:rFonts w:hint="eastAsia"/>
                      <w:lang w:val="en-US" w:eastAsia="zh-CN"/>
                    </w:rPr>
                    <w:t>扬尘</w:t>
                  </w:r>
                </w:p>
              </w:tc>
              <w:tc>
                <w:tcPr>
                  <w:tcW w:w="156"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264"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35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91.054</w:t>
                  </w:r>
                </w:p>
              </w:tc>
              <w:tc>
                <w:tcPr>
                  <w:tcW w:w="329"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15.808</w:t>
                  </w:r>
                </w:p>
              </w:tc>
              <w:tc>
                <w:tcPr>
                  <w:tcW w:w="27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520" w:type="pct"/>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default" w:ascii="Times New Roman" w:hAnsi="Times New Roman" w:cs="Times New Roman"/>
                      <w:sz w:val="21"/>
                      <w:szCs w:val="21"/>
                      <w:highlight w:val="none"/>
                      <w:lang w:val="en-US" w:eastAsia="zh-CN"/>
                    </w:rPr>
                    <w:t>洒水+全封闭仓库</w:t>
                  </w:r>
                </w:p>
              </w:tc>
              <w:tc>
                <w:tcPr>
                  <w:tcW w:w="26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226" w:type="pc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p>
              </w:tc>
              <w:tc>
                <w:tcPr>
                  <w:tcW w:w="22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99.74</w:t>
                  </w:r>
                </w:p>
              </w:tc>
              <w:tc>
                <w:tcPr>
                  <w:tcW w:w="28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是</w:t>
                  </w:r>
                </w:p>
              </w:tc>
              <w:tc>
                <w:tcPr>
                  <w:tcW w:w="333" w:type="pct"/>
                  <w:shd w:val="clear" w:color="auto" w:fill="auto"/>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0.237</w:t>
                  </w:r>
                </w:p>
              </w:tc>
              <w:tc>
                <w:tcPr>
                  <w:tcW w:w="321" w:type="pct"/>
                  <w:shd w:val="clear" w:color="auto" w:fill="auto"/>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0.0411</w:t>
                  </w:r>
                </w:p>
              </w:tc>
              <w:tc>
                <w:tcPr>
                  <w:tcW w:w="32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30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280"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9" w:hRule="atLeast"/>
                <w:jc w:val="center"/>
              </w:trPr>
              <w:tc>
                <w:tcPr>
                  <w:tcW w:w="174"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365"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焊接</w:t>
                  </w:r>
                  <w:r>
                    <w:rPr>
                      <w:rFonts w:hint="eastAsia"/>
                      <w:lang w:val="en-US" w:eastAsia="zh-CN"/>
                    </w:rPr>
                    <w:t>废气</w:t>
                  </w:r>
                </w:p>
              </w:tc>
              <w:tc>
                <w:tcPr>
                  <w:tcW w:w="156" w:type="pct"/>
                  <w:vMerge w:val="continue"/>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p>
              </w:tc>
              <w:tc>
                <w:tcPr>
                  <w:tcW w:w="264" w:type="pct"/>
                  <w:vMerge w:val="continue"/>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p>
              </w:tc>
              <w:tc>
                <w:tcPr>
                  <w:tcW w:w="35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0.02002</w:t>
                  </w:r>
                </w:p>
              </w:tc>
              <w:tc>
                <w:tcPr>
                  <w:tcW w:w="329"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0.0104</w:t>
                  </w:r>
                </w:p>
              </w:tc>
              <w:tc>
                <w:tcPr>
                  <w:tcW w:w="27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520"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移动式烟气净化器+密闭厂房</w:t>
                  </w:r>
                </w:p>
              </w:tc>
              <w:tc>
                <w:tcPr>
                  <w:tcW w:w="26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22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lang w:val="en-US" w:eastAsia="zh-CN"/>
                    </w:rPr>
                    <w:t>80</w:t>
                  </w:r>
                </w:p>
              </w:tc>
              <w:tc>
                <w:tcPr>
                  <w:tcW w:w="22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95</w:t>
                  </w:r>
                </w:p>
              </w:tc>
              <w:tc>
                <w:tcPr>
                  <w:tcW w:w="28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是</w:t>
                  </w:r>
                </w:p>
              </w:tc>
              <w:tc>
                <w:tcPr>
                  <w:tcW w:w="33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highlight w:val="none"/>
                      <w:lang w:val="en-US" w:eastAsia="zh-CN"/>
                    </w:rPr>
                    <w:t>0.0048</w:t>
                  </w:r>
                </w:p>
              </w:tc>
              <w:tc>
                <w:tcPr>
                  <w:tcW w:w="321"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highlight w:val="none"/>
                      <w:lang w:val="en-US" w:eastAsia="zh-CN"/>
                    </w:rPr>
                    <w:t>0.0025</w:t>
                  </w:r>
                </w:p>
              </w:tc>
              <w:tc>
                <w:tcPr>
                  <w:tcW w:w="32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30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280"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jc w:val="center"/>
              </w:trPr>
              <w:tc>
                <w:tcPr>
                  <w:tcW w:w="174"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365" w:type="pct"/>
                  <w:vMerge w:val="restar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上料环节</w:t>
                  </w:r>
                </w:p>
              </w:tc>
              <w:tc>
                <w:tcPr>
                  <w:tcW w:w="156"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264"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eastAsia="宋体" w:cs="Times New Roman"/>
                      <w:kern w:val="2"/>
                      <w:sz w:val="21"/>
                      <w:szCs w:val="21"/>
                      <w:highlight w:val="none"/>
                      <w:lang w:val="en-US" w:eastAsia="zh-CN" w:bidi="ar-SA"/>
                    </w:rPr>
                    <w:t>颗粒物</w:t>
                  </w:r>
                </w:p>
              </w:tc>
              <w:tc>
                <w:tcPr>
                  <w:tcW w:w="35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2.7816</w:t>
                  </w:r>
                </w:p>
              </w:tc>
              <w:tc>
                <w:tcPr>
                  <w:tcW w:w="329"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1.4488</w:t>
                  </w:r>
                </w:p>
              </w:tc>
              <w:tc>
                <w:tcPr>
                  <w:tcW w:w="27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20" w:type="pct"/>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三面一顶围挡+软帘</w:t>
                  </w:r>
                </w:p>
              </w:tc>
              <w:tc>
                <w:tcPr>
                  <w:tcW w:w="26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226" w:type="pc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100</w:t>
                  </w:r>
                </w:p>
              </w:tc>
              <w:tc>
                <w:tcPr>
                  <w:tcW w:w="22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99</w:t>
                  </w:r>
                </w:p>
              </w:tc>
              <w:tc>
                <w:tcPr>
                  <w:tcW w:w="28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是</w:t>
                  </w:r>
                </w:p>
              </w:tc>
              <w:tc>
                <w:tcPr>
                  <w:tcW w:w="33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0.0278</w:t>
                  </w:r>
                </w:p>
              </w:tc>
              <w:tc>
                <w:tcPr>
                  <w:tcW w:w="321"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0.0</w:t>
                  </w:r>
                  <w:r>
                    <w:rPr>
                      <w:rFonts w:hint="eastAsia" w:cs="Times New Roman"/>
                      <w:sz w:val="21"/>
                      <w:szCs w:val="21"/>
                      <w:highlight w:val="none"/>
                      <w:lang w:val="en-US" w:eastAsia="zh-CN"/>
                    </w:rPr>
                    <w:t>145</w:t>
                  </w:r>
                </w:p>
              </w:tc>
              <w:tc>
                <w:tcPr>
                  <w:tcW w:w="32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30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280"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74"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365" w:type="pct"/>
                  <w:vMerge w:val="continue"/>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p>
              </w:tc>
              <w:tc>
                <w:tcPr>
                  <w:tcW w:w="156" w:type="pct"/>
                  <w:shd w:val="clear" w:color="auto" w:fill="auto"/>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有组织</w:t>
                  </w:r>
                </w:p>
              </w:tc>
              <w:tc>
                <w:tcPr>
                  <w:tcW w:w="264" w:type="pct"/>
                  <w:vMerge w:val="continue"/>
                  <w:shd w:val="clear" w:color="auto" w:fill="auto"/>
                  <w:vAlign w:val="center"/>
                </w:tcPr>
                <w:p>
                  <w:pPr>
                    <w:pStyle w:val="6"/>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1"/>
                      <w:highlight w:val="none"/>
                      <w:lang w:val="en-US" w:eastAsia="zh-CN" w:bidi="ar-SA"/>
                    </w:rPr>
                  </w:pPr>
                </w:p>
              </w:tc>
              <w:tc>
                <w:tcPr>
                  <w:tcW w:w="35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25.0344</w:t>
                  </w:r>
                </w:p>
              </w:tc>
              <w:tc>
                <w:tcPr>
                  <w:tcW w:w="329"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13.0388</w:t>
                  </w:r>
                </w:p>
              </w:tc>
              <w:tc>
                <w:tcPr>
                  <w:tcW w:w="27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2</w:t>
                  </w:r>
                  <w:r>
                    <w:rPr>
                      <w:rFonts w:hint="eastAsia" w:cs="Times New Roman"/>
                      <w:kern w:val="2"/>
                      <w:sz w:val="21"/>
                      <w:szCs w:val="21"/>
                      <w:highlight w:val="none"/>
                      <w:lang w:val="en-US" w:eastAsia="zh-CN" w:bidi="ar-SA"/>
                    </w:rPr>
                    <w:t>6</w:t>
                  </w:r>
                  <w:r>
                    <w:rPr>
                      <w:rFonts w:hint="default" w:ascii="Times New Roman" w:hAnsi="Times New Roman" w:cs="Times New Roman"/>
                      <w:kern w:val="2"/>
                      <w:sz w:val="21"/>
                      <w:szCs w:val="21"/>
                      <w:highlight w:val="none"/>
                      <w:lang w:val="en-US" w:eastAsia="zh-CN" w:bidi="ar-SA"/>
                    </w:rPr>
                    <w:t>0</w:t>
                  </w:r>
                  <w:r>
                    <w:rPr>
                      <w:rFonts w:hint="eastAsia" w:cs="Times New Roman"/>
                      <w:kern w:val="2"/>
                      <w:sz w:val="21"/>
                      <w:szCs w:val="21"/>
                      <w:highlight w:val="none"/>
                      <w:lang w:val="en-US" w:eastAsia="zh-CN" w:bidi="ar-SA"/>
                    </w:rPr>
                    <w:t>7.75</w:t>
                  </w:r>
                </w:p>
              </w:tc>
              <w:tc>
                <w:tcPr>
                  <w:tcW w:w="520"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布袋除尘器+15m</w:t>
                  </w:r>
                  <w:r>
                    <w:rPr>
                      <w:rFonts w:hint="eastAsia" w:cs="Times New Roman"/>
                      <w:sz w:val="21"/>
                      <w:szCs w:val="21"/>
                      <w:highlight w:val="none"/>
                      <w:lang w:val="en-US" w:eastAsia="zh-CN"/>
                    </w:rPr>
                    <w:t>高</w:t>
                  </w:r>
                  <w:r>
                    <w:rPr>
                      <w:rFonts w:hint="default" w:ascii="Times New Roman" w:hAnsi="Times New Roman" w:cs="Times New Roman"/>
                      <w:sz w:val="21"/>
                      <w:szCs w:val="21"/>
                      <w:highlight w:val="none"/>
                      <w:lang w:val="en-US" w:eastAsia="zh-CN"/>
                    </w:rPr>
                    <w:t>排气筒</w:t>
                  </w:r>
                </w:p>
              </w:tc>
              <w:tc>
                <w:tcPr>
                  <w:tcW w:w="26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5</w:t>
                  </w:r>
                  <w:r>
                    <w:rPr>
                      <w:rFonts w:hint="default" w:ascii="Times New Roman" w:hAnsi="Times New Roman" w:cs="Times New Roman"/>
                      <w:sz w:val="21"/>
                      <w:szCs w:val="21"/>
                      <w:highlight w:val="none"/>
                      <w:lang w:val="en-US" w:eastAsia="zh-CN"/>
                    </w:rPr>
                    <w:t>000</w:t>
                  </w:r>
                </w:p>
              </w:tc>
              <w:tc>
                <w:tcPr>
                  <w:tcW w:w="226" w:type="pct"/>
                  <w:shd w:val="clear" w:color="auto" w:fill="auto"/>
                  <w:vAlign w:val="center"/>
                </w:tcPr>
                <w:p>
                  <w:pPr>
                    <w:pStyle w:val="6"/>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lang w:val="en-US" w:eastAsia="zh-CN"/>
                    </w:rPr>
                    <w:t>90</w:t>
                  </w:r>
                </w:p>
              </w:tc>
              <w:tc>
                <w:tcPr>
                  <w:tcW w:w="22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99</w:t>
                  </w:r>
                  <w:r>
                    <w:rPr>
                      <w:rFonts w:hint="eastAsia" w:cs="Times New Roman"/>
                      <w:sz w:val="21"/>
                      <w:szCs w:val="21"/>
                      <w:highlight w:val="none"/>
                      <w:lang w:val="en-US" w:eastAsia="zh-CN"/>
                    </w:rPr>
                    <w:t>.7</w:t>
                  </w:r>
                </w:p>
              </w:tc>
              <w:tc>
                <w:tcPr>
                  <w:tcW w:w="28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是</w:t>
                  </w:r>
                </w:p>
              </w:tc>
              <w:tc>
                <w:tcPr>
                  <w:tcW w:w="33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0.0751</w:t>
                  </w:r>
                </w:p>
              </w:tc>
              <w:tc>
                <w:tcPr>
                  <w:tcW w:w="321"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0.0391</w:t>
                  </w:r>
                </w:p>
              </w:tc>
              <w:tc>
                <w:tcPr>
                  <w:tcW w:w="32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eastAsia" w:cs="Times New Roman"/>
                      <w:sz w:val="21"/>
                      <w:szCs w:val="21"/>
                      <w:highlight w:val="none"/>
                      <w:lang w:val="en-US" w:eastAsia="zh-CN"/>
                    </w:rPr>
                    <w:t>7.8233</w:t>
                  </w:r>
                </w:p>
              </w:tc>
              <w:tc>
                <w:tcPr>
                  <w:tcW w:w="30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DA001</w:t>
                  </w:r>
                </w:p>
              </w:tc>
              <w:tc>
                <w:tcPr>
                  <w:tcW w:w="280"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74"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365" w:type="pct"/>
                  <w:vMerge w:val="restar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水性防腐涂料挥发</w:t>
                  </w:r>
                </w:p>
              </w:tc>
              <w:tc>
                <w:tcPr>
                  <w:tcW w:w="15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无组织</w:t>
                  </w:r>
                </w:p>
              </w:tc>
              <w:tc>
                <w:tcPr>
                  <w:tcW w:w="264" w:type="pct"/>
                  <w:vMerge w:val="restar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lang w:val="en-US" w:eastAsia="zh-CN"/>
                    </w:rPr>
                    <w:t>VOC</w:t>
                  </w:r>
                  <w:r>
                    <w:rPr>
                      <w:rFonts w:hint="eastAsia" w:cs="Times New Roman"/>
                      <w:highlight w:val="none"/>
                      <w:vertAlign w:val="subscript"/>
                      <w:lang w:val="en-US" w:eastAsia="zh-CN"/>
                    </w:rPr>
                    <w:t>S</w:t>
                  </w:r>
                </w:p>
              </w:tc>
              <w:tc>
                <w:tcPr>
                  <w:tcW w:w="35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0.08</w:t>
                  </w:r>
                </w:p>
              </w:tc>
              <w:tc>
                <w:tcPr>
                  <w:tcW w:w="329"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w:t>
                  </w:r>
                  <w:r>
                    <w:rPr>
                      <w:rFonts w:hint="eastAsia"/>
                      <w:lang w:val="en-US" w:eastAsia="zh-CN"/>
                    </w:rPr>
                    <w:t>0667</w:t>
                  </w:r>
                </w:p>
              </w:tc>
              <w:tc>
                <w:tcPr>
                  <w:tcW w:w="27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c>
                <w:tcPr>
                  <w:tcW w:w="520"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密闭厂房</w:t>
                  </w:r>
                </w:p>
              </w:tc>
              <w:tc>
                <w:tcPr>
                  <w:tcW w:w="26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w:t>
                  </w:r>
                </w:p>
              </w:tc>
              <w:tc>
                <w:tcPr>
                  <w:tcW w:w="22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22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28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是</w:t>
                  </w:r>
                </w:p>
              </w:tc>
              <w:tc>
                <w:tcPr>
                  <w:tcW w:w="33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0.08</w:t>
                  </w:r>
                </w:p>
              </w:tc>
              <w:tc>
                <w:tcPr>
                  <w:tcW w:w="321"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0.067</w:t>
                  </w:r>
                </w:p>
              </w:tc>
              <w:tc>
                <w:tcPr>
                  <w:tcW w:w="32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30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280"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74"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365" w:type="pct"/>
                  <w:vMerge w:val="continue"/>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p>
              </w:tc>
              <w:tc>
                <w:tcPr>
                  <w:tcW w:w="156" w:type="pct"/>
                  <w:shd w:val="clear" w:color="auto" w:fill="auto"/>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有组织</w:t>
                  </w:r>
                </w:p>
              </w:tc>
              <w:tc>
                <w:tcPr>
                  <w:tcW w:w="264" w:type="pct"/>
                  <w:vMerge w:val="continue"/>
                  <w:shd w:val="clear" w:color="auto" w:fill="auto"/>
                  <w:vAlign w:val="center"/>
                </w:tcPr>
                <w:p>
                  <w:pPr>
                    <w:pStyle w:val="6"/>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1"/>
                      <w:highlight w:val="none"/>
                      <w:lang w:val="en-US" w:eastAsia="zh-CN" w:bidi="ar-SA"/>
                    </w:rPr>
                  </w:pPr>
                </w:p>
              </w:tc>
              <w:tc>
                <w:tcPr>
                  <w:tcW w:w="35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cs="Times New Roman"/>
                      <w:kern w:val="2"/>
                      <w:sz w:val="21"/>
                      <w:szCs w:val="21"/>
                      <w:highlight w:val="none"/>
                      <w:lang w:val="en-US" w:eastAsia="zh-CN" w:bidi="ar-SA"/>
                    </w:rPr>
                  </w:pPr>
                  <w:r>
                    <w:rPr>
                      <w:rFonts w:hint="eastAsia" w:cs="Times New Roman"/>
                      <w:kern w:val="2"/>
                      <w:sz w:val="21"/>
                      <w:szCs w:val="21"/>
                      <w:highlight w:val="none"/>
                      <w:lang w:val="en-US" w:eastAsia="zh-CN" w:bidi="ar-SA"/>
                    </w:rPr>
                    <w:t>0.72</w:t>
                  </w:r>
                </w:p>
              </w:tc>
              <w:tc>
                <w:tcPr>
                  <w:tcW w:w="329"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cs="Times New Roman"/>
                      <w:kern w:val="2"/>
                      <w:sz w:val="21"/>
                      <w:szCs w:val="21"/>
                      <w:highlight w:val="none"/>
                      <w:lang w:val="en-US" w:eastAsia="zh-CN" w:bidi="ar-SA"/>
                    </w:rPr>
                  </w:pPr>
                  <w:r>
                    <w:rPr>
                      <w:rFonts w:hint="eastAsia" w:cs="Times New Roman"/>
                      <w:kern w:val="2"/>
                      <w:sz w:val="21"/>
                      <w:szCs w:val="21"/>
                      <w:highlight w:val="none"/>
                      <w:lang w:val="en-US" w:eastAsia="zh-CN" w:bidi="ar-SA"/>
                    </w:rPr>
                    <w:t>0.6</w:t>
                  </w:r>
                </w:p>
              </w:tc>
              <w:tc>
                <w:tcPr>
                  <w:tcW w:w="27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kern w:val="2"/>
                      <w:sz w:val="21"/>
                      <w:szCs w:val="21"/>
                      <w:highlight w:val="none"/>
                      <w:lang w:val="en-US" w:eastAsia="zh-CN" w:bidi="ar-SA"/>
                    </w:rPr>
                  </w:pPr>
                  <w:r>
                    <w:rPr>
                      <w:rFonts w:hint="eastAsia" w:cs="Times New Roman"/>
                      <w:kern w:val="2"/>
                      <w:sz w:val="21"/>
                      <w:szCs w:val="21"/>
                      <w:highlight w:val="none"/>
                      <w:lang w:val="en-US" w:eastAsia="zh-CN" w:bidi="ar-SA"/>
                    </w:rPr>
                    <w:t>300</w:t>
                  </w:r>
                </w:p>
              </w:tc>
              <w:tc>
                <w:tcPr>
                  <w:tcW w:w="520"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二级活性炭吸附装置</w:t>
                  </w:r>
                  <w:r>
                    <w:rPr>
                      <w:rFonts w:hint="eastAsia" w:cs="Times New Roman"/>
                      <w:sz w:val="21"/>
                      <w:szCs w:val="21"/>
                      <w:highlight w:val="none"/>
                      <w:lang w:val="en-US" w:eastAsia="zh-CN"/>
                    </w:rPr>
                    <w:t>+</w:t>
                  </w:r>
                  <w:r>
                    <w:rPr>
                      <w:rFonts w:hint="default" w:ascii="Times New Roman" w:hAnsi="Times New Roman" w:cs="Times New Roman"/>
                      <w:sz w:val="21"/>
                      <w:szCs w:val="21"/>
                      <w:highlight w:val="none"/>
                      <w:lang w:val="en-US" w:eastAsia="zh-CN"/>
                    </w:rPr>
                    <w:t>15m高排气筒</w:t>
                  </w:r>
                </w:p>
              </w:tc>
              <w:tc>
                <w:tcPr>
                  <w:tcW w:w="26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2000</w:t>
                  </w:r>
                </w:p>
              </w:tc>
              <w:tc>
                <w:tcPr>
                  <w:tcW w:w="22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lang w:val="en-US" w:eastAsia="zh-CN"/>
                    </w:rPr>
                    <w:t>90</w:t>
                  </w:r>
                </w:p>
              </w:tc>
              <w:tc>
                <w:tcPr>
                  <w:tcW w:w="22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highlight w:val="none"/>
                      <w:lang w:val="en-US" w:eastAsia="zh-CN"/>
                    </w:rPr>
                    <w:t>75</w:t>
                  </w:r>
                </w:p>
              </w:tc>
              <w:tc>
                <w:tcPr>
                  <w:tcW w:w="282"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是</w:t>
                  </w:r>
                </w:p>
              </w:tc>
              <w:tc>
                <w:tcPr>
                  <w:tcW w:w="33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cs="Times New Roman"/>
                      <w:kern w:val="2"/>
                      <w:sz w:val="21"/>
                      <w:szCs w:val="21"/>
                      <w:highlight w:val="none"/>
                      <w:lang w:val="en-US" w:eastAsia="zh-CN" w:bidi="ar-SA"/>
                    </w:rPr>
                  </w:pPr>
                  <w:r>
                    <w:rPr>
                      <w:rFonts w:hint="eastAsia" w:cs="Times New Roman"/>
                      <w:kern w:val="2"/>
                      <w:sz w:val="21"/>
                      <w:szCs w:val="21"/>
                      <w:highlight w:val="none"/>
                      <w:lang w:val="en-US" w:eastAsia="zh-CN" w:bidi="ar-SA"/>
                    </w:rPr>
                    <w:t>0.18</w:t>
                  </w:r>
                </w:p>
              </w:tc>
              <w:tc>
                <w:tcPr>
                  <w:tcW w:w="321"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cs="Times New Roman"/>
                      <w:kern w:val="2"/>
                      <w:sz w:val="21"/>
                      <w:szCs w:val="21"/>
                      <w:highlight w:val="none"/>
                      <w:lang w:val="en-US" w:eastAsia="zh-CN" w:bidi="ar-SA"/>
                    </w:rPr>
                  </w:pPr>
                  <w:r>
                    <w:rPr>
                      <w:rFonts w:hint="eastAsia" w:cs="Times New Roman"/>
                      <w:kern w:val="2"/>
                      <w:sz w:val="21"/>
                      <w:szCs w:val="21"/>
                      <w:highlight w:val="none"/>
                      <w:lang w:val="en-US" w:eastAsia="zh-CN" w:bidi="ar-SA"/>
                    </w:rPr>
                    <w:t>0.15</w:t>
                  </w:r>
                </w:p>
              </w:tc>
              <w:tc>
                <w:tcPr>
                  <w:tcW w:w="323"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cs="Times New Roman"/>
                      <w:sz w:val="21"/>
                      <w:szCs w:val="21"/>
                      <w:highlight w:val="none"/>
                      <w:lang w:val="en-US" w:eastAsia="zh-CN"/>
                    </w:rPr>
                  </w:pPr>
                  <w:r>
                    <w:rPr>
                      <w:rFonts w:hint="eastAsia" w:cs="Times New Roman"/>
                      <w:sz w:val="21"/>
                      <w:szCs w:val="21"/>
                      <w:highlight w:val="none"/>
                      <w:lang w:val="en-US" w:eastAsia="zh-CN"/>
                    </w:rPr>
                    <w:t>75</w:t>
                  </w:r>
                </w:p>
              </w:tc>
              <w:tc>
                <w:tcPr>
                  <w:tcW w:w="306"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DA00</w:t>
                  </w:r>
                  <w:r>
                    <w:rPr>
                      <w:rFonts w:hint="eastAsia" w:cs="Times New Roman"/>
                      <w:sz w:val="21"/>
                      <w:szCs w:val="21"/>
                      <w:highlight w:val="none"/>
                      <w:lang w:val="en-US" w:eastAsia="zh-CN"/>
                    </w:rPr>
                    <w:t>2</w:t>
                  </w:r>
                </w:p>
              </w:tc>
              <w:tc>
                <w:tcPr>
                  <w:tcW w:w="280" w:type="pct"/>
                  <w:shd w:val="clear" w:color="auto" w:fill="auto"/>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120</w:t>
                  </w:r>
                </w:p>
              </w:tc>
            </w:tr>
          </w:tbl>
          <w:p>
            <w:pPr>
              <w:keepNext w:val="0"/>
              <w:keepLines w:val="0"/>
              <w:suppressLineNumbers w:val="0"/>
              <w:adjustRightInd w:val="0"/>
              <w:snapToGrid w:val="0"/>
              <w:spacing w:before="0" w:beforeAutospacing="0" w:after="0" w:afterAutospacing="0" w:line="520" w:lineRule="exact"/>
              <w:ind w:left="0" w:leftChars="0" w:right="0" w:firstLine="0" w:firstLineChars="0"/>
              <w:jc w:val="both"/>
              <w:rPr>
                <w:rFonts w:hint="default" w:ascii="Times New Roman" w:hAnsi="Times New Roman" w:cs="Times New Roman"/>
                <w:bCs/>
                <w:color w:val="000000"/>
                <w:sz w:val="28"/>
                <w:szCs w:val="28"/>
                <w:highlight w:val="none"/>
                <w:vertAlign w:val="baseline"/>
              </w:rPr>
            </w:pPr>
          </w:p>
        </w:tc>
      </w:tr>
    </w:tbl>
    <w:p>
      <w:pPr>
        <w:adjustRightInd w:val="0"/>
        <w:snapToGrid w:val="0"/>
        <w:spacing w:line="520" w:lineRule="exact"/>
        <w:jc w:val="center"/>
        <w:rPr>
          <w:rFonts w:hint="default" w:ascii="Times New Roman" w:hAnsi="Times New Roman" w:cs="Times New Roman"/>
          <w:bCs/>
          <w:color w:val="000000"/>
          <w:sz w:val="28"/>
          <w:szCs w:val="28"/>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8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897" w:hRule="atLeast"/>
        </w:trPr>
        <w:tc>
          <w:tcPr>
            <w:tcW w:w="664" w:type="dxa"/>
          </w:tcPr>
          <w:p>
            <w:pPr>
              <w:keepNext w:val="0"/>
              <w:keepLines w:val="0"/>
              <w:suppressLineNumbers w:val="0"/>
              <w:adjustRightInd w:val="0"/>
              <w:snapToGrid w:val="0"/>
              <w:spacing w:before="0" w:beforeAutospacing="0" w:after="0" w:afterAutospacing="0" w:line="520" w:lineRule="exact"/>
              <w:ind w:left="0" w:right="0"/>
              <w:jc w:val="center"/>
              <w:rPr>
                <w:rFonts w:hint="default" w:ascii="Times New Roman" w:hAnsi="Times New Roman" w:cs="Times New Roman"/>
                <w:bCs/>
                <w:color w:val="000000"/>
                <w:sz w:val="28"/>
                <w:szCs w:val="28"/>
                <w:highlight w:val="none"/>
                <w:vertAlign w:val="baseline"/>
              </w:rPr>
            </w:pPr>
          </w:p>
        </w:tc>
        <w:tc>
          <w:tcPr>
            <w:tcW w:w="8397" w:type="dxa"/>
          </w:tcPr>
          <w:p>
            <w:pPr>
              <w:pStyle w:val="3"/>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default" w:ascii="Times New Roman" w:hAnsi="Times New Roman" w:cs="Times New Roman"/>
              </w:rPr>
              <w:t>1</w:t>
            </w:r>
            <w:r>
              <w:rPr>
                <w:rFonts w:hint="default" w:ascii="Times New Roman" w:hAnsi="Times New Roman" w:cs="Times New Roman"/>
                <w:lang w:val="en-US" w:eastAsia="zh-CN"/>
              </w:rPr>
              <w:t xml:space="preserve">.2 </w:t>
            </w:r>
            <w:r>
              <w:rPr>
                <w:rFonts w:hint="default" w:ascii="Times New Roman" w:hAnsi="Times New Roman" w:cs="Times New Roman"/>
              </w:rPr>
              <w:t>项目排气筒信息</w:t>
            </w:r>
          </w:p>
          <w:p>
            <w:pPr>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cs="Times New Roman"/>
              </w:rPr>
              <w:t>本项目大气污染物排气口信息见表4-</w:t>
            </w:r>
            <w:r>
              <w:rPr>
                <w:rFonts w:hint="default" w:ascii="Times New Roman" w:hAnsi="Times New Roman" w:cs="Times New Roman"/>
                <w:lang w:val="en-US" w:eastAsia="zh-CN"/>
              </w:rPr>
              <w:t>2。</w:t>
            </w:r>
          </w:p>
          <w:p>
            <w:pPr>
              <w:pStyle w:val="5"/>
              <w:suppressLineNumbers w:val="0"/>
              <w:bidi w:val="0"/>
              <w:spacing w:before="0" w:beforeAutospacing="0" w:after="0" w:afterAutospacing="0"/>
              <w:ind w:left="0" w:right="0"/>
              <w:rPr>
                <w:rFonts w:hint="default" w:ascii="Times New Roman" w:hAnsi="Times New Roman" w:cs="Times New Roman"/>
                <w:lang w:val="zh-CN"/>
              </w:rPr>
            </w:pPr>
            <w:r>
              <w:rPr>
                <w:rFonts w:hint="default" w:ascii="Times New Roman" w:hAnsi="Times New Roman" w:cs="Times New Roman"/>
                <w:lang w:val="zh-CN"/>
              </w:rPr>
              <w:t>表</w:t>
            </w:r>
            <w:r>
              <w:rPr>
                <w:rFonts w:hint="default" w:ascii="Times New Roman" w:hAnsi="Times New Roman" w:cs="Times New Roman"/>
                <w:lang w:val="en-US" w:eastAsia="zh-CN"/>
              </w:rPr>
              <w:t xml:space="preserve">4-2  </w:t>
            </w:r>
            <w:r>
              <w:rPr>
                <w:rFonts w:hint="default" w:ascii="Times New Roman" w:hAnsi="Times New Roman" w:cs="Times New Roman"/>
                <w:lang w:val="zh-CN"/>
              </w:rPr>
              <w:t>废气排口情况一览表</w:t>
            </w:r>
          </w:p>
          <w:tbl>
            <w:tblPr>
              <w:tblStyle w:val="33"/>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869"/>
              <w:gridCol w:w="1826"/>
              <w:gridCol w:w="908"/>
              <w:gridCol w:w="1151"/>
              <w:gridCol w:w="99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pct"/>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排放口名称</w:t>
                  </w:r>
                </w:p>
              </w:tc>
              <w:tc>
                <w:tcPr>
                  <w:tcW w:w="532" w:type="pct"/>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排放口编号</w:t>
                  </w:r>
                </w:p>
              </w:tc>
              <w:tc>
                <w:tcPr>
                  <w:tcW w:w="1118" w:type="pct"/>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排放口坐标</w:t>
                  </w:r>
                </w:p>
              </w:tc>
              <w:tc>
                <w:tcPr>
                  <w:tcW w:w="556" w:type="pct"/>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排气筒高度/m</w:t>
                  </w:r>
                </w:p>
              </w:tc>
              <w:tc>
                <w:tcPr>
                  <w:tcW w:w="705" w:type="pct"/>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排气筒出口内径/m</w:t>
                  </w:r>
                </w:p>
              </w:tc>
              <w:tc>
                <w:tcPr>
                  <w:tcW w:w="611" w:type="pct"/>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烟气温度/℃</w:t>
                  </w:r>
                </w:p>
              </w:tc>
              <w:tc>
                <w:tcPr>
                  <w:tcW w:w="683" w:type="pct"/>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pct"/>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上料废气排放口</w:t>
                  </w:r>
                </w:p>
              </w:tc>
              <w:tc>
                <w:tcPr>
                  <w:tcW w:w="532" w:type="pct"/>
                  <w:vAlign w:val="center"/>
                </w:tcPr>
                <w:p>
                  <w:pPr>
                    <w:pStyle w:val="7"/>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cs="Times New Roman"/>
                    </w:rPr>
                    <w:t>DA00</w:t>
                  </w:r>
                  <w:r>
                    <w:rPr>
                      <w:rFonts w:hint="default" w:ascii="Times New Roman" w:hAnsi="Times New Roman" w:cs="Times New Roman"/>
                      <w:lang w:val="en-US" w:eastAsia="zh-CN"/>
                    </w:rPr>
                    <w:t>1</w:t>
                  </w:r>
                </w:p>
              </w:tc>
              <w:tc>
                <w:tcPr>
                  <w:tcW w:w="1118" w:type="pct"/>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zh-CN"/>
                    </w:rPr>
                  </w:pPr>
                  <w:r>
                    <w:rPr>
                      <w:rFonts w:hint="default" w:ascii="Times New Roman" w:hAnsi="Times New Roman" w:cs="Times New Roman"/>
                      <w:lang w:val="zh-CN"/>
                    </w:rPr>
                    <w:t>85°55′36.128″,</w:t>
                  </w:r>
                </w:p>
                <w:p>
                  <w:pPr>
                    <w:pStyle w:val="7"/>
                    <w:keepNext w:val="0"/>
                    <w:keepLines w:val="0"/>
                    <w:suppressLineNumbers w:val="0"/>
                    <w:bidi w:val="0"/>
                    <w:spacing w:before="0" w:beforeAutospacing="0" w:after="0" w:afterAutospacing="0"/>
                    <w:ind w:left="0" w:right="0"/>
                    <w:rPr>
                      <w:rFonts w:hint="default" w:ascii="Times New Roman" w:hAnsi="Times New Roman" w:cs="Times New Roman"/>
                      <w:lang w:val="zh-CN"/>
                    </w:rPr>
                  </w:pPr>
                  <w:r>
                    <w:rPr>
                      <w:rFonts w:hint="default" w:ascii="Times New Roman" w:hAnsi="Times New Roman" w:cs="Times New Roman"/>
                      <w:lang w:val="zh-CN"/>
                    </w:rPr>
                    <w:t>41°50′50.074″</w:t>
                  </w:r>
                </w:p>
              </w:tc>
              <w:tc>
                <w:tcPr>
                  <w:tcW w:w="556" w:type="pct"/>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15米</w:t>
                  </w:r>
                </w:p>
              </w:tc>
              <w:tc>
                <w:tcPr>
                  <w:tcW w:w="705" w:type="pct"/>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0.4</w:t>
                  </w:r>
                </w:p>
              </w:tc>
              <w:tc>
                <w:tcPr>
                  <w:tcW w:w="611" w:type="pct"/>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rPr>
                    <w:t>25</w:t>
                  </w:r>
                </w:p>
              </w:tc>
              <w:tc>
                <w:tcPr>
                  <w:tcW w:w="683" w:type="pct"/>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pct"/>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水性防腐涂料</w:t>
                  </w:r>
                  <w:r>
                    <w:rPr>
                      <w:rFonts w:hint="eastAsia" w:cs="Times New Roman"/>
                      <w:lang w:val="en-US" w:eastAsia="zh-CN"/>
                    </w:rPr>
                    <w:t>有机废气</w:t>
                  </w:r>
                  <w:r>
                    <w:rPr>
                      <w:rFonts w:hint="default" w:ascii="Times New Roman" w:hAnsi="Times New Roman" w:cs="Times New Roman"/>
                      <w:lang w:val="en-US" w:eastAsia="zh-CN"/>
                    </w:rPr>
                    <w:t>排放口</w:t>
                  </w:r>
                </w:p>
              </w:tc>
              <w:tc>
                <w:tcPr>
                  <w:tcW w:w="532" w:type="pct"/>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rPr>
                  </w:pPr>
                  <w:r>
                    <w:rPr>
                      <w:rFonts w:hint="default" w:ascii="Times New Roman" w:hAnsi="Times New Roman" w:cs="Times New Roman"/>
                      <w:lang w:val="en-US" w:eastAsia="zh-CN"/>
                    </w:rPr>
                    <w:t>DA00</w:t>
                  </w:r>
                  <w:r>
                    <w:rPr>
                      <w:rFonts w:hint="eastAsia" w:cs="Times New Roman"/>
                      <w:lang w:val="en-US" w:eastAsia="zh-CN"/>
                    </w:rPr>
                    <w:t>2</w:t>
                  </w:r>
                </w:p>
              </w:tc>
              <w:tc>
                <w:tcPr>
                  <w:tcW w:w="1118" w:type="pct"/>
                  <w:vAlign w:val="center"/>
                </w:tcPr>
                <w:p>
                  <w:pPr>
                    <w:pStyle w:val="7"/>
                    <w:keepNext w:val="0"/>
                    <w:keepLines w:val="0"/>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default" w:ascii="Times New Roman" w:hAnsi="Times New Roman" w:cs="Times New Roman"/>
                      <w:lang w:val="zh-CN"/>
                    </w:rPr>
                    <w:t>85°54′17.889″</w:t>
                  </w:r>
                  <w:r>
                    <w:rPr>
                      <w:rFonts w:hint="eastAsia" w:cs="Times New Roman"/>
                      <w:lang w:val="zh-CN"/>
                    </w:rPr>
                    <w:t>，</w:t>
                  </w:r>
                </w:p>
                <w:p>
                  <w:pPr>
                    <w:pStyle w:val="7"/>
                    <w:keepNext w:val="0"/>
                    <w:keepLines w:val="0"/>
                    <w:suppressLineNumbers w:val="0"/>
                    <w:bidi w:val="0"/>
                    <w:spacing w:before="0" w:beforeAutospacing="0" w:after="0" w:afterAutospacing="0"/>
                    <w:ind w:left="0" w:right="0"/>
                    <w:rPr>
                      <w:rFonts w:hint="default" w:ascii="Times New Roman" w:hAnsi="Times New Roman" w:cs="Times New Roman"/>
                      <w:lang w:val="zh-CN"/>
                    </w:rPr>
                  </w:pPr>
                  <w:r>
                    <w:rPr>
                      <w:rFonts w:hint="default" w:ascii="Times New Roman" w:hAnsi="Times New Roman" w:cs="Times New Roman"/>
                      <w:lang w:val="zh-CN"/>
                    </w:rPr>
                    <w:t>41°51′4.5095″</w:t>
                  </w:r>
                </w:p>
              </w:tc>
              <w:tc>
                <w:tcPr>
                  <w:tcW w:w="908" w:type="dxa"/>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15米</w:t>
                  </w:r>
                </w:p>
              </w:tc>
              <w:tc>
                <w:tcPr>
                  <w:tcW w:w="1151" w:type="dxa"/>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0.4</w:t>
                  </w:r>
                </w:p>
              </w:tc>
              <w:tc>
                <w:tcPr>
                  <w:tcW w:w="998" w:type="dxa"/>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rPr>
                  </w:pPr>
                  <w:r>
                    <w:rPr>
                      <w:rFonts w:hint="default" w:ascii="Times New Roman" w:hAnsi="Times New Roman" w:cs="Times New Roman"/>
                    </w:rPr>
                    <w:t>25</w:t>
                  </w:r>
                </w:p>
              </w:tc>
              <w:tc>
                <w:tcPr>
                  <w:tcW w:w="1116" w:type="dxa"/>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rPr>
                  </w:pPr>
                  <w:r>
                    <w:rPr>
                      <w:rFonts w:hint="default" w:ascii="Times New Roman" w:hAnsi="Times New Roman" w:cs="Times New Roman"/>
                    </w:rPr>
                    <w:t>一般排放口</w:t>
                  </w:r>
                </w:p>
              </w:tc>
            </w:tr>
          </w:tbl>
          <w:p>
            <w:pPr>
              <w:pStyle w:val="3"/>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default" w:ascii="Times New Roman" w:hAnsi="Times New Roman" w:cs="Times New Roman"/>
                <w:lang w:val="en-US" w:eastAsia="zh-CN"/>
              </w:rPr>
              <w:t>1.3 非正常工况废气排放</w:t>
            </w:r>
          </w:p>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在非正常工况下，因环保设施未正常运转，废气处置装置无法发挥最大效率，去除效率</w:t>
            </w:r>
            <w:r>
              <w:rPr>
                <w:rFonts w:hint="eastAsia" w:cs="Times New Roman"/>
                <w:lang w:val="en-US" w:eastAsia="zh-CN"/>
              </w:rPr>
              <w:t>降至</w:t>
            </w:r>
            <w:r>
              <w:rPr>
                <w:rFonts w:hint="default" w:ascii="Times New Roman" w:hAnsi="Times New Roman" w:cs="Times New Roman"/>
                <w:lang w:val="en-US" w:eastAsia="zh-CN"/>
              </w:rPr>
              <w:t>设计效率的</w:t>
            </w:r>
            <w:r>
              <w:rPr>
                <w:rFonts w:hint="eastAsia" w:cs="Times New Roman"/>
                <w:lang w:val="en-US" w:eastAsia="zh-CN"/>
              </w:rPr>
              <w:t>一半</w:t>
            </w:r>
            <w:r>
              <w:rPr>
                <w:rFonts w:hint="default" w:ascii="Times New Roman" w:hAnsi="Times New Roman" w:cs="Times New Roman"/>
                <w:lang w:val="en-US" w:eastAsia="zh-CN"/>
              </w:rPr>
              <w:t>，则在非正常工况下本项目排放情况见下表。</w:t>
            </w:r>
          </w:p>
          <w:p>
            <w:pPr>
              <w:pStyle w:val="5"/>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表4-3  非正常工况大气污染物排放情况</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54"/>
              <w:gridCol w:w="1283"/>
              <w:gridCol w:w="898"/>
              <w:gridCol w:w="1125"/>
              <w:gridCol w:w="960"/>
              <w:gridCol w:w="1320"/>
              <w:gridCol w:w="1290"/>
              <w:gridCol w:w="44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0" w:hRule="atLeast"/>
                <w:jc w:val="center"/>
              </w:trPr>
              <w:tc>
                <w:tcPr>
                  <w:tcW w:w="522"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污染物种类</w:t>
                  </w:r>
                </w:p>
              </w:tc>
              <w:tc>
                <w:tcPr>
                  <w:tcW w:w="785"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位置</w:t>
                  </w:r>
                </w:p>
              </w:tc>
              <w:tc>
                <w:tcPr>
                  <w:tcW w:w="549"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频次</w:t>
                  </w:r>
                </w:p>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（次/a）</w:t>
                  </w:r>
                </w:p>
              </w:tc>
              <w:tc>
                <w:tcPr>
                  <w:tcW w:w="688"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持续时间（h/次）</w:t>
                  </w:r>
                </w:p>
              </w:tc>
              <w:tc>
                <w:tcPr>
                  <w:tcW w:w="587"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去除效率（%）</w:t>
                  </w:r>
                </w:p>
              </w:tc>
              <w:tc>
                <w:tcPr>
                  <w:tcW w:w="807"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排放速率（kg/h）</w:t>
                  </w:r>
                </w:p>
              </w:tc>
              <w:tc>
                <w:tcPr>
                  <w:tcW w:w="789"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排放量（kg）</w:t>
                  </w:r>
                </w:p>
              </w:tc>
              <w:tc>
                <w:tcPr>
                  <w:tcW w:w="269"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522" w:type="pct"/>
                  <w:vMerge w:val="restar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颗粒物</w:t>
                  </w:r>
                </w:p>
              </w:tc>
              <w:tc>
                <w:tcPr>
                  <w:tcW w:w="785" w:type="pct"/>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default" w:ascii="Times New Roman" w:hAnsi="Times New Roman" w:cs="Times New Roman"/>
                      <w:sz w:val="21"/>
                      <w:szCs w:val="21"/>
                      <w:highlight w:val="none"/>
                      <w:lang w:val="en-US" w:eastAsia="zh-CN"/>
                    </w:rPr>
                    <w:t>1#水泥筒仓</w:t>
                  </w:r>
                </w:p>
              </w:tc>
              <w:tc>
                <w:tcPr>
                  <w:tcW w:w="549"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2</w:t>
                  </w:r>
                </w:p>
              </w:tc>
              <w:tc>
                <w:tcPr>
                  <w:tcW w:w="688"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0.5</w:t>
                  </w:r>
                </w:p>
              </w:tc>
              <w:tc>
                <w:tcPr>
                  <w:tcW w:w="587"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49.85</w:t>
                  </w:r>
                </w:p>
              </w:tc>
              <w:tc>
                <w:tcPr>
                  <w:tcW w:w="807" w:type="pct"/>
                  <w:noWrap/>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6.018</w:t>
                  </w:r>
                </w:p>
              </w:tc>
              <w:tc>
                <w:tcPr>
                  <w:tcW w:w="789" w:type="pct"/>
                  <w:noWrap/>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6.018</w:t>
                  </w:r>
                </w:p>
              </w:tc>
              <w:tc>
                <w:tcPr>
                  <w:tcW w:w="269" w:type="pct"/>
                  <w:vMerge w:val="restar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停工检修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77" w:hRule="atLeast"/>
                <w:jc w:val="center"/>
              </w:trPr>
              <w:tc>
                <w:tcPr>
                  <w:tcW w:w="522" w:type="pct"/>
                  <w:vMerge w:val="continue"/>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785" w:type="pct"/>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sz w:val="21"/>
                      <w:szCs w:val="21"/>
                      <w:highlight w:val="none"/>
                      <w:lang w:val="en-US" w:eastAsia="zh-CN"/>
                    </w:rPr>
                    <w:t>2#水泥筒仓</w:t>
                  </w:r>
                </w:p>
              </w:tc>
              <w:tc>
                <w:tcPr>
                  <w:tcW w:w="549" w:type="pct"/>
                  <w:shd w:val="clear" w:color="auto" w:fill="auto"/>
                  <w:noWrap/>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688" w:type="pct"/>
                  <w:shd w:val="clear" w:color="auto" w:fill="auto"/>
                  <w:noWrap/>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lang w:val="en-US" w:eastAsia="zh-CN"/>
                    </w:rPr>
                    <w:t>0.5</w:t>
                  </w:r>
                </w:p>
              </w:tc>
              <w:tc>
                <w:tcPr>
                  <w:tcW w:w="587" w:type="pct"/>
                  <w:shd w:val="clear" w:color="auto" w:fill="auto"/>
                  <w:noWrap/>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lang w:val="en-US" w:eastAsia="zh-CN"/>
                    </w:rPr>
                    <w:t>49.85</w:t>
                  </w:r>
                </w:p>
              </w:tc>
              <w:tc>
                <w:tcPr>
                  <w:tcW w:w="807" w:type="pct"/>
                  <w:shd w:val="clear" w:color="auto" w:fill="auto"/>
                  <w:noWrap/>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6.018</w:t>
                  </w:r>
                </w:p>
              </w:tc>
              <w:tc>
                <w:tcPr>
                  <w:tcW w:w="789" w:type="pct"/>
                  <w:shd w:val="clear" w:color="auto" w:fill="auto"/>
                  <w:noWrap/>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6.018</w:t>
                  </w:r>
                </w:p>
              </w:tc>
              <w:tc>
                <w:tcPr>
                  <w:tcW w:w="269" w:type="pct"/>
                  <w:vMerge w:val="continue"/>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72" w:hRule="atLeast"/>
                <w:jc w:val="center"/>
              </w:trPr>
              <w:tc>
                <w:tcPr>
                  <w:tcW w:w="522" w:type="pct"/>
                  <w:vMerge w:val="continue"/>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785"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上料口</w:t>
                  </w:r>
                </w:p>
              </w:tc>
              <w:tc>
                <w:tcPr>
                  <w:tcW w:w="549" w:type="pct"/>
                  <w:noWrap/>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688"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0.5</w:t>
                  </w:r>
                </w:p>
              </w:tc>
              <w:tc>
                <w:tcPr>
                  <w:tcW w:w="587"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49.85</w:t>
                  </w:r>
                </w:p>
              </w:tc>
              <w:tc>
                <w:tcPr>
                  <w:tcW w:w="807" w:type="pct"/>
                  <w:noWrap/>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eastAsia="宋体" w:cs="Times New Roman"/>
                      <w:i w:val="0"/>
                      <w:iCs w:val="0"/>
                      <w:color w:val="000000"/>
                      <w:sz w:val="22"/>
                      <w:szCs w:val="22"/>
                      <w:u w:val="none"/>
                    </w:rPr>
                    <w:t>6.5389</w:t>
                  </w:r>
                </w:p>
              </w:tc>
              <w:tc>
                <w:tcPr>
                  <w:tcW w:w="789" w:type="pct"/>
                  <w:noWrap/>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yellow"/>
                      <w:lang w:val="en-US" w:eastAsia="zh-CN"/>
                    </w:rPr>
                  </w:pPr>
                  <w:r>
                    <w:rPr>
                      <w:rFonts w:hint="default" w:ascii="Times New Roman" w:hAnsi="Times New Roman" w:eastAsia="宋体" w:cs="Times New Roman"/>
                      <w:i w:val="0"/>
                      <w:iCs w:val="0"/>
                      <w:color w:val="000000"/>
                      <w:sz w:val="22"/>
                      <w:szCs w:val="22"/>
                      <w:u w:val="none"/>
                    </w:rPr>
                    <w:t>6.5389</w:t>
                  </w:r>
                </w:p>
              </w:tc>
              <w:tc>
                <w:tcPr>
                  <w:tcW w:w="269" w:type="pct"/>
                  <w:vMerge w:val="continue"/>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90" w:hRule="atLeast"/>
                <w:jc w:val="center"/>
              </w:trPr>
              <w:tc>
                <w:tcPr>
                  <w:tcW w:w="522" w:type="pct"/>
                  <w:vMerge w:val="continue"/>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785"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移动式烟气净化器</w:t>
                  </w:r>
                </w:p>
              </w:tc>
              <w:tc>
                <w:tcPr>
                  <w:tcW w:w="549" w:type="pct"/>
                  <w:noWrap/>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688"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0.5</w:t>
                  </w:r>
                </w:p>
              </w:tc>
              <w:tc>
                <w:tcPr>
                  <w:tcW w:w="587"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47.5</w:t>
                  </w:r>
                </w:p>
              </w:tc>
              <w:tc>
                <w:tcPr>
                  <w:tcW w:w="807" w:type="pct"/>
                  <w:noWrap/>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0.0065</w:t>
                  </w:r>
                </w:p>
              </w:tc>
              <w:tc>
                <w:tcPr>
                  <w:tcW w:w="789" w:type="pct"/>
                  <w:noWrap/>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yellow"/>
                      <w:lang w:val="en-US" w:eastAsia="zh-CN"/>
                    </w:rPr>
                  </w:pPr>
                  <w:r>
                    <w:rPr>
                      <w:rFonts w:hint="eastAsia" w:cs="Times New Roman"/>
                      <w:highlight w:val="none"/>
                      <w:lang w:val="en-US" w:eastAsia="zh-CN"/>
                    </w:rPr>
                    <w:t>0.0065</w:t>
                  </w:r>
                </w:p>
              </w:tc>
              <w:tc>
                <w:tcPr>
                  <w:tcW w:w="269" w:type="pct"/>
                  <w:vMerge w:val="continue"/>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90" w:hRule="atLeast"/>
                <w:jc w:val="center"/>
              </w:trPr>
              <w:tc>
                <w:tcPr>
                  <w:tcW w:w="522"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非甲烷总烃</w:t>
                  </w:r>
                </w:p>
              </w:tc>
              <w:tc>
                <w:tcPr>
                  <w:tcW w:w="785"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二级活性炭吸附装置</w:t>
                  </w:r>
                </w:p>
              </w:tc>
              <w:tc>
                <w:tcPr>
                  <w:tcW w:w="549" w:type="pct"/>
                  <w:noWrap/>
                  <w:vAlign w:val="center"/>
                </w:tcPr>
                <w:p>
                  <w:pPr>
                    <w:pStyle w:val="6"/>
                    <w:suppressLineNumbers w:val="0"/>
                    <w:bidi w:val="0"/>
                    <w:spacing w:before="0" w:beforeAutospacing="0" w:after="0" w:afterAutospacing="0"/>
                    <w:ind w:left="0" w:leftChars="0" w:right="0" w:rightChars="0" w:firstLine="0" w:firstLineChars="0"/>
                    <w:rPr>
                      <w:rFonts w:hint="eastAsia"/>
                      <w:highlight w:val="none"/>
                      <w:lang w:val="en-US" w:eastAsia="zh-CN"/>
                    </w:rPr>
                  </w:pPr>
                  <w:r>
                    <w:rPr>
                      <w:rFonts w:hint="eastAsia"/>
                      <w:highlight w:val="none"/>
                      <w:lang w:val="en-US" w:eastAsia="zh-CN"/>
                    </w:rPr>
                    <w:t>2</w:t>
                  </w:r>
                </w:p>
              </w:tc>
              <w:tc>
                <w:tcPr>
                  <w:tcW w:w="688" w:type="pct"/>
                  <w:noWrap/>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0.5</w:t>
                  </w:r>
                </w:p>
              </w:tc>
              <w:tc>
                <w:tcPr>
                  <w:tcW w:w="587"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eastAsia" w:cs="Times New Roman"/>
                      <w:highlight w:val="none"/>
                      <w:lang w:val="en-US" w:eastAsia="zh-CN"/>
                    </w:rPr>
                    <w:t>37.5</w:t>
                  </w:r>
                </w:p>
              </w:tc>
              <w:tc>
                <w:tcPr>
                  <w:tcW w:w="807" w:type="pct"/>
                  <w:noWrap/>
                  <w:vAlign w:val="center"/>
                </w:tcPr>
                <w:p>
                  <w:pPr>
                    <w:pStyle w:val="6"/>
                    <w:suppressLineNumbers w:val="0"/>
                    <w:bidi w:val="0"/>
                    <w:spacing w:before="0" w:beforeAutospacing="0" w:after="0" w:afterAutospacing="0"/>
                    <w:ind w:left="0" w:right="0"/>
                    <w:rPr>
                      <w:rFonts w:hint="default" w:cs="Times New Roman"/>
                      <w:highlight w:val="none"/>
                      <w:lang w:val="en-US" w:eastAsia="zh-CN"/>
                    </w:rPr>
                  </w:pPr>
                  <w:r>
                    <w:rPr>
                      <w:rFonts w:hint="eastAsia" w:cs="Times New Roman"/>
                      <w:highlight w:val="none"/>
                      <w:lang w:val="en-US" w:eastAsia="zh-CN"/>
                    </w:rPr>
                    <w:t>0.375</w:t>
                  </w:r>
                </w:p>
              </w:tc>
              <w:tc>
                <w:tcPr>
                  <w:tcW w:w="789" w:type="pct"/>
                  <w:noWrap/>
                  <w:vAlign w:val="center"/>
                </w:tcPr>
                <w:p>
                  <w:pPr>
                    <w:pStyle w:val="6"/>
                    <w:suppressLineNumbers w:val="0"/>
                    <w:bidi w:val="0"/>
                    <w:spacing w:before="0" w:beforeAutospacing="0" w:after="0" w:afterAutospacing="0"/>
                    <w:ind w:left="0" w:leftChars="0" w:right="0" w:rightChars="0" w:firstLine="0" w:firstLineChars="0"/>
                    <w:rPr>
                      <w:rFonts w:hint="default" w:cs="Times New Roman"/>
                      <w:highlight w:val="none"/>
                      <w:lang w:val="en-US" w:eastAsia="zh-CN"/>
                    </w:rPr>
                  </w:pPr>
                  <w:r>
                    <w:rPr>
                      <w:rFonts w:hint="eastAsia" w:cs="Times New Roman"/>
                      <w:highlight w:val="none"/>
                      <w:lang w:val="en-US" w:eastAsia="zh-CN"/>
                    </w:rPr>
                    <w:t>0.375</w:t>
                  </w:r>
                </w:p>
              </w:tc>
              <w:tc>
                <w:tcPr>
                  <w:tcW w:w="269" w:type="pct"/>
                  <w:vMerge w:val="continue"/>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r>
          </w:tbl>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根据分析，非正常工况下，建设单位应及时停止生产，对环保设备进行检修作业。</w:t>
            </w:r>
          </w:p>
          <w:p>
            <w:pPr>
              <w:pStyle w:val="3"/>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default" w:ascii="Times New Roman" w:hAnsi="Times New Roman" w:cs="Times New Roman"/>
                <w:lang w:val="en-US" w:eastAsia="zh-CN"/>
              </w:rPr>
              <w:t>1.4 废气治理措施可行性分析</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（1）物料储存粉尘防治措施可行性分析</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①原料堆场</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lang w:val="en-US" w:eastAsia="zh-CN"/>
              </w:rPr>
              <w:t>依据《工业料堆场扬尘整治规范》（DB65/T4061-2017），本项目原料堆场判定为Ⅰ类堆场。本项目采取原料堆场全封闭的治理措施，同时项目所用砂石料均由供应厂家完成水洗、筛分处理，原料含尘量低、颗粒粒径较大，自然状态下不易起尘，可从源头减少堆存环节的扬尘产生。</w:t>
            </w:r>
            <w:r>
              <w:rPr>
                <w:rFonts w:hint="default" w:ascii="Times New Roman" w:hAnsi="Times New Roman" w:cs="Times New Roman"/>
              </w:rPr>
              <w:t>原料堆场在采取</w:t>
            </w:r>
            <w:r>
              <w:rPr>
                <w:rFonts w:hint="default" w:ascii="Times New Roman" w:hAnsi="Times New Roman" w:cs="Times New Roman"/>
                <w:lang w:val="en-US" w:eastAsia="zh-CN"/>
              </w:rPr>
              <w:t>封闭式堆场措施</w:t>
            </w:r>
            <w:r>
              <w:rPr>
                <w:rFonts w:hint="default" w:ascii="Times New Roman" w:hAnsi="Times New Roman" w:cs="Times New Roman"/>
              </w:rPr>
              <w:t>后，能实现厂界无组织颗粒物达标排放，符合《工业料堆场扬尘整治规范》（DB65/T4061-2017）</w:t>
            </w:r>
            <w:r>
              <w:rPr>
                <w:rFonts w:hint="default" w:ascii="Times New Roman" w:hAnsi="Times New Roman" w:cs="Times New Roman"/>
                <w:lang w:val="en-US" w:eastAsia="zh-CN"/>
              </w:rPr>
              <w:t>和《排污许可证申请与核发技术规范 水泥工业》（HJ 847—2017）表4</w:t>
            </w:r>
            <w:r>
              <w:rPr>
                <w:rFonts w:hint="default" w:ascii="Times New Roman" w:hAnsi="Times New Roman" w:cs="Times New Roman"/>
              </w:rPr>
              <w:t>中基本要求</w:t>
            </w:r>
            <w:r>
              <w:rPr>
                <w:rFonts w:hint="default" w:ascii="Times New Roman" w:hAnsi="Times New Roman" w:cs="Times New Roman"/>
                <w:lang w:eastAsia="zh-CN"/>
              </w:rPr>
              <w:t>，</w:t>
            </w:r>
            <w:r>
              <w:rPr>
                <w:rFonts w:hint="default" w:ascii="Times New Roman" w:hAnsi="Times New Roman" w:cs="Times New Roman"/>
                <w:lang w:val="en-US" w:eastAsia="zh-CN"/>
              </w:rPr>
              <w:t>为可行技术</w:t>
            </w:r>
            <w:r>
              <w:rPr>
                <w:rFonts w:hint="default" w:ascii="Times New Roman" w:hAnsi="Times New Roman" w:cs="Times New Roman"/>
              </w:rPr>
              <w:t>。</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②水泥筒仓</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水泥筒仓采用密闭形式，</w:t>
            </w:r>
            <w:r>
              <w:rPr>
                <w:rFonts w:hint="default" w:ascii="Times New Roman" w:hAnsi="Times New Roman" w:cs="Times New Roman"/>
                <w:lang w:val="en-US" w:eastAsia="zh-CN"/>
              </w:rPr>
              <w:t>筒仓仓顶滤筒式过滤器</w:t>
            </w:r>
            <w:r>
              <w:rPr>
                <w:rFonts w:hint="default" w:ascii="Times New Roman" w:hAnsi="Times New Roman" w:cs="Times New Roman"/>
              </w:rPr>
              <w:t>，</w:t>
            </w:r>
            <w:r>
              <w:rPr>
                <w:rFonts w:hint="default" w:ascii="Times New Roman" w:hAnsi="Times New Roman" w:cs="Times New Roman"/>
                <w:lang w:val="en-US" w:eastAsia="zh-CN"/>
              </w:rPr>
              <w:t>含尘气体进入过滤器后，气流速度降低，大颗粒粉尘因重力沉降；细微粉尘随气流通过滤筒表面时，被滤料截留，实现气固分离。净化后的气体经出风口达标排放，根据《排污许可证申请与核发技术规范 水泥工业》（HJ 847—2017）附录B，本项目采取滤筒式过滤器是可行性技术。</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（2）上料颗粒物防治措施可行性分析</w:t>
            </w:r>
          </w:p>
          <w:p>
            <w:pPr>
              <w:keepNext w:val="0"/>
              <w:keepLines w:val="0"/>
              <w:suppressLineNumbers w:val="0"/>
              <w:bidi w:val="0"/>
              <w:spacing w:before="0" w:beforeAutospacing="0" w:after="0" w:afterAutospacing="0"/>
              <w:ind w:left="0" w:right="0"/>
              <w:rPr>
                <w:rFonts w:hint="default" w:ascii="Times New Roman" w:hAnsi="Times New Roman" w:cs="Times New Roman"/>
                <w:lang w:eastAsia="zh-CN"/>
              </w:rPr>
            </w:pPr>
            <w:r>
              <w:rPr>
                <w:rFonts w:hint="default" w:ascii="Times New Roman" w:hAnsi="Times New Roman" w:cs="Times New Roman"/>
              </w:rPr>
              <w:t>本项目</w:t>
            </w:r>
            <w:r>
              <w:rPr>
                <w:rFonts w:hint="default" w:ascii="Times New Roman" w:hAnsi="Times New Roman" w:cs="Times New Roman"/>
                <w:lang w:val="en-US" w:eastAsia="zh-CN"/>
              </w:rPr>
              <w:t>上料产生的粉尘经集气罩收集后</w:t>
            </w:r>
            <w:r>
              <w:rPr>
                <w:rFonts w:hint="default" w:ascii="Times New Roman" w:hAnsi="Times New Roman" w:cs="Times New Roman"/>
              </w:rPr>
              <w:t>，</w:t>
            </w:r>
            <w:r>
              <w:rPr>
                <w:rFonts w:hint="default" w:ascii="Times New Roman" w:hAnsi="Times New Roman" w:cs="Times New Roman"/>
                <w:lang w:val="en-US" w:eastAsia="zh-CN"/>
              </w:rPr>
              <w:t>由袋式</w:t>
            </w:r>
            <w:r>
              <w:rPr>
                <w:rFonts w:hint="default" w:ascii="Times New Roman" w:hAnsi="Times New Roman" w:cs="Times New Roman"/>
                <w:lang w:eastAsia="zh-CN"/>
              </w:rPr>
              <w:t>除尘器</w:t>
            </w:r>
            <w:r>
              <w:rPr>
                <w:rFonts w:hint="default" w:ascii="Times New Roman" w:hAnsi="Times New Roman" w:cs="Times New Roman"/>
              </w:rPr>
              <w:t>处理后</w:t>
            </w:r>
            <w:r>
              <w:rPr>
                <w:rFonts w:hint="default" w:ascii="Times New Roman" w:hAnsi="Times New Roman" w:cs="Times New Roman"/>
                <w:lang w:val="en-US" w:eastAsia="zh-CN"/>
              </w:rPr>
              <w:t>通过15m高排气筒排放</w:t>
            </w:r>
            <w:r>
              <w:rPr>
                <w:rFonts w:hint="default" w:ascii="Times New Roman" w:hAnsi="Times New Roman" w:cs="Times New Roman"/>
                <w:lang w:eastAsia="zh-CN"/>
              </w:rPr>
              <w:t>，</w:t>
            </w:r>
            <w:r>
              <w:rPr>
                <w:rFonts w:hint="default" w:ascii="Times New Roman" w:hAnsi="Times New Roman" w:cs="Times New Roman"/>
                <w:lang w:val="en-US" w:eastAsia="zh-CN"/>
              </w:rPr>
              <w:t>根据《排污许可证申请与核发技术规范 水泥工业》（HJ 847—2017）附录B</w:t>
            </w:r>
            <w:r>
              <w:rPr>
                <w:rFonts w:hint="default" w:ascii="Times New Roman" w:hAnsi="Times New Roman" w:cs="Times New Roman"/>
                <w:lang w:eastAsia="zh-CN"/>
              </w:rPr>
              <w:t>，</w:t>
            </w:r>
            <w:r>
              <w:rPr>
                <w:rFonts w:hint="default" w:ascii="Times New Roman" w:hAnsi="Times New Roman" w:cs="Times New Roman"/>
                <w:lang w:val="en-US" w:eastAsia="zh-CN"/>
              </w:rPr>
              <w:t>本项目上料口</w:t>
            </w:r>
            <w:r>
              <w:rPr>
                <w:rFonts w:hint="default" w:ascii="Times New Roman" w:hAnsi="Times New Roman" w:cs="Times New Roman"/>
                <w:lang w:eastAsia="zh-CN"/>
              </w:rPr>
              <w:t>配套一套</w:t>
            </w:r>
            <w:r>
              <w:rPr>
                <w:rFonts w:hint="default" w:ascii="Times New Roman" w:hAnsi="Times New Roman" w:cs="Times New Roman"/>
                <w:lang w:val="en-US" w:eastAsia="zh-CN"/>
              </w:rPr>
              <w:t>袋式</w:t>
            </w:r>
            <w:r>
              <w:rPr>
                <w:rFonts w:hint="default" w:ascii="Times New Roman" w:hAnsi="Times New Roman" w:cs="Times New Roman"/>
                <w:lang w:eastAsia="zh-CN"/>
              </w:rPr>
              <w:t>除尘器处理</w:t>
            </w:r>
            <w:r>
              <w:rPr>
                <w:rFonts w:hint="default" w:ascii="Times New Roman" w:hAnsi="Times New Roman" w:cs="Times New Roman"/>
                <w:lang w:val="en-US" w:eastAsia="zh-CN"/>
              </w:rPr>
              <w:t>通过15m高排气筒排放</w:t>
            </w:r>
            <w:r>
              <w:rPr>
                <w:rFonts w:hint="default" w:ascii="Times New Roman" w:hAnsi="Times New Roman" w:cs="Times New Roman"/>
                <w:lang w:eastAsia="zh-CN"/>
              </w:rPr>
              <w:t>，</w:t>
            </w:r>
            <w:r>
              <w:rPr>
                <w:rFonts w:hint="default" w:ascii="Times New Roman" w:hAnsi="Times New Roman" w:cs="Times New Roman"/>
                <w:lang w:val="en-US" w:eastAsia="zh-CN"/>
              </w:rPr>
              <w:t>该</w:t>
            </w:r>
            <w:r>
              <w:rPr>
                <w:rFonts w:hint="default" w:ascii="Times New Roman" w:hAnsi="Times New Roman" w:cs="Times New Roman"/>
              </w:rPr>
              <w:t>治理措施可行</w:t>
            </w:r>
            <w:r>
              <w:rPr>
                <w:rFonts w:hint="default" w:ascii="Times New Roman" w:hAnsi="Times New Roman" w:cs="Times New Roman"/>
                <w:lang w:eastAsia="zh-CN"/>
              </w:rPr>
              <w:t>。</w:t>
            </w:r>
          </w:p>
          <w:p>
            <w:pPr>
              <w:pStyle w:val="3"/>
              <w:keepLines w:val="0"/>
              <w:suppressLineNumbers w:val="0"/>
              <w:bidi w:val="0"/>
              <w:spacing w:before="0" w:beforeAutospacing="0" w:after="0" w:afterAutospacing="0"/>
              <w:ind w:right="0"/>
              <w:rPr>
                <w:rFonts w:hint="eastAsia"/>
                <w:b w:val="0"/>
                <w:bCs w:val="0"/>
                <w:lang w:val="en-US" w:eastAsia="zh-CN"/>
              </w:rPr>
            </w:pPr>
            <w:r>
              <w:rPr>
                <w:rFonts w:hint="eastAsia"/>
                <w:b w:val="0"/>
                <w:bCs w:val="0"/>
                <w:lang w:val="en-US" w:eastAsia="zh-CN"/>
              </w:rPr>
              <w:t>(3)水性防腐涂料有机废气防治措施可行性分析</w:t>
            </w:r>
          </w:p>
          <w:p>
            <w:pPr>
              <w:keepNext w:val="0"/>
              <w:keepLines w:val="0"/>
              <w:suppressLineNumbers w:val="0"/>
              <w:spacing w:before="0" w:beforeAutospacing="0" w:after="0" w:afterAutospacing="0"/>
              <w:ind w:left="0" w:right="0"/>
              <w:rPr>
                <w:rFonts w:hint="eastAsia"/>
                <w:lang w:val="en-US" w:eastAsia="zh-CN"/>
              </w:rPr>
            </w:pPr>
            <w:r>
              <w:rPr>
                <w:rFonts w:hint="eastAsia" w:ascii="宋体" w:hAnsi="宋体" w:eastAsia="宋体" w:cs="宋体"/>
                <w:sz w:val="24"/>
                <w:szCs w:val="24"/>
                <w:lang w:val="en-US" w:eastAsia="zh-CN"/>
              </w:rPr>
              <w:t>本项目有机废气经</w:t>
            </w:r>
            <w:r>
              <w:rPr>
                <w:rFonts w:hint="default" w:ascii="宋体" w:hAnsi="宋体" w:eastAsia="宋体" w:cs="宋体"/>
                <w:sz w:val="24"/>
                <w:szCs w:val="24"/>
              </w:rPr>
              <w:t>二级活性炭吸附装置</w:t>
            </w:r>
            <w:r>
              <w:rPr>
                <w:rFonts w:hint="eastAsia" w:ascii="宋体" w:hAnsi="宋体" w:eastAsia="宋体" w:cs="宋体"/>
                <w:sz w:val="24"/>
                <w:szCs w:val="24"/>
                <w:lang w:val="en-US" w:eastAsia="zh-CN"/>
              </w:rPr>
              <w:t>处理后</w:t>
            </w:r>
            <w:r>
              <w:rPr>
                <w:rFonts w:hint="default" w:ascii="宋体" w:hAnsi="宋体" w:eastAsia="宋体" w:cs="宋体"/>
                <w:sz w:val="24"/>
                <w:szCs w:val="24"/>
              </w:rPr>
              <w:t>，排放浓度满足《大气污染物综合排放标准》（GB 16297-1996）</w:t>
            </w:r>
            <w:r>
              <w:rPr>
                <w:rFonts w:hint="eastAsia" w:ascii="宋体" w:hAnsi="宋体" w:eastAsia="宋体" w:cs="宋体"/>
                <w:sz w:val="24"/>
                <w:szCs w:val="24"/>
                <w:lang w:val="en-US" w:eastAsia="zh-CN"/>
              </w:rPr>
              <w:t>限值</w:t>
            </w:r>
            <w:r>
              <w:rPr>
                <w:rFonts w:hint="eastAsia" w:ascii="宋体" w:hAnsi="宋体" w:eastAsia="宋体" w:cs="宋体"/>
                <w:sz w:val="24"/>
                <w:szCs w:val="24"/>
                <w:lang w:eastAsia="zh-CN"/>
              </w:rPr>
              <w:t>，</w:t>
            </w:r>
            <w:r>
              <w:rPr>
                <w:rFonts w:hint="eastAsia"/>
                <w:lang w:val="en-US" w:eastAsia="zh-CN"/>
              </w:rPr>
              <w:t>故本项目采取活性炭吸附技术可行。</w:t>
            </w:r>
          </w:p>
          <w:p>
            <w:pPr>
              <w:pStyle w:val="3"/>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default" w:ascii="Times New Roman" w:hAnsi="Times New Roman" w:cs="Times New Roman"/>
                <w:lang w:val="en-US" w:eastAsia="zh-CN"/>
              </w:rPr>
              <w:t>1.5 大气环境影响分析</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本项目废气主要源于物料搅拌、水泥及原料储存、上料等环节产生的颗粒物</w:t>
            </w:r>
            <w:r>
              <w:rPr>
                <w:rFonts w:hint="eastAsia" w:cs="Times New Roman"/>
                <w:lang w:val="en-US" w:eastAsia="zh-CN"/>
              </w:rPr>
              <w:t>和水性防腐涂料涂刷产生的有机废气</w:t>
            </w:r>
            <w:r>
              <w:rPr>
                <w:rFonts w:hint="default" w:ascii="Times New Roman" w:hAnsi="Times New Roman" w:cs="Times New Roman"/>
                <w:lang w:val="en-US" w:eastAsia="zh-CN"/>
              </w:rPr>
              <w:t>。经核算，项目颗粒物排放量规模较小，针对各排放环节已采取针对性治理措施：上料口设置三面一顶硬质围挡并配合软帘封闭，配套集气罩对该区域粉尘进行收集，收集的粉尘经袋式除尘器处理后，由15米高排气筒有组织排放；水泥筒仓颗粒物经滤筒式过滤器处理降低排放浓度后，以无组织形式排放；原料堆场设置于封闭式车间内，可有效控制颗粒物无组织排放</w:t>
            </w:r>
            <w:r>
              <w:rPr>
                <w:rFonts w:hint="eastAsia" w:cs="Times New Roman"/>
                <w:lang w:val="en-US" w:eastAsia="zh-CN"/>
              </w:rPr>
              <w:t>；水性防腐涂料刷涂产生有机废气，设置集气罩+二级活性炭吸附装置处理后由15m排气筒</w:t>
            </w:r>
            <w:r>
              <w:rPr>
                <w:rFonts w:hint="default" w:ascii="Times New Roman" w:hAnsi="Times New Roman" w:cs="Times New Roman"/>
                <w:lang w:val="en-US" w:eastAsia="zh-CN"/>
              </w:rPr>
              <w:t>。上述废气治理措施技术成熟、基本有效可行，能够有效削减污染物排放强度，不会对区域大气环境质量及周边居民生产生活造成明显不良影响。综上，本项目对大气环境的影响程度较小，环境影响处于可接受范围。</w:t>
            </w:r>
          </w:p>
          <w:p>
            <w:pPr>
              <w:pStyle w:val="4"/>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rPr>
              <w:t>1.</w:t>
            </w:r>
            <w:r>
              <w:rPr>
                <w:rFonts w:hint="default" w:ascii="Times New Roman" w:hAnsi="Times New Roman" w:cs="Times New Roman"/>
                <w:lang w:val="en-US" w:eastAsia="zh-CN"/>
              </w:rPr>
              <w:t>6 监测要求</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为保障运营期间各污染物排放达标，建设单位应根据《排污单位自行监测技术指南 总则》（HJ819-2017）</w:t>
            </w:r>
            <w:r>
              <w:rPr>
                <w:rFonts w:hint="eastAsia" w:cs="Times New Roman"/>
                <w:lang w:val="en-US" w:eastAsia="zh-CN"/>
              </w:rPr>
              <w:t>和</w:t>
            </w:r>
            <w:r>
              <w:rPr>
                <w:rFonts w:hint="default" w:ascii="Times New Roman" w:hAnsi="Times New Roman" w:cs="Times New Roman"/>
              </w:rPr>
              <w:t>《排污单位自行监测技术指南 水泥工业》（HJ848-2017）中的要求，定期开展污染物排放监测，监测内容及执行标准见</w:t>
            </w:r>
            <w:r>
              <w:rPr>
                <w:rFonts w:hint="default" w:ascii="Times New Roman" w:hAnsi="Times New Roman" w:cs="Times New Roman"/>
                <w:lang w:val="en-US" w:eastAsia="zh-CN"/>
              </w:rPr>
              <w:t>下</w:t>
            </w:r>
            <w:r>
              <w:rPr>
                <w:rFonts w:hint="default" w:ascii="Times New Roman" w:hAnsi="Times New Roman" w:cs="Times New Roman"/>
              </w:rPr>
              <w:t>表。</w:t>
            </w:r>
          </w:p>
          <w:p>
            <w:pPr>
              <w:pStyle w:val="5"/>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 xml:space="preserve">4-4  </w:t>
            </w:r>
            <w:r>
              <w:rPr>
                <w:rFonts w:hint="default" w:ascii="Times New Roman" w:hAnsi="Times New Roman" w:cs="Times New Roman"/>
              </w:rPr>
              <w:t>运营期监测一览表</w:t>
            </w:r>
          </w:p>
          <w:tbl>
            <w:tblPr>
              <w:tblStyle w:val="33"/>
              <w:tblW w:w="813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92"/>
              <w:gridCol w:w="1767"/>
              <w:gridCol w:w="846"/>
              <w:gridCol w:w="1104"/>
              <w:gridCol w:w="342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92"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环境要素</w:t>
                  </w:r>
                </w:p>
              </w:tc>
              <w:tc>
                <w:tcPr>
                  <w:tcW w:w="1767"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监测内容</w:t>
                  </w:r>
                </w:p>
              </w:tc>
              <w:tc>
                <w:tcPr>
                  <w:tcW w:w="846"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监测点位</w:t>
                  </w:r>
                </w:p>
              </w:tc>
              <w:tc>
                <w:tcPr>
                  <w:tcW w:w="1104"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监测频次</w:t>
                  </w:r>
                </w:p>
              </w:tc>
              <w:tc>
                <w:tcPr>
                  <w:tcW w:w="3421"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执行标准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992" w:type="dxa"/>
                  <w:vMerge w:val="restar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cs="Times New Roman"/>
                      <w:lang w:val="en-US" w:eastAsia="zh-CN"/>
                    </w:rPr>
                    <w:t>有组织废气</w:t>
                  </w:r>
                </w:p>
              </w:tc>
              <w:tc>
                <w:tcPr>
                  <w:tcW w:w="1767" w:type="dxa"/>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颗粒物</w:t>
                  </w:r>
                </w:p>
              </w:tc>
              <w:tc>
                <w:tcPr>
                  <w:tcW w:w="846"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DA001</w:t>
                  </w:r>
                </w:p>
              </w:tc>
              <w:tc>
                <w:tcPr>
                  <w:tcW w:w="1104"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rPr>
                    <w:t>1次/</w:t>
                  </w:r>
                  <w:r>
                    <w:rPr>
                      <w:rFonts w:hint="default" w:ascii="Times New Roman" w:hAnsi="Times New Roman" w:cs="Times New Roman"/>
                      <w:lang w:val="en-US" w:eastAsia="zh-CN"/>
                    </w:rPr>
                    <w:t>两年</w:t>
                  </w:r>
                </w:p>
              </w:tc>
              <w:tc>
                <w:tcPr>
                  <w:tcW w:w="3421"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《水泥工业大气污染物排放标准》（含2025年修改单）（GB4915-2013）表</w:t>
                  </w:r>
                  <w:r>
                    <w:rPr>
                      <w:rFonts w:hint="default" w:ascii="Times New Roman" w:hAnsi="Times New Roman" w:cs="Times New Roman"/>
                      <w:lang w:val="en-US" w:eastAsia="zh-CN"/>
                    </w:rPr>
                    <w:t>2大气污染物特别排放限值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992" w:type="dxa"/>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1767" w:type="dxa"/>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eastAsia" w:cs="Times New Roman"/>
                      <w:lang w:val="en-US" w:eastAsia="zh-CN"/>
                    </w:rPr>
                    <w:t>非甲烷总烃</w:t>
                  </w:r>
                </w:p>
              </w:tc>
              <w:tc>
                <w:tcPr>
                  <w:tcW w:w="846"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DA002</w:t>
                  </w:r>
                </w:p>
              </w:tc>
              <w:tc>
                <w:tcPr>
                  <w:tcW w:w="1104" w:type="dxa"/>
                  <w:noWrap w:val="0"/>
                  <w:vAlign w:val="center"/>
                </w:tcPr>
                <w:p>
                  <w:pPr>
                    <w:pStyle w:val="6"/>
                    <w:suppressLineNumbers w:val="0"/>
                    <w:bidi w:val="0"/>
                    <w:spacing w:before="0" w:beforeAutospacing="0" w:after="0" w:afterAutospacing="0"/>
                    <w:ind w:left="0" w:right="0"/>
                    <w:rPr>
                      <w:rFonts w:hint="default"/>
                    </w:rPr>
                  </w:pPr>
                  <w:r>
                    <w:rPr>
                      <w:rFonts w:hint="default"/>
                    </w:rPr>
                    <w:t>1次/年</w:t>
                  </w:r>
                </w:p>
              </w:tc>
              <w:tc>
                <w:tcPr>
                  <w:tcW w:w="3421" w:type="dxa"/>
                  <w:noWrap w:val="0"/>
                  <w:vAlign w:val="center"/>
                </w:tcPr>
                <w:p>
                  <w:pPr>
                    <w:pStyle w:val="6"/>
                    <w:suppressLineNumbers w:val="0"/>
                    <w:bidi w:val="0"/>
                    <w:spacing w:before="0" w:beforeAutospacing="0" w:after="0" w:afterAutospacing="0"/>
                    <w:ind w:left="0" w:right="0"/>
                    <w:rPr>
                      <w:rFonts w:hint="default"/>
                    </w:rPr>
                  </w:pPr>
                  <w:r>
                    <w:rPr>
                      <w:rFonts w:hint="eastAsia"/>
                      <w:lang w:val="en-US" w:eastAsia="zh-CN"/>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92" w:type="dxa"/>
                  <w:vMerge w:val="restar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无组织废气</w:t>
                  </w:r>
                </w:p>
              </w:tc>
              <w:tc>
                <w:tcPr>
                  <w:tcW w:w="1767" w:type="dxa"/>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颗粒物</w:t>
                  </w:r>
                </w:p>
              </w:tc>
              <w:tc>
                <w:tcPr>
                  <w:tcW w:w="846"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eastAsia="zh-CN"/>
                    </w:rPr>
                  </w:pPr>
                  <w:r>
                    <w:rPr>
                      <w:rFonts w:hint="default" w:ascii="Times New Roman" w:hAnsi="Times New Roman" w:cs="Times New Roman"/>
                      <w:lang w:val="en-US" w:eastAsia="zh-CN"/>
                    </w:rPr>
                    <w:t>厂界</w:t>
                  </w:r>
                </w:p>
              </w:tc>
              <w:tc>
                <w:tcPr>
                  <w:tcW w:w="1104"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1次/季度</w:t>
                  </w:r>
                </w:p>
              </w:tc>
              <w:tc>
                <w:tcPr>
                  <w:tcW w:w="3421"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《水泥工业大气污染物排放标准》（含2025年修改单）（GB4915-2013）表3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4" w:hRule="atLeast"/>
                <w:jc w:val="center"/>
              </w:trPr>
              <w:tc>
                <w:tcPr>
                  <w:tcW w:w="992" w:type="dxa"/>
                  <w:vMerge w:val="continue"/>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1767" w:type="dxa"/>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cs="Times New Roman"/>
                      <w:lang w:val="en-US" w:eastAsia="zh-CN"/>
                    </w:rPr>
                    <w:t>非甲烷总烃</w:t>
                  </w:r>
                </w:p>
              </w:tc>
              <w:tc>
                <w:tcPr>
                  <w:tcW w:w="846"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厂界</w:t>
                  </w:r>
                </w:p>
              </w:tc>
              <w:tc>
                <w:tcPr>
                  <w:tcW w:w="1104" w:type="dxa"/>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次/年</w:t>
                  </w:r>
                </w:p>
              </w:tc>
              <w:tc>
                <w:tcPr>
                  <w:tcW w:w="3421" w:type="dxa"/>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4" w:hRule="atLeast"/>
                <w:jc w:val="center"/>
              </w:trPr>
              <w:tc>
                <w:tcPr>
                  <w:tcW w:w="992" w:type="dxa"/>
                  <w:vMerge w:val="continue"/>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1767" w:type="dxa"/>
                  <w:shd w:val="clear" w:color="auto" w:fill="auto"/>
                  <w:noWrap/>
                  <w:vAlign w:val="center"/>
                </w:tcPr>
                <w:p>
                  <w:pPr>
                    <w:pStyle w:val="6"/>
                    <w:suppressLineNumbers w:val="0"/>
                    <w:bidi w:val="0"/>
                    <w:spacing w:before="0" w:beforeAutospacing="0" w:after="0" w:afterAutospacing="0"/>
                    <w:ind w:left="0" w:right="0"/>
                    <w:rPr>
                      <w:rFonts w:hint="default"/>
                      <w:lang w:val="en-US" w:eastAsia="zh-CN"/>
                    </w:rPr>
                  </w:pPr>
                  <w:r>
                    <w:rPr>
                      <w:rFonts w:hint="eastAsia"/>
                    </w:rPr>
                    <w:t>非甲烷总烃</w:t>
                  </w:r>
                </w:p>
              </w:tc>
              <w:tc>
                <w:tcPr>
                  <w:tcW w:w="846" w:type="dxa"/>
                  <w:shd w:val="clear" w:color="auto" w:fill="auto"/>
                  <w:noWrap w:val="0"/>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厂内</w:t>
                  </w:r>
                </w:p>
              </w:tc>
              <w:tc>
                <w:tcPr>
                  <w:tcW w:w="1104" w:type="dxa"/>
                  <w:shd w:val="clear" w:color="auto" w:fill="auto"/>
                  <w:noWrap w:val="0"/>
                  <w:vAlign w:val="center"/>
                </w:tcPr>
                <w:p>
                  <w:pPr>
                    <w:pStyle w:val="6"/>
                    <w:suppressLineNumbers w:val="0"/>
                    <w:bidi w:val="0"/>
                    <w:spacing w:before="0" w:beforeAutospacing="0" w:after="0" w:afterAutospacing="0"/>
                    <w:ind w:left="0" w:right="0"/>
                    <w:rPr>
                      <w:rFonts w:hint="eastAsia" w:eastAsia="宋体"/>
                      <w:lang w:val="en-US" w:eastAsia="zh-CN"/>
                    </w:rPr>
                  </w:pPr>
                  <w:r>
                    <w:rPr>
                      <w:rFonts w:hint="eastAsia"/>
                    </w:rPr>
                    <w:t>1次/</w:t>
                  </w:r>
                  <w:r>
                    <w:rPr>
                      <w:rFonts w:hint="eastAsia"/>
                      <w:lang w:val="en-US" w:eastAsia="zh-CN"/>
                    </w:rPr>
                    <w:t>年</w:t>
                  </w:r>
                </w:p>
              </w:tc>
              <w:tc>
                <w:tcPr>
                  <w:tcW w:w="3421" w:type="dxa"/>
                  <w:shd w:val="clear" w:color="auto" w:fill="auto"/>
                  <w:noWrap w:val="0"/>
                  <w:vAlign w:val="center"/>
                </w:tcPr>
                <w:p>
                  <w:pPr>
                    <w:pStyle w:val="6"/>
                    <w:suppressLineNumbers w:val="0"/>
                    <w:bidi w:val="0"/>
                    <w:spacing w:before="0" w:beforeAutospacing="0" w:after="0" w:afterAutospacing="0"/>
                    <w:ind w:left="0" w:right="0"/>
                    <w:rPr>
                      <w:rFonts w:hint="default"/>
                      <w:lang w:val="en-US" w:eastAsia="zh-CN"/>
                    </w:rPr>
                  </w:pPr>
                  <w:r>
                    <w:rPr>
                      <w:rFonts w:hint="eastAsia"/>
                    </w:rPr>
                    <w:t>《挥发性有机物无组织排放控制标准》（GB37822-2019）</w:t>
                  </w:r>
                </w:p>
              </w:tc>
            </w:tr>
          </w:tbl>
          <w:p>
            <w:pPr>
              <w:pStyle w:val="3"/>
              <w:keepLines w:val="0"/>
              <w:suppressLineNumbers w:val="0"/>
              <w:bidi w:val="0"/>
              <w:spacing w:before="0" w:beforeAutospacing="0" w:after="0" w:afterAutospacing="0"/>
              <w:ind w:right="0"/>
              <w:rPr>
                <w:rFonts w:hint="default" w:ascii="Times New Roman" w:hAnsi="Times New Roman" w:cs="Times New Roman"/>
              </w:rPr>
            </w:pPr>
            <w:r>
              <w:rPr>
                <w:rFonts w:hint="default" w:ascii="Times New Roman" w:hAnsi="Times New Roman" w:cs="Times New Roman"/>
                <w:lang w:val="en-US" w:eastAsia="zh-CN"/>
              </w:rPr>
              <w:t xml:space="preserve">2 </w:t>
            </w:r>
            <w:r>
              <w:rPr>
                <w:rFonts w:hint="default" w:ascii="Times New Roman" w:hAnsi="Times New Roman" w:cs="Times New Roman"/>
              </w:rPr>
              <w:t>运营期水环境影响和保护措施</w:t>
            </w:r>
          </w:p>
          <w:p>
            <w:pPr>
              <w:pStyle w:val="4"/>
              <w:keepNext w:val="0"/>
              <w:keepLines w:val="0"/>
              <w:suppressLineNumbers w:val="0"/>
              <w:bidi w:val="0"/>
              <w:ind w:left="0" w:right="0"/>
              <w:rPr>
                <w:rFonts w:hint="default" w:ascii="Times New Roman" w:hAnsi="Times New Roman" w:cs="Times New Roman"/>
                <w:lang w:val="en-US" w:eastAsia="zh-CN"/>
              </w:rPr>
            </w:pPr>
            <w:r>
              <w:rPr>
                <w:rFonts w:hint="default" w:ascii="Times New Roman" w:hAnsi="Times New Roman" w:cs="Times New Roman"/>
                <w:lang w:val="en-US" w:eastAsia="zh-CN"/>
              </w:rPr>
              <w:t>2.1 废水治理措施</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用水主要为员工生活用水和生产用水。生产用水经沉淀收集后，用于成品养护，不外排。生活污水经化粪池处理后经厂区总排口排入园区排水管网进入铁门关市污水处理厂进行集中处理。本项目生活污水中主要污染物的产生及排放情况见下表。</w:t>
            </w:r>
          </w:p>
          <w:p>
            <w:pPr>
              <w:pStyle w:val="5"/>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 xml:space="preserve">表4-5  </w:t>
            </w:r>
            <w:r>
              <w:rPr>
                <w:rFonts w:hint="eastAsia" w:cs="Times New Roman"/>
                <w:lang w:val="en-US" w:eastAsia="zh-CN"/>
              </w:rPr>
              <w:t>生活</w:t>
            </w:r>
            <w:r>
              <w:rPr>
                <w:rFonts w:hint="default" w:ascii="Times New Roman" w:hAnsi="Times New Roman" w:cs="Times New Roman"/>
                <w:lang w:val="en-US" w:eastAsia="zh-CN"/>
              </w:rPr>
              <w:t>污水污染物排放量</w:t>
            </w:r>
          </w:p>
          <w:tbl>
            <w:tblPr>
              <w:tblStyle w:val="3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8"/>
              <w:gridCol w:w="671"/>
              <w:gridCol w:w="707"/>
              <w:gridCol w:w="866"/>
              <w:gridCol w:w="670"/>
              <w:gridCol w:w="684"/>
              <w:gridCol w:w="504"/>
              <w:gridCol w:w="627"/>
              <w:gridCol w:w="874"/>
              <w:gridCol w:w="735"/>
              <w:gridCol w:w="402"/>
              <w:gridCol w:w="451"/>
              <w:gridCol w:w="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jc w:val="center"/>
              </w:trPr>
              <w:tc>
                <w:tcPr>
                  <w:tcW w:w="286" w:type="pct"/>
                  <w:vMerge w:val="restar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产排污环节</w:t>
                  </w:r>
                </w:p>
              </w:tc>
              <w:tc>
                <w:tcPr>
                  <w:tcW w:w="411" w:type="pct"/>
                  <w:vMerge w:val="restar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废水产生量（t/a）</w:t>
                  </w:r>
                </w:p>
              </w:tc>
              <w:tc>
                <w:tcPr>
                  <w:tcW w:w="433" w:type="pct"/>
                  <w:vMerge w:val="restar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污染物</w:t>
                  </w:r>
                </w:p>
              </w:tc>
              <w:tc>
                <w:tcPr>
                  <w:tcW w:w="940" w:type="pct"/>
                  <w:gridSpan w:val="2"/>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产生情况</w:t>
                  </w:r>
                </w:p>
              </w:tc>
              <w:tc>
                <w:tcPr>
                  <w:tcW w:w="418" w:type="pct"/>
                  <w:vMerge w:val="restar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废水排放量（t/a）</w:t>
                  </w:r>
                </w:p>
              </w:tc>
              <w:tc>
                <w:tcPr>
                  <w:tcW w:w="308" w:type="pct"/>
                  <w:vMerge w:val="restar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治理措施</w:t>
                  </w:r>
                </w:p>
              </w:tc>
              <w:tc>
                <w:tcPr>
                  <w:tcW w:w="384" w:type="pct"/>
                  <w:vMerge w:val="restar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污染物</w:t>
                  </w:r>
                </w:p>
              </w:tc>
              <w:tc>
                <w:tcPr>
                  <w:tcW w:w="985" w:type="pct"/>
                  <w:gridSpan w:val="2"/>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排放情况</w:t>
                  </w:r>
                </w:p>
              </w:tc>
              <w:tc>
                <w:tcPr>
                  <w:tcW w:w="246" w:type="pct"/>
                  <w:vMerge w:val="restar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去除效率%</w:t>
                  </w:r>
                </w:p>
              </w:tc>
              <w:tc>
                <w:tcPr>
                  <w:tcW w:w="276" w:type="pct"/>
                  <w:vMerge w:val="restar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排放方式</w:t>
                  </w:r>
                </w:p>
              </w:tc>
              <w:tc>
                <w:tcPr>
                  <w:tcW w:w="308" w:type="pct"/>
                  <w:vMerge w:val="restar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286"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p>
              </w:tc>
              <w:tc>
                <w:tcPr>
                  <w:tcW w:w="411"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p>
              </w:tc>
              <w:tc>
                <w:tcPr>
                  <w:tcW w:w="433"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p>
              </w:tc>
              <w:tc>
                <w:tcPr>
                  <w:tcW w:w="530" w:type="pc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产生浓度mg/L</w:t>
                  </w:r>
                </w:p>
              </w:tc>
              <w:tc>
                <w:tcPr>
                  <w:tcW w:w="410" w:type="pc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产生量t/a</w:t>
                  </w:r>
                </w:p>
              </w:tc>
              <w:tc>
                <w:tcPr>
                  <w:tcW w:w="418"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p>
              </w:tc>
              <w:tc>
                <w:tcPr>
                  <w:tcW w:w="308"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p>
              </w:tc>
              <w:tc>
                <w:tcPr>
                  <w:tcW w:w="384"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p>
              </w:tc>
              <w:tc>
                <w:tcPr>
                  <w:tcW w:w="535" w:type="pc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排放浓度mg/L</w:t>
                  </w:r>
                </w:p>
              </w:tc>
              <w:tc>
                <w:tcPr>
                  <w:tcW w:w="450" w:type="pc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排放量t/a</w:t>
                  </w:r>
                </w:p>
              </w:tc>
              <w:tc>
                <w:tcPr>
                  <w:tcW w:w="246"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p>
              </w:tc>
              <w:tc>
                <w:tcPr>
                  <w:tcW w:w="276"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p>
              </w:tc>
              <w:tc>
                <w:tcPr>
                  <w:tcW w:w="308"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286" w:type="pct"/>
                  <w:vMerge w:val="restar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cs="Times New Roman"/>
                      <w:lang w:val="en-US" w:eastAsia="zh-CN"/>
                    </w:rPr>
                    <w:t>生活污水</w:t>
                  </w:r>
                </w:p>
              </w:tc>
              <w:tc>
                <w:tcPr>
                  <w:tcW w:w="411" w:type="pct"/>
                  <w:vMerge w:val="restar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153.6</w:t>
                  </w:r>
                </w:p>
              </w:tc>
              <w:tc>
                <w:tcPr>
                  <w:tcW w:w="433" w:type="pc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COD</w:t>
                  </w:r>
                </w:p>
              </w:tc>
              <w:tc>
                <w:tcPr>
                  <w:tcW w:w="530" w:type="pct"/>
                  <w:tcBorders>
                    <w:tl2br w:val="nil"/>
                    <w:tr2bl w:val="nil"/>
                  </w:tcBorders>
                  <w:noWrap w:val="0"/>
                  <w:vAlign w:val="center"/>
                </w:tcPr>
                <w:p>
                  <w:pPr>
                    <w:pStyle w:val="6"/>
                    <w:suppressLineNumbers w:val="0"/>
                    <w:bidi w:val="0"/>
                    <w:spacing w:before="0" w:beforeAutospacing="0" w:after="0" w:afterAutospacing="0" w:line="240" w:lineRule="auto"/>
                    <w:ind w:left="0" w:leftChars="0" w:right="0" w:rightChars="0" w:firstLine="0" w:firstLineChars="0"/>
                    <w:rPr>
                      <w:rFonts w:hint="default" w:ascii="Times New Roman" w:hAnsi="Times New Roman" w:cs="Times New Roman"/>
                      <w:highlight w:val="none"/>
                    </w:rPr>
                  </w:pPr>
                  <w:r>
                    <w:rPr>
                      <w:rFonts w:hint="default" w:ascii="Times New Roman" w:hAnsi="Times New Roman" w:cs="Times New Roman"/>
                      <w:highlight w:val="none"/>
                      <w:lang w:val="en-US" w:eastAsia="zh-CN"/>
                    </w:rPr>
                    <w:t>250</w:t>
                  </w:r>
                </w:p>
              </w:tc>
              <w:tc>
                <w:tcPr>
                  <w:tcW w:w="410" w:type="pct"/>
                  <w:tcBorders>
                    <w:tl2br w:val="nil"/>
                    <w:tr2bl w:val="nil"/>
                  </w:tcBorders>
                  <w:noWrap w:val="0"/>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0.0384</w:t>
                  </w:r>
                </w:p>
              </w:tc>
              <w:tc>
                <w:tcPr>
                  <w:tcW w:w="418" w:type="pct"/>
                  <w:vMerge w:val="restart"/>
                  <w:tcBorders>
                    <w:tl2br w:val="nil"/>
                    <w:tr2bl w:val="nil"/>
                  </w:tcBorders>
                  <w:noWrap w:val="0"/>
                  <w:vAlign w:val="center"/>
                </w:tcPr>
                <w:p>
                  <w:pPr>
                    <w:pStyle w:val="6"/>
                    <w:suppressLineNumbers w:val="0"/>
                    <w:bidi w:val="0"/>
                    <w:spacing w:before="0" w:beforeAutospacing="0" w:after="0" w:afterAutospacing="0"/>
                    <w:ind w:left="0" w:right="0" w:firstLine="0" w:firstLineChars="0"/>
                    <w:rPr>
                      <w:rFonts w:hint="default" w:ascii="Times New Roman" w:hAnsi="Times New Roman" w:cs="Times New Roman"/>
                      <w:highlight w:val="none"/>
                      <w:lang w:val="en-US"/>
                    </w:rPr>
                  </w:pPr>
                  <w:r>
                    <w:rPr>
                      <w:rFonts w:hint="default" w:ascii="Times New Roman" w:hAnsi="Times New Roman" w:cs="Times New Roman"/>
                      <w:highlight w:val="none"/>
                      <w:lang w:val="en-US" w:eastAsia="zh-CN"/>
                    </w:rPr>
                    <w:t>153.6</w:t>
                  </w:r>
                </w:p>
              </w:tc>
              <w:tc>
                <w:tcPr>
                  <w:tcW w:w="308" w:type="pct"/>
                  <w:vMerge w:val="restar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化粪池</w:t>
                  </w:r>
                </w:p>
              </w:tc>
              <w:tc>
                <w:tcPr>
                  <w:tcW w:w="384" w:type="pc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COD</w:t>
                  </w:r>
                </w:p>
              </w:tc>
              <w:tc>
                <w:tcPr>
                  <w:tcW w:w="535" w:type="pct"/>
                  <w:tcBorders>
                    <w:tl2br w:val="nil"/>
                    <w:tr2bl w:val="nil"/>
                  </w:tcBorders>
                  <w:noWrap w:val="0"/>
                  <w:vAlign w:val="center"/>
                </w:tcPr>
                <w:p>
                  <w:pPr>
                    <w:pStyle w:val="6"/>
                    <w:suppressLineNumbers w:val="0"/>
                    <w:bidi w:val="0"/>
                    <w:spacing w:before="0" w:beforeAutospacing="0" w:after="0" w:afterAutospacing="0" w:line="240" w:lineRule="auto"/>
                    <w:ind w:left="0" w:leftChars="0" w:right="0" w:rightChars="0" w:firstLine="0" w:firstLineChars="0"/>
                    <w:rPr>
                      <w:rFonts w:hint="default" w:ascii="Times New Roman" w:hAnsi="Times New Roman" w:cs="Times New Roman"/>
                      <w:highlight w:val="none"/>
                      <w:lang w:val="en-US"/>
                    </w:rPr>
                  </w:pPr>
                  <w:r>
                    <w:rPr>
                      <w:rFonts w:hint="eastAsia" w:cs="Times New Roman"/>
                      <w:highlight w:val="none"/>
                      <w:lang w:val="en-US" w:eastAsia="zh-CN"/>
                    </w:rPr>
                    <w:t>212.5</w:t>
                  </w:r>
                </w:p>
              </w:tc>
              <w:tc>
                <w:tcPr>
                  <w:tcW w:w="735" w:type="dxa"/>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rPr>
                      <w:rFonts w:hint="default"/>
                    </w:rPr>
                  </w:pPr>
                  <w:r>
                    <w:rPr>
                      <w:rFonts w:hint="eastAsia"/>
                      <w:lang w:val="en-US" w:eastAsia="zh-CN"/>
                    </w:rPr>
                    <w:t>0.03264</w:t>
                  </w:r>
                </w:p>
              </w:tc>
              <w:tc>
                <w:tcPr>
                  <w:tcW w:w="246" w:type="pct"/>
                  <w:tcBorders>
                    <w:tl2br w:val="nil"/>
                    <w:tr2bl w:val="nil"/>
                  </w:tcBorders>
                  <w:noWrap w:val="0"/>
                  <w:vAlign w:val="center"/>
                </w:tcPr>
                <w:p>
                  <w:pPr>
                    <w:pStyle w:val="6"/>
                    <w:suppressLineNumbers w:val="0"/>
                    <w:bidi w:val="0"/>
                    <w:spacing w:before="0" w:beforeAutospacing="0" w:after="0" w:afterAutospacing="0"/>
                    <w:ind w:left="0" w:right="0" w:firstLine="0" w:firstLineChars="0"/>
                    <w:rPr>
                      <w:rFonts w:hint="default" w:ascii="Times New Roman" w:hAnsi="Times New Roman" w:cs="Times New Roman"/>
                      <w:lang w:val="en-US" w:eastAsia="zh-CN"/>
                    </w:rPr>
                  </w:pPr>
                  <w:r>
                    <w:rPr>
                      <w:rFonts w:hint="eastAsia" w:cs="Times New Roman"/>
                      <w:lang w:val="en-US" w:eastAsia="zh-CN"/>
                    </w:rPr>
                    <w:t>15</w:t>
                  </w:r>
                </w:p>
              </w:tc>
              <w:tc>
                <w:tcPr>
                  <w:tcW w:w="276" w:type="pct"/>
                  <w:vMerge w:val="restar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rPr>
                  </w:pPr>
                  <w:r>
                    <w:rPr>
                      <w:rFonts w:hint="default" w:ascii="Times New Roman" w:hAnsi="Times New Roman" w:cs="Times New Roman"/>
                    </w:rPr>
                    <w:t>间接排放</w:t>
                  </w:r>
                </w:p>
              </w:tc>
              <w:tc>
                <w:tcPr>
                  <w:tcW w:w="308" w:type="pct"/>
                  <w:vMerge w:val="restar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rPr>
                  </w:pPr>
                  <w:r>
                    <w:rPr>
                      <w:rFonts w:hint="default" w:ascii="Times New Roman" w:hAnsi="Times New Roman" w:cs="Times New Roman"/>
                      <w:lang w:val="en-US" w:eastAsia="zh-CN"/>
                    </w:rPr>
                    <w:t>铁门关市污水处理厂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286"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p>
              </w:tc>
              <w:tc>
                <w:tcPr>
                  <w:tcW w:w="411"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c>
                <w:tcPr>
                  <w:tcW w:w="433" w:type="pc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lang w:val="zh-CN"/>
                    </w:rPr>
                    <w:t>BOD</w:t>
                  </w:r>
                  <w:r>
                    <w:rPr>
                      <w:rFonts w:hint="default" w:ascii="Times New Roman" w:hAnsi="Times New Roman" w:cs="Times New Roman"/>
                      <w:highlight w:val="none"/>
                      <w:vertAlign w:val="subscript"/>
                      <w:lang w:val="zh-CN"/>
                    </w:rPr>
                    <w:t>5</w:t>
                  </w:r>
                </w:p>
              </w:tc>
              <w:tc>
                <w:tcPr>
                  <w:tcW w:w="530"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150</w:t>
                  </w:r>
                </w:p>
              </w:tc>
              <w:tc>
                <w:tcPr>
                  <w:tcW w:w="410" w:type="pct"/>
                  <w:tcBorders>
                    <w:tl2br w:val="nil"/>
                    <w:tr2bl w:val="nil"/>
                  </w:tcBorders>
                  <w:noWrap w:val="0"/>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0.02304</w:t>
                  </w:r>
                </w:p>
              </w:tc>
              <w:tc>
                <w:tcPr>
                  <w:tcW w:w="418"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c>
                <w:tcPr>
                  <w:tcW w:w="308"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c>
                <w:tcPr>
                  <w:tcW w:w="384" w:type="pc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lang w:val="zh-CN"/>
                    </w:rPr>
                    <w:t>BOD</w:t>
                  </w:r>
                  <w:r>
                    <w:rPr>
                      <w:rFonts w:hint="default" w:ascii="Times New Roman" w:hAnsi="Times New Roman" w:cs="Times New Roman"/>
                      <w:highlight w:val="none"/>
                      <w:vertAlign w:val="subscript"/>
                      <w:lang w:val="zh-CN"/>
                    </w:rPr>
                    <w:t>5</w:t>
                  </w:r>
                </w:p>
              </w:tc>
              <w:tc>
                <w:tcPr>
                  <w:tcW w:w="535"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rPr>
                  </w:pPr>
                  <w:r>
                    <w:rPr>
                      <w:rFonts w:hint="eastAsia" w:cs="Times New Roman"/>
                      <w:highlight w:val="none"/>
                      <w:lang w:val="en-US" w:eastAsia="zh-CN"/>
                    </w:rPr>
                    <w:t>130</w:t>
                  </w:r>
                </w:p>
              </w:tc>
              <w:tc>
                <w:tcPr>
                  <w:tcW w:w="735" w:type="dxa"/>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rPr>
                      <w:rFonts w:hint="default"/>
                    </w:rPr>
                  </w:pPr>
                  <w:r>
                    <w:rPr>
                      <w:rFonts w:hint="eastAsia"/>
                      <w:lang w:val="en-US" w:eastAsia="zh-CN"/>
                    </w:rPr>
                    <w:t>0.02074</w:t>
                  </w:r>
                </w:p>
              </w:tc>
              <w:tc>
                <w:tcPr>
                  <w:tcW w:w="246" w:type="pct"/>
                  <w:tcBorders>
                    <w:tl2br w:val="nil"/>
                    <w:tr2bl w:val="nil"/>
                  </w:tcBorders>
                  <w:noWrap w:val="0"/>
                  <w:vAlign w:val="center"/>
                </w:tcPr>
                <w:p>
                  <w:pPr>
                    <w:pStyle w:val="6"/>
                    <w:suppressLineNumbers w:val="0"/>
                    <w:bidi w:val="0"/>
                    <w:spacing w:before="0" w:beforeAutospacing="0" w:after="0" w:afterAutospacing="0"/>
                    <w:ind w:left="0" w:right="0" w:firstLine="0" w:firstLineChars="0"/>
                    <w:rPr>
                      <w:rFonts w:hint="default" w:ascii="Times New Roman" w:hAnsi="Times New Roman" w:cs="Times New Roman"/>
                      <w:lang w:val="en-US" w:eastAsia="zh-CN"/>
                    </w:rPr>
                  </w:pPr>
                  <w:r>
                    <w:rPr>
                      <w:rFonts w:hint="eastAsia" w:cs="Times New Roman"/>
                      <w:lang w:val="en-US" w:eastAsia="zh-CN"/>
                    </w:rPr>
                    <w:t>10</w:t>
                  </w:r>
                </w:p>
              </w:tc>
              <w:tc>
                <w:tcPr>
                  <w:tcW w:w="276"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p>
              </w:tc>
              <w:tc>
                <w:tcPr>
                  <w:tcW w:w="308"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286"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p>
              </w:tc>
              <w:tc>
                <w:tcPr>
                  <w:tcW w:w="411"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c>
                <w:tcPr>
                  <w:tcW w:w="433" w:type="pc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lang w:val="zh-CN"/>
                    </w:rPr>
                    <w:t>NH</w:t>
                  </w:r>
                  <w:r>
                    <w:rPr>
                      <w:rFonts w:hint="default" w:ascii="Times New Roman" w:hAnsi="Times New Roman" w:cs="Times New Roman"/>
                      <w:highlight w:val="none"/>
                      <w:vertAlign w:val="subscript"/>
                    </w:rPr>
                    <w:t>3</w:t>
                  </w:r>
                  <w:r>
                    <w:rPr>
                      <w:rFonts w:hint="default" w:ascii="Times New Roman" w:hAnsi="Times New Roman" w:cs="Times New Roman"/>
                      <w:highlight w:val="none"/>
                      <w:lang w:val="zh-CN"/>
                    </w:rPr>
                    <w:t>-N</w:t>
                  </w:r>
                </w:p>
              </w:tc>
              <w:tc>
                <w:tcPr>
                  <w:tcW w:w="530"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20</w:t>
                  </w:r>
                </w:p>
              </w:tc>
              <w:tc>
                <w:tcPr>
                  <w:tcW w:w="410" w:type="pct"/>
                  <w:tcBorders>
                    <w:tl2br w:val="nil"/>
                    <w:tr2bl w:val="nil"/>
                  </w:tcBorders>
                  <w:noWrap w:val="0"/>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0.003072</w:t>
                  </w:r>
                </w:p>
              </w:tc>
              <w:tc>
                <w:tcPr>
                  <w:tcW w:w="418"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c>
                <w:tcPr>
                  <w:tcW w:w="308"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c>
                <w:tcPr>
                  <w:tcW w:w="384" w:type="pc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lang w:val="zh-CN"/>
                    </w:rPr>
                    <w:t>NH</w:t>
                  </w:r>
                  <w:r>
                    <w:rPr>
                      <w:rFonts w:hint="default" w:ascii="Times New Roman" w:hAnsi="Times New Roman" w:cs="Times New Roman"/>
                      <w:highlight w:val="none"/>
                      <w:vertAlign w:val="subscript"/>
                    </w:rPr>
                    <w:t>3</w:t>
                  </w:r>
                  <w:r>
                    <w:rPr>
                      <w:rFonts w:hint="default" w:ascii="Times New Roman" w:hAnsi="Times New Roman" w:cs="Times New Roman"/>
                      <w:highlight w:val="none"/>
                      <w:lang w:val="zh-CN"/>
                    </w:rPr>
                    <w:t>-N</w:t>
                  </w:r>
                </w:p>
              </w:tc>
              <w:tc>
                <w:tcPr>
                  <w:tcW w:w="535"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rPr>
                  </w:pPr>
                  <w:r>
                    <w:rPr>
                      <w:rFonts w:hint="eastAsia" w:cs="Times New Roman"/>
                      <w:highlight w:val="none"/>
                      <w:lang w:val="en-US" w:eastAsia="zh-CN"/>
                    </w:rPr>
                    <w:t>19</w:t>
                  </w:r>
                </w:p>
              </w:tc>
              <w:tc>
                <w:tcPr>
                  <w:tcW w:w="735" w:type="dxa"/>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rPr>
                      <w:rFonts w:hint="default"/>
                    </w:rPr>
                  </w:pPr>
                  <w:r>
                    <w:rPr>
                      <w:rFonts w:hint="eastAsia"/>
                      <w:lang w:val="en-US" w:eastAsia="zh-CN"/>
                    </w:rPr>
                    <w:t>0.00292</w:t>
                  </w:r>
                </w:p>
              </w:tc>
              <w:tc>
                <w:tcPr>
                  <w:tcW w:w="246" w:type="pct"/>
                  <w:tcBorders>
                    <w:tl2br w:val="nil"/>
                    <w:tr2bl w:val="nil"/>
                  </w:tcBorders>
                  <w:noWrap w:val="0"/>
                  <w:vAlign w:val="center"/>
                </w:tcPr>
                <w:p>
                  <w:pPr>
                    <w:pStyle w:val="6"/>
                    <w:suppressLineNumbers w:val="0"/>
                    <w:bidi w:val="0"/>
                    <w:spacing w:before="0" w:beforeAutospacing="0" w:after="0" w:afterAutospacing="0"/>
                    <w:ind w:left="0" w:right="0" w:firstLine="0" w:firstLineChars="0"/>
                    <w:rPr>
                      <w:rFonts w:hint="default" w:ascii="Times New Roman" w:hAnsi="Times New Roman" w:cs="Times New Roman"/>
                      <w:lang w:val="en-US" w:eastAsia="zh-CN"/>
                    </w:rPr>
                  </w:pPr>
                  <w:r>
                    <w:rPr>
                      <w:rFonts w:hint="eastAsia" w:cs="Times New Roman"/>
                      <w:lang w:val="en-US" w:eastAsia="zh-CN"/>
                    </w:rPr>
                    <w:t>5</w:t>
                  </w:r>
                </w:p>
              </w:tc>
              <w:tc>
                <w:tcPr>
                  <w:tcW w:w="276"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p>
              </w:tc>
              <w:tc>
                <w:tcPr>
                  <w:tcW w:w="308"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286"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p>
              </w:tc>
              <w:tc>
                <w:tcPr>
                  <w:tcW w:w="411"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c>
                <w:tcPr>
                  <w:tcW w:w="433" w:type="pc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SS</w:t>
                  </w:r>
                </w:p>
              </w:tc>
              <w:tc>
                <w:tcPr>
                  <w:tcW w:w="530"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150</w:t>
                  </w:r>
                </w:p>
              </w:tc>
              <w:tc>
                <w:tcPr>
                  <w:tcW w:w="410" w:type="pct"/>
                  <w:tcBorders>
                    <w:tl2br w:val="nil"/>
                    <w:tr2bl w:val="nil"/>
                  </w:tcBorders>
                  <w:noWrap w:val="0"/>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0.02304</w:t>
                  </w:r>
                </w:p>
              </w:tc>
              <w:tc>
                <w:tcPr>
                  <w:tcW w:w="418"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c>
                <w:tcPr>
                  <w:tcW w:w="308"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c>
                <w:tcPr>
                  <w:tcW w:w="384" w:type="pct"/>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SS</w:t>
                  </w:r>
                </w:p>
              </w:tc>
              <w:tc>
                <w:tcPr>
                  <w:tcW w:w="535" w:type="pct"/>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highlight w:val="none"/>
                      <w:lang w:val="en-US"/>
                    </w:rPr>
                  </w:pPr>
                  <w:r>
                    <w:rPr>
                      <w:rFonts w:hint="eastAsia" w:cs="Times New Roman"/>
                      <w:highlight w:val="none"/>
                      <w:lang w:val="en-US" w:eastAsia="zh-CN"/>
                    </w:rPr>
                    <w:t>90</w:t>
                  </w:r>
                </w:p>
              </w:tc>
              <w:tc>
                <w:tcPr>
                  <w:tcW w:w="735" w:type="dxa"/>
                  <w:tcBorders>
                    <w:tl2br w:val="nil"/>
                    <w:tr2bl w:val="nil"/>
                  </w:tcBorders>
                  <w:noWrap w:val="0"/>
                  <w:vAlign w:val="center"/>
                </w:tcPr>
                <w:p>
                  <w:pPr>
                    <w:pStyle w:val="6"/>
                    <w:suppressLineNumbers w:val="0"/>
                    <w:bidi w:val="0"/>
                    <w:spacing w:before="0" w:beforeAutospacing="0" w:after="0" w:afterAutospacing="0"/>
                    <w:ind w:left="0" w:leftChars="0" w:right="0" w:rightChars="0" w:firstLine="0" w:firstLineChars="0"/>
                    <w:rPr>
                      <w:rFonts w:hint="default"/>
                    </w:rPr>
                  </w:pPr>
                  <w:r>
                    <w:rPr>
                      <w:rFonts w:hint="eastAsia"/>
                      <w:lang w:val="en-US" w:eastAsia="zh-CN"/>
                    </w:rPr>
                    <w:t>0.01382</w:t>
                  </w:r>
                </w:p>
              </w:tc>
              <w:tc>
                <w:tcPr>
                  <w:tcW w:w="246" w:type="pct"/>
                  <w:tcBorders>
                    <w:tl2br w:val="nil"/>
                    <w:tr2bl w:val="nil"/>
                  </w:tcBorders>
                  <w:noWrap w:val="0"/>
                  <w:vAlign w:val="center"/>
                </w:tcPr>
                <w:p>
                  <w:pPr>
                    <w:pStyle w:val="6"/>
                    <w:suppressLineNumbers w:val="0"/>
                    <w:bidi w:val="0"/>
                    <w:spacing w:before="0" w:beforeAutospacing="0" w:after="0" w:afterAutospacing="0"/>
                    <w:ind w:left="0" w:right="0" w:firstLine="0" w:firstLineChars="0"/>
                    <w:rPr>
                      <w:rFonts w:hint="default" w:ascii="Times New Roman" w:hAnsi="Times New Roman" w:cs="Times New Roman"/>
                      <w:lang w:val="en-US" w:eastAsia="zh-CN"/>
                    </w:rPr>
                  </w:pPr>
                  <w:r>
                    <w:rPr>
                      <w:rFonts w:hint="eastAsia" w:cs="Times New Roman"/>
                      <w:lang w:val="en-US" w:eastAsia="zh-CN"/>
                    </w:rPr>
                    <w:t>40</w:t>
                  </w:r>
                </w:p>
              </w:tc>
              <w:tc>
                <w:tcPr>
                  <w:tcW w:w="276"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p>
              </w:tc>
              <w:tc>
                <w:tcPr>
                  <w:tcW w:w="308" w:type="pct"/>
                  <w:vMerge w:val="continue"/>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5000" w:type="pct"/>
                  <w:gridSpan w:val="13"/>
                  <w:tcBorders>
                    <w:tl2br w:val="nil"/>
                    <w:tr2bl w:val="nil"/>
                  </w:tcBorders>
                  <w:noWrap w:val="0"/>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注：生活污水浓度参照《环境工程技术手册 废水污染控制技术手册》（北京工业出版社）确定CODcr、BOD</w:t>
                  </w:r>
                  <w:r>
                    <w:rPr>
                      <w:rFonts w:hint="default" w:ascii="Times New Roman" w:hAnsi="Times New Roman" w:cs="Times New Roman"/>
                      <w:vertAlign w:val="subscript"/>
                      <w:lang w:val="en-US" w:eastAsia="zh-CN"/>
                    </w:rPr>
                    <w:t>5</w:t>
                  </w:r>
                  <w:r>
                    <w:rPr>
                      <w:rFonts w:hint="default" w:ascii="Times New Roman" w:hAnsi="Times New Roman" w:cs="Times New Roman"/>
                      <w:lang w:val="en-US" w:eastAsia="zh-CN"/>
                    </w:rPr>
                    <w:t>、SS、氨氮的产生浓度，CODcr：250mg/L、BOD</w:t>
                  </w:r>
                  <w:r>
                    <w:rPr>
                      <w:rFonts w:hint="default" w:ascii="Times New Roman" w:hAnsi="Times New Roman" w:cs="Times New Roman"/>
                      <w:vertAlign w:val="subscript"/>
                      <w:lang w:val="en-US" w:eastAsia="zh-CN"/>
                    </w:rPr>
                    <w:t>5</w:t>
                  </w:r>
                  <w:r>
                    <w:rPr>
                      <w:rFonts w:hint="default" w:ascii="Times New Roman" w:hAnsi="Times New Roman" w:cs="Times New Roman"/>
                      <w:lang w:val="en-US" w:eastAsia="zh-CN"/>
                    </w:rPr>
                    <w:t>：150mg/L、NH</w:t>
                  </w:r>
                  <w:r>
                    <w:rPr>
                      <w:rFonts w:hint="default" w:ascii="Times New Roman" w:hAnsi="Times New Roman" w:cs="Times New Roman"/>
                      <w:vertAlign w:val="subscript"/>
                      <w:lang w:val="en-US" w:eastAsia="zh-CN"/>
                    </w:rPr>
                    <w:t>3</w:t>
                  </w:r>
                  <w:r>
                    <w:rPr>
                      <w:rFonts w:hint="default" w:ascii="Times New Roman" w:hAnsi="Times New Roman" w:cs="Times New Roman"/>
                      <w:lang w:val="en-US" w:eastAsia="zh-CN"/>
                    </w:rPr>
                    <w:t>-N：20mg/L、SS：150mg/L。</w:t>
                  </w:r>
                </w:p>
              </w:tc>
            </w:tr>
          </w:tbl>
          <w:p>
            <w:pPr>
              <w:pStyle w:val="3"/>
              <w:keepLines w:val="0"/>
              <w:suppressLineNumbers w:val="0"/>
              <w:bidi w:val="0"/>
              <w:spacing w:before="0" w:beforeAutospacing="0" w:after="0" w:afterAutospacing="0"/>
              <w:ind w:right="0"/>
              <w:rPr>
                <w:rFonts w:hint="default" w:ascii="Times New Roman" w:hAnsi="Times New Roman" w:cs="Times New Roman"/>
              </w:rPr>
            </w:pPr>
            <w:r>
              <w:rPr>
                <w:rFonts w:hint="default" w:ascii="Times New Roman" w:hAnsi="Times New Roman" w:cs="Times New Roman"/>
                <w:lang w:val="en-US" w:eastAsia="zh-CN"/>
              </w:rPr>
              <w:t xml:space="preserve">2.2 </w:t>
            </w:r>
            <w:r>
              <w:rPr>
                <w:rFonts w:hint="default" w:ascii="Times New Roman" w:hAnsi="Times New Roman" w:cs="Times New Roman"/>
              </w:rPr>
              <w:t>废水污染防治措施可行性</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铁门关市污水处理厂位于铁门关市城区以南3km处，位于项目区西南20km处。污水处理厂处理工艺采用A</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O二级生化处理工艺，处理后的尾水水质满足《城镇污水处理厂污染物排放标准》（GB18918-2002）一级B标准限值要求，灌溉期用于生态林灌溉，非灌溉期排入污水处理厂以南的戈壁荒地。于2014年05月取得环评批复。2016年12月投入运行，2017年04月通过了二师环保局环保</w:t>
            </w:r>
            <w:r>
              <w:rPr>
                <w:rFonts w:hint="eastAsia" w:ascii="宋体" w:hAnsi="宋体" w:eastAsia="宋体" w:cs="宋体"/>
                <w:lang w:val="en-US" w:eastAsia="zh-CN"/>
              </w:rPr>
              <w:t>“三同时”</w:t>
            </w:r>
            <w:r>
              <w:rPr>
                <w:rFonts w:hint="default" w:ascii="Times New Roman" w:hAnsi="Times New Roman" w:cs="Times New Roman"/>
                <w:lang w:val="en-US" w:eastAsia="zh-CN"/>
              </w:rPr>
              <w:t>验收，取得验收意见。污水处理厂设计处理能力为2万m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/d，目前实际进水量为8500m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/d，污水处理厂余量充足，污水处理厂运行正常，出水水质稳定可做到达标排放。</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本项目污水排放总量为</w:t>
            </w:r>
            <w:r>
              <w:rPr>
                <w:rFonts w:hint="eastAsia" w:cs="Times New Roman"/>
                <w:highlight w:val="none"/>
                <w:lang w:val="en-US" w:eastAsia="zh-CN"/>
              </w:rPr>
              <w:t>0.64</w:t>
            </w:r>
            <w:r>
              <w:rPr>
                <w:rFonts w:hint="default" w:ascii="Times New Roman" w:hAnsi="Times New Roman" w:cs="Times New Roman"/>
                <w:highlight w:val="none"/>
                <w:lang w:val="en-US" w:eastAsia="zh-CN"/>
              </w:rPr>
              <w:t>t/d</w:t>
            </w:r>
            <w:r>
              <w:rPr>
                <w:rFonts w:hint="default" w:ascii="Times New Roman" w:hAnsi="Times New Roman" w:cs="Times New Roman"/>
                <w:lang w:val="en-US" w:eastAsia="zh-CN"/>
              </w:rPr>
              <w:t>，符合污水处理厂接收污水水质要求，水量也远小于设计规模，因此本项目废水由铁门关市污水处理厂处理可行。</w:t>
            </w:r>
          </w:p>
          <w:p>
            <w:pPr>
              <w:pStyle w:val="3"/>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default" w:ascii="Times New Roman" w:hAnsi="Times New Roman" w:cs="Times New Roman"/>
                <w:lang w:val="en-US" w:eastAsia="zh-CN"/>
              </w:rPr>
              <w:t>2.3 废水排放口基本情况</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本项目废水排放口基本信息详见下表。</w:t>
            </w:r>
          </w:p>
          <w:p>
            <w:pPr>
              <w:pStyle w:val="5"/>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表4-6  废水排放口基本信息一览表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528"/>
              <w:gridCol w:w="898"/>
              <w:gridCol w:w="1485"/>
              <w:gridCol w:w="889"/>
              <w:gridCol w:w="682"/>
              <w:gridCol w:w="791"/>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91"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排放口编号</w:t>
                  </w:r>
                </w:p>
              </w:tc>
              <w:tc>
                <w:tcPr>
                  <w:tcW w:w="935"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排放口地理坐标</w:t>
                  </w:r>
                </w:p>
              </w:tc>
              <w:tc>
                <w:tcPr>
                  <w:tcW w:w="549"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废水排放量（t/a）</w:t>
                  </w:r>
                </w:p>
              </w:tc>
              <w:tc>
                <w:tcPr>
                  <w:tcW w:w="909"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排放去向</w:t>
                  </w:r>
                </w:p>
              </w:tc>
              <w:tc>
                <w:tcPr>
                  <w:tcW w:w="544"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排放规律</w:t>
                  </w:r>
                </w:p>
              </w:tc>
              <w:tc>
                <w:tcPr>
                  <w:tcW w:w="1669" w:type="pct"/>
                  <w:gridSpan w:val="3"/>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91"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935"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549"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909"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544"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417"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名称</w:t>
                  </w:r>
                </w:p>
              </w:tc>
              <w:tc>
                <w:tcPr>
                  <w:tcW w:w="484"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污染物种类</w:t>
                  </w:r>
                </w:p>
              </w:tc>
              <w:tc>
                <w:tcPr>
                  <w:tcW w:w="768"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8" w:hRule="atLeast"/>
                <w:jc w:val="center"/>
              </w:trPr>
              <w:tc>
                <w:tcPr>
                  <w:tcW w:w="391"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DW001</w:t>
                  </w:r>
                </w:p>
              </w:tc>
              <w:tc>
                <w:tcPr>
                  <w:tcW w:w="935"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85°54′16.30</w:t>
                  </w:r>
                  <w:r>
                    <w:rPr>
                      <w:rFonts w:hint="eastAsia" w:cs="Times New Roman"/>
                      <w:lang w:val="en-US" w:eastAsia="zh-CN"/>
                    </w:rPr>
                    <w:t>2</w:t>
                  </w:r>
                  <w:r>
                    <w:rPr>
                      <w:rFonts w:hint="default" w:ascii="Times New Roman" w:hAnsi="Times New Roman" w:cs="Times New Roman"/>
                      <w:lang w:val="en-US" w:eastAsia="zh-CN"/>
                    </w:rPr>
                    <w:t>″,41°50′58.475″</w:t>
                  </w:r>
                </w:p>
              </w:tc>
              <w:tc>
                <w:tcPr>
                  <w:tcW w:w="549"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153.6</w:t>
                  </w:r>
                </w:p>
              </w:tc>
              <w:tc>
                <w:tcPr>
                  <w:tcW w:w="909"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生活污水经化粪池处理后排入污水管网进入铁门关市污水处理厂进行集中处理</w:t>
                  </w:r>
                </w:p>
              </w:tc>
              <w:tc>
                <w:tcPr>
                  <w:tcW w:w="544"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废水间断排放，排放期间流量稳定</w:t>
                  </w:r>
                </w:p>
              </w:tc>
              <w:tc>
                <w:tcPr>
                  <w:tcW w:w="417"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铁门关市污水处理厂</w:t>
                  </w:r>
                </w:p>
              </w:tc>
              <w:tc>
                <w:tcPr>
                  <w:tcW w:w="484"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pH</w:t>
                  </w:r>
                </w:p>
              </w:tc>
              <w:tc>
                <w:tcPr>
                  <w:tcW w:w="768"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8" w:hRule="atLeast"/>
                <w:jc w:val="center"/>
              </w:trPr>
              <w:tc>
                <w:tcPr>
                  <w:tcW w:w="391"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935"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549"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909"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544"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417"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484"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COD</w:t>
                  </w:r>
                </w:p>
              </w:tc>
              <w:tc>
                <w:tcPr>
                  <w:tcW w:w="768"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8" w:hRule="atLeast"/>
                <w:jc w:val="center"/>
              </w:trPr>
              <w:tc>
                <w:tcPr>
                  <w:tcW w:w="391"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935"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549"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909"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544"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417"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484"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BOD</w:t>
                  </w:r>
                  <w:r>
                    <w:rPr>
                      <w:rFonts w:hint="default" w:ascii="Times New Roman" w:hAnsi="Times New Roman" w:cs="Times New Roman"/>
                      <w:vertAlign w:val="subscript"/>
                      <w:lang w:val="en-US" w:eastAsia="zh-CN"/>
                    </w:rPr>
                    <w:t>5</w:t>
                  </w:r>
                </w:p>
              </w:tc>
              <w:tc>
                <w:tcPr>
                  <w:tcW w:w="768"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8" w:hRule="atLeast"/>
                <w:jc w:val="center"/>
              </w:trPr>
              <w:tc>
                <w:tcPr>
                  <w:tcW w:w="391"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935"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549"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909"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544"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417"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484"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SS</w:t>
                  </w:r>
                </w:p>
              </w:tc>
              <w:tc>
                <w:tcPr>
                  <w:tcW w:w="768"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jc w:val="center"/>
              </w:trPr>
              <w:tc>
                <w:tcPr>
                  <w:tcW w:w="391"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935"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549"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909"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544"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417" w:type="pct"/>
                  <w:vMerge w:val="continue"/>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p>
              </w:tc>
              <w:tc>
                <w:tcPr>
                  <w:tcW w:w="484"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氨氮</w:t>
                  </w:r>
                </w:p>
              </w:tc>
              <w:tc>
                <w:tcPr>
                  <w:tcW w:w="768" w:type="pct"/>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8（15）</w:t>
                  </w:r>
                </w:p>
              </w:tc>
            </w:tr>
          </w:tbl>
          <w:p>
            <w:pPr>
              <w:pStyle w:val="3"/>
              <w:keepLines w:val="0"/>
              <w:suppressLineNumbers w:val="0"/>
              <w:bidi w:val="0"/>
              <w:spacing w:before="0" w:beforeAutospacing="0" w:after="0" w:afterAutospacing="0"/>
              <w:ind w:right="0"/>
              <w:rPr>
                <w:rFonts w:hint="default" w:ascii="Times New Roman" w:hAnsi="Times New Roman" w:cs="Times New Roman"/>
              </w:rPr>
            </w:pPr>
            <w:r>
              <w:rPr>
                <w:rFonts w:hint="default" w:ascii="Times New Roman" w:hAnsi="Times New Roman" w:cs="Times New Roman"/>
                <w:lang w:val="en-US" w:eastAsia="zh-CN"/>
              </w:rPr>
              <w:t xml:space="preserve">3 </w:t>
            </w:r>
            <w:r>
              <w:rPr>
                <w:rFonts w:hint="default" w:ascii="Times New Roman" w:hAnsi="Times New Roman" w:cs="Times New Roman"/>
                <w:lang w:eastAsia="zh-CN"/>
              </w:rPr>
              <w:t>噪</w:t>
            </w:r>
            <w:r>
              <w:rPr>
                <w:rFonts w:hint="default" w:ascii="Times New Roman" w:hAnsi="Times New Roman" w:cs="Times New Roman"/>
              </w:rPr>
              <w:t>声</w:t>
            </w:r>
            <w:r>
              <w:rPr>
                <w:rFonts w:hint="default" w:ascii="Times New Roman" w:hAnsi="Times New Roman" w:cs="Times New Roman"/>
                <w:lang w:eastAsia="zh-CN"/>
              </w:rPr>
              <w:t>环境影响和保护措施</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预测模型</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根据项目建设内容及《环境影响评价技术导则</w:t>
            </w:r>
            <w:r>
              <w:rPr>
                <w:rFonts w:hint="eastAsia" w:cs="Times New Roman"/>
                <w:lang w:val="en-US" w:eastAsia="zh-CN"/>
              </w:rPr>
              <w:t xml:space="preserve"> </w:t>
            </w:r>
            <w:r>
              <w:rPr>
                <w:rFonts w:hint="default" w:ascii="Times New Roman" w:hAnsi="Times New Roman" w:cs="Times New Roman"/>
                <w:lang w:val="en-US" w:eastAsia="zh-CN"/>
              </w:rPr>
              <w:t>声环境》（HJ2.4-2021）的要求，项目环评采用的模型为《环境影响评价技术导则 声环境》(HJ2.4.2021)附录A（规范性附录）户外声传播的衰减和附录B（规范性附录）中</w:t>
            </w:r>
            <w:r>
              <w:rPr>
                <w:rFonts w:hint="eastAsia" w:ascii="宋体" w:hAnsi="宋体" w:eastAsia="宋体" w:cs="宋体"/>
                <w:lang w:val="en-US" w:eastAsia="zh-CN"/>
              </w:rPr>
              <w:t>“</w:t>
            </w:r>
            <w:r>
              <w:rPr>
                <w:rFonts w:hint="default" w:ascii="Times New Roman" w:hAnsi="Times New Roman" w:eastAsia="宋体" w:cs="Times New Roman"/>
                <w:lang w:val="en-US" w:eastAsia="zh-CN"/>
              </w:rPr>
              <w:t>B.1</w:t>
            </w:r>
            <w:r>
              <w:rPr>
                <w:rFonts w:hint="eastAsia" w:ascii="宋体" w:hAnsi="宋体" w:eastAsia="宋体" w:cs="宋体"/>
                <w:lang w:val="en-US" w:eastAsia="zh-CN"/>
              </w:rPr>
              <w:t>工业噪声预测计算模型”</w:t>
            </w:r>
            <w:r>
              <w:rPr>
                <w:rFonts w:hint="default" w:ascii="Times New Roman" w:hAnsi="Times New Roman" w:cs="Times New Roman"/>
                <w:lang w:val="en-US" w:eastAsia="zh-CN"/>
              </w:rPr>
              <w:t>。</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（2）噪声源参数</w:t>
            </w:r>
          </w:p>
          <w:p>
            <w:pPr>
              <w:keepNext w:val="0"/>
              <w:keepLines w:val="0"/>
              <w:suppressLineNumbers w:val="0"/>
              <w:bidi w:val="0"/>
              <w:spacing w:before="0" w:beforeAutospacing="0" w:after="0" w:afterAutospacing="0"/>
              <w:ind w:left="0" w:right="0"/>
              <w:rPr>
                <w:rFonts w:hint="default" w:ascii="Times New Roman" w:hAnsi="Times New Roman" w:cs="Times New Roman"/>
                <w:bCs/>
                <w:color w:val="000000"/>
                <w:sz w:val="28"/>
                <w:szCs w:val="28"/>
                <w:highlight w:val="none"/>
                <w:vertAlign w:val="baseline"/>
              </w:rPr>
            </w:pPr>
            <w:r>
              <w:rPr>
                <w:rFonts w:hint="default" w:ascii="Times New Roman" w:hAnsi="Times New Roman" w:cs="Times New Roman"/>
                <w:lang w:val="en-US" w:eastAsia="zh-CN"/>
              </w:rPr>
              <w:t>项目在生产过程中产生的噪声主要源自配料机、搅拌器等，这些设备产生的噪声声级一般在70dB以上。项目产生噪声的噪声源强调查清单见下表。</w:t>
            </w:r>
          </w:p>
        </w:tc>
      </w:tr>
    </w:tbl>
    <w:p>
      <w:pPr>
        <w:adjustRightInd w:val="0"/>
        <w:snapToGrid w:val="0"/>
        <w:spacing w:line="520" w:lineRule="exact"/>
        <w:jc w:val="center"/>
        <w:rPr>
          <w:rFonts w:hint="default" w:ascii="Times New Roman" w:hAnsi="Times New Roman" w:cs="Times New Roman"/>
          <w:bCs/>
          <w:color w:val="00000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8" w:hRule="atLeast"/>
        </w:trPr>
        <w:tc>
          <w:tcPr>
            <w:tcW w:w="358" w:type="pct"/>
          </w:tcPr>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color w:val="000000"/>
                <w:kern w:val="0"/>
                <w:sz w:val="28"/>
                <w:szCs w:val="28"/>
                <w:highlight w:val="none"/>
                <w:vertAlign w:val="baseline"/>
              </w:rPr>
            </w:pPr>
          </w:p>
        </w:tc>
        <w:tc>
          <w:tcPr>
            <w:tcW w:w="4641" w:type="pct"/>
          </w:tcPr>
          <w:p>
            <w:pPr>
              <w:pStyle w:val="5"/>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表4-</w:t>
            </w:r>
            <w:r>
              <w:rPr>
                <w:rFonts w:hint="eastAsia" w:cs="Times New Roman"/>
                <w:highlight w:val="none"/>
                <w:lang w:val="en-US" w:eastAsia="zh-CN"/>
              </w:rPr>
              <w:t>7</w:t>
            </w:r>
            <w:r>
              <w:rPr>
                <w:rFonts w:hint="default" w:ascii="Times New Roman" w:hAnsi="Times New Roman" w:cs="Times New Roman"/>
                <w:highlight w:val="none"/>
                <w:lang w:val="en-US" w:eastAsia="zh-CN"/>
              </w:rPr>
              <w:t xml:space="preserve">  工业企业噪声源强调查清单（室外声源）</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2974"/>
              <w:gridCol w:w="1020"/>
              <w:gridCol w:w="1020"/>
              <w:gridCol w:w="1290"/>
              <w:gridCol w:w="2135"/>
              <w:gridCol w:w="1739"/>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exact"/>
              </w:trPr>
              <w:tc>
                <w:tcPr>
                  <w:tcW w:w="262"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序号</w:t>
                  </w:r>
                </w:p>
              </w:tc>
              <w:tc>
                <w:tcPr>
                  <w:tcW w:w="1233"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声源名称</w:t>
                  </w:r>
                </w:p>
              </w:tc>
              <w:tc>
                <w:tcPr>
                  <w:tcW w:w="1381" w:type="pct"/>
                  <w:gridSpan w:val="3"/>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空间相对位置/m</w:t>
                  </w:r>
                </w:p>
              </w:tc>
              <w:tc>
                <w:tcPr>
                  <w:tcW w:w="885" w:type="pc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声源源强（任选一种）</w:t>
                  </w:r>
                </w:p>
              </w:tc>
              <w:tc>
                <w:tcPr>
                  <w:tcW w:w="721"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声源控制措施</w:t>
                  </w:r>
                </w:p>
              </w:tc>
              <w:tc>
                <w:tcPr>
                  <w:tcW w:w="515"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62" w:type="pct"/>
                  <w:vMerge w:val="continue"/>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c>
                <w:tcPr>
                  <w:tcW w:w="1233" w:type="pct"/>
                  <w:vMerge w:val="continue"/>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c>
                <w:tcPr>
                  <w:tcW w:w="423" w:type="pct"/>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X</w:t>
                  </w:r>
                </w:p>
              </w:tc>
              <w:tc>
                <w:tcPr>
                  <w:tcW w:w="423" w:type="pct"/>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Y</w:t>
                  </w:r>
                </w:p>
              </w:tc>
              <w:tc>
                <w:tcPr>
                  <w:tcW w:w="535" w:type="pct"/>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Z</w:t>
                  </w:r>
                </w:p>
              </w:tc>
              <w:tc>
                <w:tcPr>
                  <w:tcW w:w="885" w:type="pct"/>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声功率级/dB(A)</w:t>
                  </w:r>
                </w:p>
              </w:tc>
              <w:tc>
                <w:tcPr>
                  <w:tcW w:w="721" w:type="pct"/>
                  <w:vMerge w:val="continue"/>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c>
                <w:tcPr>
                  <w:tcW w:w="515" w:type="pct"/>
                  <w:vMerge w:val="continue"/>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69" w:hRule="exact"/>
              </w:trPr>
              <w:tc>
                <w:tcPr>
                  <w:tcW w:w="262" w:type="pct"/>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1</w:t>
                  </w:r>
                </w:p>
              </w:tc>
              <w:tc>
                <w:tcPr>
                  <w:tcW w:w="1233"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铲车</w:t>
                  </w:r>
                </w:p>
              </w:tc>
              <w:tc>
                <w:tcPr>
                  <w:tcW w:w="423"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13.1</w:t>
                  </w:r>
                </w:p>
              </w:tc>
              <w:tc>
                <w:tcPr>
                  <w:tcW w:w="423"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95.8</w:t>
                  </w:r>
                </w:p>
              </w:tc>
              <w:tc>
                <w:tcPr>
                  <w:tcW w:w="535"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1.2</w:t>
                  </w:r>
                </w:p>
              </w:tc>
              <w:tc>
                <w:tcPr>
                  <w:tcW w:w="885"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75</w:t>
                  </w:r>
                </w:p>
              </w:tc>
              <w:tc>
                <w:tcPr>
                  <w:tcW w:w="721" w:type="pct"/>
                  <w:vMerge w:val="restart"/>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基础减振</w:t>
                  </w:r>
                </w:p>
              </w:tc>
              <w:tc>
                <w:tcPr>
                  <w:tcW w:w="515" w:type="pct"/>
                  <w:vMerge w:val="restart"/>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4" w:hRule="exact"/>
              </w:trPr>
              <w:tc>
                <w:tcPr>
                  <w:tcW w:w="262" w:type="pct"/>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2</w:t>
                  </w:r>
                </w:p>
              </w:tc>
              <w:tc>
                <w:tcPr>
                  <w:tcW w:w="1233"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搅拌器</w:t>
                  </w:r>
                </w:p>
              </w:tc>
              <w:tc>
                <w:tcPr>
                  <w:tcW w:w="423"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3.3</w:t>
                  </w:r>
                </w:p>
              </w:tc>
              <w:tc>
                <w:tcPr>
                  <w:tcW w:w="423"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91.4</w:t>
                  </w:r>
                </w:p>
              </w:tc>
              <w:tc>
                <w:tcPr>
                  <w:tcW w:w="535"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1.2</w:t>
                  </w:r>
                </w:p>
              </w:tc>
              <w:tc>
                <w:tcPr>
                  <w:tcW w:w="885"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80</w:t>
                  </w:r>
                </w:p>
              </w:tc>
              <w:tc>
                <w:tcPr>
                  <w:tcW w:w="721" w:type="pct"/>
                  <w:vMerge w:val="continue"/>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c>
                <w:tcPr>
                  <w:tcW w:w="515" w:type="pct"/>
                  <w:vMerge w:val="continue"/>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7" w:hRule="exact"/>
              </w:trPr>
              <w:tc>
                <w:tcPr>
                  <w:tcW w:w="262" w:type="pct"/>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3</w:t>
                  </w:r>
                </w:p>
              </w:tc>
              <w:tc>
                <w:tcPr>
                  <w:tcW w:w="1233"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振动台</w:t>
                  </w:r>
                </w:p>
              </w:tc>
              <w:tc>
                <w:tcPr>
                  <w:tcW w:w="423"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2</w:t>
                  </w:r>
                </w:p>
              </w:tc>
              <w:tc>
                <w:tcPr>
                  <w:tcW w:w="423"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81.2</w:t>
                  </w:r>
                </w:p>
              </w:tc>
              <w:tc>
                <w:tcPr>
                  <w:tcW w:w="535"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1.2</w:t>
                  </w:r>
                </w:p>
              </w:tc>
              <w:tc>
                <w:tcPr>
                  <w:tcW w:w="885"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80</w:t>
                  </w:r>
                </w:p>
              </w:tc>
              <w:tc>
                <w:tcPr>
                  <w:tcW w:w="721" w:type="pct"/>
                  <w:vMerge w:val="continue"/>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c>
                <w:tcPr>
                  <w:tcW w:w="515" w:type="pct"/>
                  <w:vMerge w:val="continue"/>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2" w:hRule="exact"/>
              </w:trPr>
              <w:tc>
                <w:tcPr>
                  <w:tcW w:w="262" w:type="pct"/>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4</w:t>
                  </w:r>
                </w:p>
              </w:tc>
              <w:tc>
                <w:tcPr>
                  <w:tcW w:w="1233"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叉车,3台（按点声源组预测）</w:t>
                  </w:r>
                </w:p>
              </w:tc>
              <w:tc>
                <w:tcPr>
                  <w:tcW w:w="423"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4.4</w:t>
                  </w:r>
                </w:p>
              </w:tc>
              <w:tc>
                <w:tcPr>
                  <w:tcW w:w="423"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32.9</w:t>
                  </w:r>
                </w:p>
              </w:tc>
              <w:tc>
                <w:tcPr>
                  <w:tcW w:w="535"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1.2</w:t>
                  </w:r>
                </w:p>
              </w:tc>
              <w:tc>
                <w:tcPr>
                  <w:tcW w:w="885"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79.8（等效后：79.8)</w:t>
                  </w:r>
                </w:p>
              </w:tc>
              <w:tc>
                <w:tcPr>
                  <w:tcW w:w="721" w:type="pct"/>
                  <w:vMerge w:val="continue"/>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c>
                <w:tcPr>
                  <w:tcW w:w="515" w:type="pct"/>
                  <w:vMerge w:val="continue"/>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2" w:hRule="exact"/>
              </w:trPr>
              <w:tc>
                <w:tcPr>
                  <w:tcW w:w="262" w:type="pct"/>
                  <w:shd w:val="clear" w:color="auto" w:fill="FFFFFF"/>
                  <w:vAlign w:val="center"/>
                </w:tcPr>
                <w:p>
                  <w:pPr>
                    <w:pStyle w:val="6"/>
                    <w:suppressLineNumbers w:val="0"/>
                    <w:bidi w:val="0"/>
                    <w:spacing w:before="0" w:beforeAutospacing="0" w:after="0" w:afterAutospacing="0"/>
                    <w:ind w:left="0" w:right="0"/>
                    <w:rPr>
                      <w:rFonts w:hint="eastAsia" w:ascii="Times New Roman" w:hAnsi="Times New Roman" w:eastAsia="宋体" w:cs="Times New Roman"/>
                      <w:highlight w:val="none"/>
                      <w:lang w:val="en-US" w:eastAsia="zh-CN"/>
                    </w:rPr>
                  </w:pPr>
                  <w:r>
                    <w:rPr>
                      <w:rFonts w:hint="eastAsia" w:cs="Times New Roman"/>
                      <w:highlight w:val="none"/>
                      <w:lang w:val="en-US" w:eastAsia="zh-CN"/>
                    </w:rPr>
                    <w:t>5</w:t>
                  </w:r>
                </w:p>
              </w:tc>
              <w:tc>
                <w:tcPr>
                  <w:tcW w:w="1233" w:type="pct"/>
                  <w:shd w:val="clear" w:color="auto" w:fill="FFFFFF"/>
                  <w:vAlign w:val="center"/>
                </w:tcPr>
                <w:p>
                  <w:pPr>
                    <w:pStyle w:val="6"/>
                    <w:suppressLineNumbers w:val="0"/>
                    <w:bidi w:val="0"/>
                    <w:spacing w:before="0" w:beforeAutospacing="0" w:after="0" w:afterAutospacing="0"/>
                    <w:ind w:left="0" w:right="0"/>
                    <w:rPr>
                      <w:rFonts w:hint="default"/>
                      <w:lang w:val="en-US" w:eastAsia="zh-CN"/>
                    </w:rPr>
                  </w:pPr>
                  <w:r>
                    <w:rPr>
                      <w:rFonts w:hint="default"/>
                    </w:rPr>
                    <w:t>配料机</w:t>
                  </w:r>
                </w:p>
              </w:tc>
              <w:tc>
                <w:tcPr>
                  <w:tcW w:w="423" w:type="pct"/>
                  <w:shd w:val="clear" w:color="auto" w:fill="FFFFFF"/>
                  <w:vAlign w:val="center"/>
                </w:tcPr>
                <w:p>
                  <w:pPr>
                    <w:pStyle w:val="6"/>
                    <w:suppressLineNumbers w:val="0"/>
                    <w:bidi w:val="0"/>
                    <w:spacing w:before="0" w:beforeAutospacing="0" w:after="0" w:afterAutospacing="0"/>
                    <w:ind w:left="0" w:right="0"/>
                    <w:rPr>
                      <w:rFonts w:hint="default"/>
                      <w:lang w:val="en-US" w:eastAsia="zh-CN"/>
                    </w:rPr>
                  </w:pPr>
                  <w:r>
                    <w:rPr>
                      <w:rFonts w:hint="default"/>
                    </w:rPr>
                    <w:t>30.9</w:t>
                  </w:r>
                </w:p>
              </w:tc>
              <w:tc>
                <w:tcPr>
                  <w:tcW w:w="423" w:type="pct"/>
                  <w:shd w:val="clear" w:color="auto" w:fill="FFFFFF"/>
                  <w:vAlign w:val="center"/>
                </w:tcPr>
                <w:p>
                  <w:pPr>
                    <w:pStyle w:val="6"/>
                    <w:suppressLineNumbers w:val="0"/>
                    <w:bidi w:val="0"/>
                    <w:spacing w:before="0" w:beforeAutospacing="0" w:after="0" w:afterAutospacing="0"/>
                    <w:ind w:left="0" w:right="0"/>
                    <w:rPr>
                      <w:rFonts w:hint="default"/>
                      <w:lang w:val="en-US" w:eastAsia="zh-CN"/>
                    </w:rPr>
                  </w:pPr>
                  <w:r>
                    <w:rPr>
                      <w:rFonts w:hint="default"/>
                    </w:rPr>
                    <w:t>89.6</w:t>
                  </w:r>
                </w:p>
              </w:tc>
              <w:tc>
                <w:tcPr>
                  <w:tcW w:w="535" w:type="pct"/>
                  <w:shd w:val="clear" w:color="auto" w:fill="FFFFFF"/>
                  <w:vAlign w:val="center"/>
                </w:tcPr>
                <w:p>
                  <w:pPr>
                    <w:pStyle w:val="6"/>
                    <w:suppressLineNumbers w:val="0"/>
                    <w:bidi w:val="0"/>
                    <w:spacing w:before="0" w:beforeAutospacing="0" w:after="0" w:afterAutospacing="0"/>
                    <w:ind w:left="0" w:right="0"/>
                    <w:rPr>
                      <w:rFonts w:hint="default"/>
                      <w:lang w:val="en-US" w:eastAsia="zh-CN"/>
                    </w:rPr>
                  </w:pPr>
                  <w:r>
                    <w:rPr>
                      <w:rFonts w:hint="default"/>
                    </w:rPr>
                    <w:t>1.2</w:t>
                  </w:r>
                </w:p>
              </w:tc>
              <w:tc>
                <w:tcPr>
                  <w:tcW w:w="885" w:type="pct"/>
                  <w:shd w:val="clear" w:color="auto" w:fill="FFFFFF"/>
                  <w:vAlign w:val="center"/>
                </w:tcPr>
                <w:p>
                  <w:pPr>
                    <w:pStyle w:val="6"/>
                    <w:suppressLineNumbers w:val="0"/>
                    <w:bidi w:val="0"/>
                    <w:spacing w:before="0" w:beforeAutospacing="0" w:after="0" w:afterAutospacing="0"/>
                    <w:ind w:left="0" w:right="0"/>
                    <w:rPr>
                      <w:rFonts w:hint="default" w:eastAsia="宋体"/>
                      <w:highlight w:val="none"/>
                      <w:lang w:val="en-US" w:eastAsia="zh-CN"/>
                    </w:rPr>
                  </w:pPr>
                  <w:r>
                    <w:rPr>
                      <w:rFonts w:hint="eastAsia"/>
                      <w:highlight w:val="none"/>
                      <w:lang w:val="en-US" w:eastAsia="zh-CN"/>
                    </w:rPr>
                    <w:t>75</w:t>
                  </w:r>
                </w:p>
              </w:tc>
              <w:tc>
                <w:tcPr>
                  <w:tcW w:w="721" w:type="pct"/>
                  <w:vMerge w:val="continue"/>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c>
                <w:tcPr>
                  <w:tcW w:w="515" w:type="pct"/>
                  <w:vMerge w:val="continue"/>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r>
          </w:tbl>
          <w:p>
            <w:pPr>
              <w:pStyle w:val="5"/>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表4-</w:t>
            </w:r>
            <w:r>
              <w:rPr>
                <w:rFonts w:hint="eastAsia" w:cs="Times New Roman"/>
                <w:highlight w:val="none"/>
                <w:lang w:val="en-US" w:eastAsia="zh-CN"/>
              </w:rPr>
              <w:t>8</w:t>
            </w:r>
            <w:r>
              <w:rPr>
                <w:rFonts w:hint="default" w:ascii="Times New Roman" w:hAnsi="Times New Roman" w:cs="Times New Roman"/>
                <w:highlight w:val="none"/>
                <w:lang w:val="en-US" w:eastAsia="zh-CN"/>
              </w:rPr>
              <w:t xml:space="preserve">  工业企业噪声源强调查清单（室内声源）</w:t>
            </w:r>
          </w:p>
          <w:tbl>
            <w:tblPr>
              <w:tblStyle w:val="33"/>
              <w:tblpPr w:leftFromText="181" w:rightFromText="181" w:vertAnchor="text" w:horzAnchor="page" w:tblpX="114" w:tblpY="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9"/>
              <w:gridCol w:w="490"/>
              <w:gridCol w:w="1124"/>
              <w:gridCol w:w="661"/>
              <w:gridCol w:w="487"/>
              <w:gridCol w:w="730"/>
              <w:gridCol w:w="331"/>
              <w:gridCol w:w="417"/>
              <w:gridCol w:w="330"/>
              <w:gridCol w:w="400"/>
              <w:gridCol w:w="453"/>
              <w:gridCol w:w="539"/>
              <w:gridCol w:w="348"/>
              <w:gridCol w:w="382"/>
              <w:gridCol w:w="557"/>
              <w:gridCol w:w="365"/>
              <w:gridCol w:w="313"/>
              <w:gridCol w:w="452"/>
              <w:gridCol w:w="504"/>
              <w:gridCol w:w="366"/>
              <w:gridCol w:w="417"/>
              <w:gridCol w:w="331"/>
              <w:gridCol w:w="382"/>
              <w:gridCol w:w="452"/>
              <w:gridCol w:w="452"/>
              <w:gridCol w:w="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exact"/>
              </w:trPr>
              <w:tc>
                <w:tcPr>
                  <w:tcW w:w="136" w:type="pct"/>
                  <w:vMerge w:val="restart"/>
                  <w:vAlign w:val="center"/>
                </w:tcPr>
                <w:p>
                  <w:pPr>
                    <w:pStyle w:val="6"/>
                    <w:suppressLineNumbers w:val="0"/>
                    <w:bidi w:val="0"/>
                    <w:spacing w:before="0" w:beforeAutospacing="0" w:after="0" w:afterAutospacing="0"/>
                    <w:ind w:left="0" w:right="0"/>
                    <w:rPr>
                      <w:rFonts w:hint="default"/>
                    </w:rPr>
                  </w:pPr>
                  <w:r>
                    <w:rPr>
                      <w:rFonts w:hint="default"/>
                    </w:rPr>
                    <w:t>序号</w:t>
                  </w:r>
                </w:p>
              </w:tc>
              <w:tc>
                <w:tcPr>
                  <w:tcW w:w="203" w:type="pct"/>
                  <w:vMerge w:val="restart"/>
                  <w:vAlign w:val="center"/>
                </w:tcPr>
                <w:p>
                  <w:pPr>
                    <w:pStyle w:val="6"/>
                    <w:suppressLineNumbers w:val="0"/>
                    <w:bidi w:val="0"/>
                    <w:spacing w:before="0" w:beforeAutospacing="0" w:after="0" w:afterAutospacing="0"/>
                    <w:ind w:left="0" w:right="0"/>
                    <w:rPr>
                      <w:rFonts w:hint="default"/>
                    </w:rPr>
                  </w:pPr>
                  <w:r>
                    <w:rPr>
                      <w:rFonts w:hint="default"/>
                    </w:rPr>
                    <w:t>建筑物名称</w:t>
                  </w:r>
                </w:p>
              </w:tc>
              <w:tc>
                <w:tcPr>
                  <w:tcW w:w="466" w:type="pct"/>
                  <w:vMerge w:val="restart"/>
                  <w:vAlign w:val="center"/>
                </w:tcPr>
                <w:p>
                  <w:pPr>
                    <w:pStyle w:val="6"/>
                    <w:suppressLineNumbers w:val="0"/>
                    <w:bidi w:val="0"/>
                    <w:spacing w:before="0" w:beforeAutospacing="0" w:after="0" w:afterAutospacing="0"/>
                    <w:ind w:left="0" w:right="0"/>
                    <w:rPr>
                      <w:rFonts w:hint="default"/>
                    </w:rPr>
                  </w:pPr>
                  <w:r>
                    <w:rPr>
                      <w:rFonts w:hint="default"/>
                    </w:rPr>
                    <w:t>声源名称</w:t>
                  </w:r>
                </w:p>
              </w:tc>
              <w:tc>
                <w:tcPr>
                  <w:tcW w:w="274" w:type="pct"/>
                  <w:vAlign w:val="center"/>
                </w:tcPr>
                <w:p>
                  <w:pPr>
                    <w:pStyle w:val="6"/>
                    <w:suppressLineNumbers w:val="0"/>
                    <w:bidi w:val="0"/>
                    <w:spacing w:before="0" w:beforeAutospacing="0" w:after="0" w:afterAutospacing="0"/>
                    <w:ind w:left="0" w:right="0"/>
                    <w:rPr>
                      <w:rFonts w:hint="default"/>
                      <w:lang w:eastAsia="zh-CN"/>
                    </w:rPr>
                  </w:pPr>
                  <w:r>
                    <w:rPr>
                      <w:rFonts w:hint="default"/>
                      <w:lang w:eastAsia="zh-CN"/>
                    </w:rPr>
                    <w:t>声源源强</w:t>
                  </w:r>
                </w:p>
              </w:tc>
              <w:tc>
                <w:tcPr>
                  <w:tcW w:w="202" w:type="pct"/>
                  <w:vMerge w:val="restart"/>
                  <w:vAlign w:val="center"/>
                </w:tcPr>
                <w:p>
                  <w:pPr>
                    <w:pStyle w:val="6"/>
                    <w:suppressLineNumbers w:val="0"/>
                    <w:bidi w:val="0"/>
                    <w:spacing w:before="0" w:beforeAutospacing="0" w:after="0" w:afterAutospacing="0"/>
                    <w:ind w:left="0" w:right="0"/>
                    <w:rPr>
                      <w:rFonts w:hint="default"/>
                    </w:rPr>
                  </w:pPr>
                  <w:r>
                    <w:rPr>
                      <w:rFonts w:hint="default"/>
                    </w:rPr>
                    <w:t>声源控制措施</w:t>
                  </w:r>
                </w:p>
              </w:tc>
              <w:tc>
                <w:tcPr>
                  <w:tcW w:w="613" w:type="pct"/>
                  <w:gridSpan w:val="3"/>
                  <w:vAlign w:val="center"/>
                </w:tcPr>
                <w:p>
                  <w:pPr>
                    <w:pStyle w:val="6"/>
                    <w:suppressLineNumbers w:val="0"/>
                    <w:bidi w:val="0"/>
                    <w:spacing w:before="0" w:beforeAutospacing="0" w:after="0" w:afterAutospacing="0"/>
                    <w:ind w:left="0" w:right="0"/>
                    <w:rPr>
                      <w:rFonts w:hint="default"/>
                    </w:rPr>
                  </w:pPr>
                  <w:r>
                    <w:rPr>
                      <w:rFonts w:hint="default"/>
                    </w:rPr>
                    <w:t>空间相对位置/m</w:t>
                  </w:r>
                </w:p>
              </w:tc>
              <w:tc>
                <w:tcPr>
                  <w:tcW w:w="714" w:type="pct"/>
                  <w:gridSpan w:val="4"/>
                  <w:vAlign w:val="center"/>
                </w:tcPr>
                <w:p>
                  <w:pPr>
                    <w:pStyle w:val="6"/>
                    <w:suppressLineNumbers w:val="0"/>
                    <w:bidi w:val="0"/>
                    <w:spacing w:before="0" w:beforeAutospacing="0" w:after="0" w:afterAutospacing="0"/>
                    <w:ind w:left="0" w:right="0"/>
                    <w:rPr>
                      <w:rFonts w:hint="default"/>
                    </w:rPr>
                  </w:pPr>
                  <w:r>
                    <w:rPr>
                      <w:rFonts w:hint="default"/>
                    </w:rPr>
                    <w:t>距室内边界距离/m</w:t>
                  </w:r>
                </w:p>
              </w:tc>
              <w:tc>
                <w:tcPr>
                  <w:tcW w:w="685" w:type="pct"/>
                  <w:gridSpan w:val="4"/>
                  <w:vAlign w:val="center"/>
                </w:tcPr>
                <w:p>
                  <w:pPr>
                    <w:pStyle w:val="6"/>
                    <w:suppressLineNumbers w:val="0"/>
                    <w:bidi w:val="0"/>
                    <w:spacing w:before="0" w:beforeAutospacing="0" w:after="0" w:afterAutospacing="0"/>
                    <w:ind w:left="0" w:right="0"/>
                    <w:rPr>
                      <w:rFonts w:hint="default"/>
                    </w:rPr>
                  </w:pPr>
                  <w:r>
                    <w:rPr>
                      <w:rFonts w:hint="default"/>
                    </w:rPr>
                    <w:t>室内边界声级/dB(A)</w:t>
                  </w:r>
                </w:p>
              </w:tc>
              <w:tc>
                <w:tcPr>
                  <w:tcW w:w="129" w:type="pct"/>
                  <w:vMerge w:val="restart"/>
                  <w:vAlign w:val="center"/>
                </w:tcPr>
                <w:p>
                  <w:pPr>
                    <w:pStyle w:val="6"/>
                    <w:suppressLineNumbers w:val="0"/>
                    <w:bidi w:val="0"/>
                    <w:spacing w:before="0" w:beforeAutospacing="0" w:after="0" w:afterAutospacing="0"/>
                    <w:ind w:left="0" w:right="0"/>
                    <w:rPr>
                      <w:rFonts w:hint="default"/>
                    </w:rPr>
                  </w:pPr>
                  <w:r>
                    <w:rPr>
                      <w:rFonts w:hint="default"/>
                    </w:rPr>
                    <w:t>运行时段</w:t>
                  </w:r>
                </w:p>
              </w:tc>
              <w:tc>
                <w:tcPr>
                  <w:tcW w:w="721" w:type="pct"/>
                  <w:gridSpan w:val="4"/>
                  <w:vAlign w:val="center"/>
                </w:tcPr>
                <w:p>
                  <w:pPr>
                    <w:pStyle w:val="6"/>
                    <w:suppressLineNumbers w:val="0"/>
                    <w:bidi w:val="0"/>
                    <w:spacing w:before="0" w:beforeAutospacing="0" w:after="0" w:afterAutospacing="0"/>
                    <w:ind w:left="0" w:right="0"/>
                    <w:rPr>
                      <w:rFonts w:hint="default"/>
                    </w:rPr>
                  </w:pPr>
                  <w:r>
                    <w:rPr>
                      <w:rFonts w:hint="default"/>
                    </w:rPr>
                    <w:t>建筑物插入损失 / dB(A)</w:t>
                  </w:r>
                </w:p>
              </w:tc>
              <w:tc>
                <w:tcPr>
                  <w:tcW w:w="852" w:type="pct"/>
                  <w:gridSpan w:val="5"/>
                  <w:vAlign w:val="center"/>
                </w:tcPr>
                <w:p>
                  <w:pPr>
                    <w:pStyle w:val="6"/>
                    <w:suppressLineNumbers w:val="0"/>
                    <w:bidi w:val="0"/>
                    <w:spacing w:before="0" w:beforeAutospacing="0" w:after="0" w:afterAutospacing="0"/>
                    <w:ind w:left="0" w:right="0"/>
                    <w:rPr>
                      <w:rFonts w:hint="default"/>
                    </w:rPr>
                  </w:pPr>
                  <w:r>
                    <w:rPr>
                      <w:rFonts w:hint="default"/>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trPr>
              <w:tc>
                <w:tcPr>
                  <w:tcW w:w="136"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lang w:val="en-US" w:eastAsia="zh-CN"/>
                    </w:rPr>
                  </w:pPr>
                </w:p>
              </w:tc>
              <w:tc>
                <w:tcPr>
                  <w:tcW w:w="203"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466"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274"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声功率级/dB(A)</w:t>
                  </w:r>
                </w:p>
              </w:tc>
              <w:tc>
                <w:tcPr>
                  <w:tcW w:w="202"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302"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X</w:t>
                  </w:r>
                </w:p>
              </w:tc>
              <w:tc>
                <w:tcPr>
                  <w:tcW w:w="13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Y</w:t>
                  </w:r>
                </w:p>
              </w:tc>
              <w:tc>
                <w:tcPr>
                  <w:tcW w:w="173"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Z</w:t>
                  </w:r>
                </w:p>
              </w:tc>
              <w:tc>
                <w:tcPr>
                  <w:tcW w:w="136"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eastAsia"/>
                      <w:lang w:val="en-US" w:eastAsia="zh-CN"/>
                    </w:rPr>
                    <w:t>东</w:t>
                  </w:r>
                </w:p>
              </w:tc>
              <w:tc>
                <w:tcPr>
                  <w:tcW w:w="166"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eastAsia"/>
                      <w:lang w:val="en-US" w:eastAsia="zh-CN"/>
                    </w:rPr>
                    <w:t>南</w:t>
                  </w:r>
                </w:p>
              </w:tc>
              <w:tc>
                <w:tcPr>
                  <w:tcW w:w="18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eastAsia"/>
                      <w:lang w:val="en-US" w:eastAsia="zh-CN"/>
                    </w:rPr>
                    <w:t>西</w:t>
                  </w:r>
                </w:p>
              </w:tc>
              <w:tc>
                <w:tcPr>
                  <w:tcW w:w="223"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eastAsia"/>
                      <w:lang w:val="en-US" w:eastAsia="zh-CN"/>
                    </w:rPr>
                    <w:t>北</w:t>
                  </w:r>
                </w:p>
              </w:tc>
              <w:tc>
                <w:tcPr>
                  <w:tcW w:w="144"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eastAsia"/>
                      <w:lang w:val="en-US" w:eastAsia="zh-CN"/>
                    </w:rPr>
                    <w:t>东</w:t>
                  </w:r>
                </w:p>
              </w:tc>
              <w:tc>
                <w:tcPr>
                  <w:tcW w:w="158"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eastAsia"/>
                      <w:lang w:val="en-US" w:eastAsia="zh-CN"/>
                    </w:rPr>
                    <w:t>南</w:t>
                  </w:r>
                </w:p>
              </w:tc>
              <w:tc>
                <w:tcPr>
                  <w:tcW w:w="231"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eastAsia"/>
                      <w:lang w:val="en-US" w:eastAsia="zh-CN"/>
                    </w:rPr>
                    <w:t>西</w:t>
                  </w:r>
                </w:p>
              </w:tc>
              <w:tc>
                <w:tcPr>
                  <w:tcW w:w="151"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eastAsia"/>
                      <w:lang w:val="en-US" w:eastAsia="zh-CN"/>
                    </w:rPr>
                    <w:t>北</w:t>
                  </w:r>
                </w:p>
              </w:tc>
              <w:tc>
                <w:tcPr>
                  <w:tcW w:w="129"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18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eastAsia"/>
                      <w:lang w:val="en-US" w:eastAsia="zh-CN"/>
                    </w:rPr>
                    <w:t>东</w:t>
                  </w:r>
                </w:p>
              </w:tc>
              <w:tc>
                <w:tcPr>
                  <w:tcW w:w="209"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eastAsia"/>
                      <w:lang w:val="en-US" w:eastAsia="zh-CN"/>
                    </w:rPr>
                    <w:t>南</w:t>
                  </w:r>
                </w:p>
              </w:tc>
              <w:tc>
                <w:tcPr>
                  <w:tcW w:w="151"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eastAsia"/>
                      <w:lang w:val="en-US" w:eastAsia="zh-CN"/>
                    </w:rPr>
                    <w:t>西</w:t>
                  </w:r>
                </w:p>
              </w:tc>
              <w:tc>
                <w:tcPr>
                  <w:tcW w:w="173"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eastAsia"/>
                      <w:lang w:val="en-US" w:eastAsia="zh-CN"/>
                    </w:rPr>
                    <w:t>北</w:t>
                  </w:r>
                </w:p>
              </w:tc>
              <w:tc>
                <w:tcPr>
                  <w:tcW w:w="13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eastAsia"/>
                      <w:lang w:val="en-US" w:eastAsia="zh-CN"/>
                    </w:rPr>
                    <w:t>东</w:t>
                  </w:r>
                </w:p>
              </w:tc>
              <w:tc>
                <w:tcPr>
                  <w:tcW w:w="158"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eastAsia"/>
                      <w:lang w:val="en-US" w:eastAsia="zh-CN"/>
                    </w:rPr>
                    <w:t>南</w:t>
                  </w:r>
                </w:p>
              </w:tc>
              <w:tc>
                <w:tcPr>
                  <w:tcW w:w="18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eastAsia"/>
                      <w:lang w:val="en-US" w:eastAsia="zh-CN"/>
                    </w:rPr>
                    <w:t>西</w:t>
                  </w:r>
                </w:p>
              </w:tc>
              <w:tc>
                <w:tcPr>
                  <w:tcW w:w="18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eastAsia"/>
                      <w:lang w:val="en-US" w:eastAsia="zh-CN"/>
                    </w:rPr>
                    <w:t>北</w:t>
                  </w:r>
                </w:p>
              </w:tc>
              <w:tc>
                <w:tcPr>
                  <w:tcW w:w="180"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269" w:hRule="atLeast"/>
              </w:trPr>
              <w:tc>
                <w:tcPr>
                  <w:tcW w:w="136"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1</w:t>
                  </w:r>
                </w:p>
              </w:tc>
              <w:tc>
                <w:tcPr>
                  <w:tcW w:w="203"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leftChars="0" w:right="0" w:rightChars="0" w:firstLine="0" w:firstLineChars="0"/>
                    <w:rPr>
                      <w:rFonts w:hint="default"/>
                    </w:rPr>
                  </w:pPr>
                  <w:r>
                    <w:rPr>
                      <w:rFonts w:hint="default" w:ascii="Times New Roman" w:hAnsi="Times New Roman" w:cs="Times New Roman"/>
                    </w:rPr>
                    <w:t>钢筋加工车间</w:t>
                  </w:r>
                </w:p>
              </w:tc>
              <w:tc>
                <w:tcPr>
                  <w:tcW w:w="466"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镦头机</w:t>
                  </w:r>
                </w:p>
              </w:tc>
              <w:tc>
                <w:tcPr>
                  <w:tcW w:w="274"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75</w:t>
                  </w:r>
                </w:p>
              </w:tc>
              <w:tc>
                <w:tcPr>
                  <w:tcW w:w="202"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eastAsia="宋体"/>
                      <w:lang w:val="en-US" w:eastAsia="zh-CN"/>
                    </w:rPr>
                  </w:pPr>
                  <w:r>
                    <w:rPr>
                      <w:rFonts w:hint="eastAsia"/>
                      <w:lang w:val="en-US" w:eastAsia="zh-CN"/>
                    </w:rPr>
                    <w:t>基础减振，建筑隔声</w:t>
                  </w:r>
                </w:p>
              </w:tc>
              <w:tc>
                <w:tcPr>
                  <w:tcW w:w="302"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-48.3</w:t>
                  </w:r>
                </w:p>
              </w:tc>
              <w:tc>
                <w:tcPr>
                  <w:tcW w:w="137"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54.9</w:t>
                  </w:r>
                </w:p>
              </w:tc>
              <w:tc>
                <w:tcPr>
                  <w:tcW w:w="173"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1.2</w:t>
                  </w:r>
                </w:p>
              </w:tc>
              <w:tc>
                <w:tcPr>
                  <w:tcW w:w="136"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37.4</w:t>
                  </w:r>
                </w:p>
              </w:tc>
              <w:tc>
                <w:tcPr>
                  <w:tcW w:w="166"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10.4</w:t>
                  </w:r>
                </w:p>
              </w:tc>
              <w:tc>
                <w:tcPr>
                  <w:tcW w:w="187"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12.9</w:t>
                  </w:r>
                </w:p>
              </w:tc>
              <w:tc>
                <w:tcPr>
                  <w:tcW w:w="223"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12.7</w:t>
                  </w:r>
                </w:p>
              </w:tc>
              <w:tc>
                <w:tcPr>
                  <w:tcW w:w="144"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65.3</w:t>
                  </w:r>
                </w:p>
              </w:tc>
              <w:tc>
                <w:tcPr>
                  <w:tcW w:w="158"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65.3</w:t>
                  </w:r>
                </w:p>
              </w:tc>
              <w:tc>
                <w:tcPr>
                  <w:tcW w:w="231"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65.3</w:t>
                  </w:r>
                </w:p>
              </w:tc>
              <w:tc>
                <w:tcPr>
                  <w:tcW w:w="151"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65.3</w:t>
                  </w:r>
                </w:p>
              </w:tc>
              <w:tc>
                <w:tcPr>
                  <w:tcW w:w="129"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8.0</w:t>
                  </w:r>
                </w:p>
              </w:tc>
              <w:tc>
                <w:tcPr>
                  <w:tcW w:w="187"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26</w:t>
                  </w:r>
                </w:p>
              </w:tc>
              <w:tc>
                <w:tcPr>
                  <w:tcW w:w="209"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26</w:t>
                  </w:r>
                </w:p>
              </w:tc>
              <w:tc>
                <w:tcPr>
                  <w:tcW w:w="151"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26</w:t>
                  </w:r>
                </w:p>
              </w:tc>
              <w:tc>
                <w:tcPr>
                  <w:tcW w:w="173"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26</w:t>
                  </w:r>
                </w:p>
              </w:tc>
              <w:tc>
                <w:tcPr>
                  <w:tcW w:w="137"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39.3</w:t>
                  </w:r>
                </w:p>
              </w:tc>
              <w:tc>
                <w:tcPr>
                  <w:tcW w:w="158"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39.3</w:t>
                  </w:r>
                </w:p>
              </w:tc>
              <w:tc>
                <w:tcPr>
                  <w:tcW w:w="187"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39.3</w:t>
                  </w:r>
                </w:p>
              </w:tc>
              <w:tc>
                <w:tcPr>
                  <w:tcW w:w="187"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39.3</w:t>
                  </w:r>
                </w:p>
              </w:tc>
              <w:tc>
                <w:tcPr>
                  <w:tcW w:w="180" w:type="pct"/>
                  <w:vMerge w:val="restar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0" w:hRule="atLeast"/>
              </w:trPr>
              <w:tc>
                <w:tcPr>
                  <w:tcW w:w="136"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w:t>
                  </w:r>
                </w:p>
              </w:tc>
              <w:tc>
                <w:tcPr>
                  <w:tcW w:w="203"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leftChars="0" w:right="0" w:rightChars="0" w:firstLine="0" w:firstLineChars="0"/>
                    <w:rPr>
                      <w:rFonts w:hint="default"/>
                    </w:rPr>
                  </w:pPr>
                </w:p>
              </w:tc>
              <w:tc>
                <w:tcPr>
                  <w:tcW w:w="466"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274"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202"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302"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137"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173"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136"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166"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187"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223"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144"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158"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231"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151"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129"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187"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209"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151"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173"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137"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158"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187"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187"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180"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0" w:hRule="atLeast"/>
              </w:trPr>
              <w:tc>
                <w:tcPr>
                  <w:tcW w:w="136"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3</w:t>
                  </w:r>
                </w:p>
              </w:tc>
              <w:tc>
                <w:tcPr>
                  <w:tcW w:w="203"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466"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滚焊机</w:t>
                  </w:r>
                </w:p>
              </w:tc>
              <w:tc>
                <w:tcPr>
                  <w:tcW w:w="274"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75</w:t>
                  </w:r>
                </w:p>
              </w:tc>
              <w:tc>
                <w:tcPr>
                  <w:tcW w:w="202"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302"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-40.3</w:t>
                  </w:r>
                </w:p>
              </w:tc>
              <w:tc>
                <w:tcPr>
                  <w:tcW w:w="13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55.8</w:t>
                  </w:r>
                </w:p>
              </w:tc>
              <w:tc>
                <w:tcPr>
                  <w:tcW w:w="173"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1.2</w:t>
                  </w:r>
                </w:p>
              </w:tc>
              <w:tc>
                <w:tcPr>
                  <w:tcW w:w="136"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29.4</w:t>
                  </w:r>
                </w:p>
              </w:tc>
              <w:tc>
                <w:tcPr>
                  <w:tcW w:w="166"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11.3</w:t>
                  </w:r>
                </w:p>
              </w:tc>
              <w:tc>
                <w:tcPr>
                  <w:tcW w:w="18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20.9</w:t>
                  </w:r>
                </w:p>
              </w:tc>
              <w:tc>
                <w:tcPr>
                  <w:tcW w:w="223"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11.8</w:t>
                  </w:r>
                </w:p>
              </w:tc>
              <w:tc>
                <w:tcPr>
                  <w:tcW w:w="144"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65.3</w:t>
                  </w:r>
                </w:p>
              </w:tc>
              <w:tc>
                <w:tcPr>
                  <w:tcW w:w="158"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65.3</w:t>
                  </w:r>
                </w:p>
              </w:tc>
              <w:tc>
                <w:tcPr>
                  <w:tcW w:w="231"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65.3</w:t>
                  </w:r>
                </w:p>
              </w:tc>
              <w:tc>
                <w:tcPr>
                  <w:tcW w:w="151"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65.3</w:t>
                  </w:r>
                </w:p>
              </w:tc>
              <w:tc>
                <w:tcPr>
                  <w:tcW w:w="129"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8.0</w:t>
                  </w:r>
                </w:p>
              </w:tc>
              <w:tc>
                <w:tcPr>
                  <w:tcW w:w="18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26</w:t>
                  </w:r>
                </w:p>
              </w:tc>
              <w:tc>
                <w:tcPr>
                  <w:tcW w:w="209"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26</w:t>
                  </w:r>
                </w:p>
              </w:tc>
              <w:tc>
                <w:tcPr>
                  <w:tcW w:w="151"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26</w:t>
                  </w:r>
                </w:p>
              </w:tc>
              <w:tc>
                <w:tcPr>
                  <w:tcW w:w="173"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26</w:t>
                  </w:r>
                </w:p>
              </w:tc>
              <w:tc>
                <w:tcPr>
                  <w:tcW w:w="13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39.3</w:t>
                  </w:r>
                </w:p>
              </w:tc>
              <w:tc>
                <w:tcPr>
                  <w:tcW w:w="158"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39.3</w:t>
                  </w:r>
                </w:p>
              </w:tc>
              <w:tc>
                <w:tcPr>
                  <w:tcW w:w="18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39.3</w:t>
                  </w:r>
                </w:p>
              </w:tc>
              <w:tc>
                <w:tcPr>
                  <w:tcW w:w="18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39.3</w:t>
                  </w:r>
                </w:p>
              </w:tc>
              <w:tc>
                <w:tcPr>
                  <w:tcW w:w="180"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0" w:hRule="atLeast"/>
              </w:trPr>
              <w:tc>
                <w:tcPr>
                  <w:tcW w:w="136"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4</w:t>
                  </w:r>
                </w:p>
              </w:tc>
              <w:tc>
                <w:tcPr>
                  <w:tcW w:w="203"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466"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空气压缩机</w:t>
                  </w:r>
                </w:p>
              </w:tc>
              <w:tc>
                <w:tcPr>
                  <w:tcW w:w="274"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80</w:t>
                  </w:r>
                </w:p>
              </w:tc>
              <w:tc>
                <w:tcPr>
                  <w:tcW w:w="202"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302"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-35.9</w:t>
                  </w:r>
                </w:p>
              </w:tc>
              <w:tc>
                <w:tcPr>
                  <w:tcW w:w="13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52.7</w:t>
                  </w:r>
                </w:p>
              </w:tc>
              <w:tc>
                <w:tcPr>
                  <w:tcW w:w="173"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1.2</w:t>
                  </w:r>
                </w:p>
              </w:tc>
              <w:tc>
                <w:tcPr>
                  <w:tcW w:w="136"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25.0</w:t>
                  </w:r>
                </w:p>
              </w:tc>
              <w:tc>
                <w:tcPr>
                  <w:tcW w:w="166"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8.2</w:t>
                  </w:r>
                </w:p>
              </w:tc>
              <w:tc>
                <w:tcPr>
                  <w:tcW w:w="18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25.3</w:t>
                  </w:r>
                </w:p>
              </w:tc>
              <w:tc>
                <w:tcPr>
                  <w:tcW w:w="223"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14.9</w:t>
                  </w:r>
                </w:p>
              </w:tc>
              <w:tc>
                <w:tcPr>
                  <w:tcW w:w="144"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70.3</w:t>
                  </w:r>
                </w:p>
              </w:tc>
              <w:tc>
                <w:tcPr>
                  <w:tcW w:w="158"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70.3</w:t>
                  </w:r>
                </w:p>
              </w:tc>
              <w:tc>
                <w:tcPr>
                  <w:tcW w:w="231"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70.3</w:t>
                  </w:r>
                </w:p>
              </w:tc>
              <w:tc>
                <w:tcPr>
                  <w:tcW w:w="151"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70.3</w:t>
                  </w:r>
                </w:p>
              </w:tc>
              <w:tc>
                <w:tcPr>
                  <w:tcW w:w="129"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8.0</w:t>
                  </w:r>
                </w:p>
              </w:tc>
              <w:tc>
                <w:tcPr>
                  <w:tcW w:w="18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26</w:t>
                  </w:r>
                </w:p>
              </w:tc>
              <w:tc>
                <w:tcPr>
                  <w:tcW w:w="209"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26</w:t>
                  </w:r>
                </w:p>
              </w:tc>
              <w:tc>
                <w:tcPr>
                  <w:tcW w:w="151"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26</w:t>
                  </w:r>
                </w:p>
              </w:tc>
              <w:tc>
                <w:tcPr>
                  <w:tcW w:w="173"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26</w:t>
                  </w:r>
                </w:p>
              </w:tc>
              <w:tc>
                <w:tcPr>
                  <w:tcW w:w="13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44.3</w:t>
                  </w:r>
                </w:p>
              </w:tc>
              <w:tc>
                <w:tcPr>
                  <w:tcW w:w="158"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44.3</w:t>
                  </w:r>
                </w:p>
              </w:tc>
              <w:tc>
                <w:tcPr>
                  <w:tcW w:w="18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44.3</w:t>
                  </w:r>
                </w:p>
              </w:tc>
              <w:tc>
                <w:tcPr>
                  <w:tcW w:w="18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44.3</w:t>
                  </w:r>
                </w:p>
              </w:tc>
              <w:tc>
                <w:tcPr>
                  <w:tcW w:w="180"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0" w:hRule="atLeast"/>
              </w:trPr>
              <w:tc>
                <w:tcPr>
                  <w:tcW w:w="136"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5</w:t>
                  </w:r>
                </w:p>
              </w:tc>
              <w:tc>
                <w:tcPr>
                  <w:tcW w:w="203"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466"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钢筋切断机</w:t>
                  </w:r>
                </w:p>
              </w:tc>
              <w:tc>
                <w:tcPr>
                  <w:tcW w:w="274"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80</w:t>
                  </w:r>
                </w:p>
              </w:tc>
              <w:tc>
                <w:tcPr>
                  <w:tcW w:w="202"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302"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-32.3</w:t>
                  </w:r>
                </w:p>
              </w:tc>
              <w:tc>
                <w:tcPr>
                  <w:tcW w:w="13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56.3</w:t>
                  </w:r>
                </w:p>
              </w:tc>
              <w:tc>
                <w:tcPr>
                  <w:tcW w:w="173"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1.2</w:t>
                  </w:r>
                </w:p>
              </w:tc>
              <w:tc>
                <w:tcPr>
                  <w:tcW w:w="136"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21.4</w:t>
                  </w:r>
                </w:p>
              </w:tc>
              <w:tc>
                <w:tcPr>
                  <w:tcW w:w="166"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11.8</w:t>
                  </w:r>
                </w:p>
              </w:tc>
              <w:tc>
                <w:tcPr>
                  <w:tcW w:w="18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28.9</w:t>
                  </w:r>
                </w:p>
              </w:tc>
              <w:tc>
                <w:tcPr>
                  <w:tcW w:w="223"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11.3</w:t>
                  </w:r>
                </w:p>
              </w:tc>
              <w:tc>
                <w:tcPr>
                  <w:tcW w:w="144"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70.3</w:t>
                  </w:r>
                </w:p>
              </w:tc>
              <w:tc>
                <w:tcPr>
                  <w:tcW w:w="158"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70.3</w:t>
                  </w:r>
                </w:p>
              </w:tc>
              <w:tc>
                <w:tcPr>
                  <w:tcW w:w="231"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70.3</w:t>
                  </w:r>
                </w:p>
              </w:tc>
              <w:tc>
                <w:tcPr>
                  <w:tcW w:w="151"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70.3</w:t>
                  </w:r>
                </w:p>
              </w:tc>
              <w:tc>
                <w:tcPr>
                  <w:tcW w:w="129"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8.0</w:t>
                  </w:r>
                </w:p>
              </w:tc>
              <w:tc>
                <w:tcPr>
                  <w:tcW w:w="18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26</w:t>
                  </w:r>
                </w:p>
              </w:tc>
              <w:tc>
                <w:tcPr>
                  <w:tcW w:w="209"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26</w:t>
                  </w:r>
                </w:p>
              </w:tc>
              <w:tc>
                <w:tcPr>
                  <w:tcW w:w="151"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26</w:t>
                  </w:r>
                </w:p>
              </w:tc>
              <w:tc>
                <w:tcPr>
                  <w:tcW w:w="173"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26</w:t>
                  </w:r>
                </w:p>
              </w:tc>
              <w:tc>
                <w:tcPr>
                  <w:tcW w:w="13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44.3</w:t>
                  </w:r>
                </w:p>
              </w:tc>
              <w:tc>
                <w:tcPr>
                  <w:tcW w:w="158"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44.3</w:t>
                  </w:r>
                </w:p>
              </w:tc>
              <w:tc>
                <w:tcPr>
                  <w:tcW w:w="18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44.3</w:t>
                  </w:r>
                </w:p>
              </w:tc>
              <w:tc>
                <w:tcPr>
                  <w:tcW w:w="18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44.3</w:t>
                  </w:r>
                </w:p>
              </w:tc>
              <w:tc>
                <w:tcPr>
                  <w:tcW w:w="180"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0" w:hRule="atLeast"/>
              </w:trPr>
              <w:tc>
                <w:tcPr>
                  <w:tcW w:w="136"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6</w:t>
                  </w:r>
                </w:p>
              </w:tc>
              <w:tc>
                <w:tcPr>
                  <w:tcW w:w="203"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466"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手动电焊机,4台（按点声源组预测）</w:t>
                  </w:r>
                </w:p>
              </w:tc>
              <w:tc>
                <w:tcPr>
                  <w:tcW w:w="274"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85（等效后：91.0)</w:t>
                  </w:r>
                </w:p>
              </w:tc>
              <w:tc>
                <w:tcPr>
                  <w:tcW w:w="202" w:type="pct"/>
                  <w:vMerge w:val="continue"/>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p>
              </w:tc>
              <w:tc>
                <w:tcPr>
                  <w:tcW w:w="302"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-22.5</w:t>
                  </w:r>
                </w:p>
              </w:tc>
              <w:tc>
                <w:tcPr>
                  <w:tcW w:w="13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52</w:t>
                  </w:r>
                </w:p>
              </w:tc>
              <w:tc>
                <w:tcPr>
                  <w:tcW w:w="173"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1.2</w:t>
                  </w:r>
                </w:p>
              </w:tc>
              <w:tc>
                <w:tcPr>
                  <w:tcW w:w="136"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11.6</w:t>
                  </w:r>
                </w:p>
              </w:tc>
              <w:tc>
                <w:tcPr>
                  <w:tcW w:w="166"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7.5</w:t>
                  </w:r>
                </w:p>
              </w:tc>
              <w:tc>
                <w:tcPr>
                  <w:tcW w:w="18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38.7</w:t>
                  </w:r>
                </w:p>
              </w:tc>
              <w:tc>
                <w:tcPr>
                  <w:tcW w:w="223"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15.6</w:t>
                  </w:r>
                </w:p>
              </w:tc>
              <w:tc>
                <w:tcPr>
                  <w:tcW w:w="144"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81.3</w:t>
                  </w:r>
                </w:p>
              </w:tc>
              <w:tc>
                <w:tcPr>
                  <w:tcW w:w="158"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81.3</w:t>
                  </w:r>
                </w:p>
              </w:tc>
              <w:tc>
                <w:tcPr>
                  <w:tcW w:w="231"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81.3</w:t>
                  </w:r>
                </w:p>
              </w:tc>
              <w:tc>
                <w:tcPr>
                  <w:tcW w:w="151"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81.3</w:t>
                  </w:r>
                </w:p>
              </w:tc>
              <w:tc>
                <w:tcPr>
                  <w:tcW w:w="129"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8.0</w:t>
                  </w:r>
                </w:p>
              </w:tc>
              <w:tc>
                <w:tcPr>
                  <w:tcW w:w="18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26</w:t>
                  </w:r>
                </w:p>
              </w:tc>
              <w:tc>
                <w:tcPr>
                  <w:tcW w:w="209"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26</w:t>
                  </w:r>
                </w:p>
              </w:tc>
              <w:tc>
                <w:tcPr>
                  <w:tcW w:w="151"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26</w:t>
                  </w:r>
                </w:p>
              </w:tc>
              <w:tc>
                <w:tcPr>
                  <w:tcW w:w="173"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26</w:t>
                  </w:r>
                </w:p>
              </w:tc>
              <w:tc>
                <w:tcPr>
                  <w:tcW w:w="13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55.3</w:t>
                  </w:r>
                </w:p>
              </w:tc>
              <w:tc>
                <w:tcPr>
                  <w:tcW w:w="158"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55.3</w:t>
                  </w:r>
                </w:p>
              </w:tc>
              <w:tc>
                <w:tcPr>
                  <w:tcW w:w="18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55.3</w:t>
                  </w:r>
                </w:p>
              </w:tc>
              <w:tc>
                <w:tcPr>
                  <w:tcW w:w="187"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55.3</w:t>
                  </w:r>
                </w:p>
              </w:tc>
              <w:tc>
                <w:tcPr>
                  <w:tcW w:w="180" w:type="pct"/>
                  <w:shd w:val="clear" w:color="auto" w:fill="FFFFFF"/>
                  <w:tcMar>
                    <w:top w:w="0" w:type="dxa"/>
                    <w:left w:w="0" w:type="dxa"/>
                    <w:bottom w:w="0" w:type="dxa"/>
                    <w:right w:w="0" w:type="dxa"/>
                  </w:tcMar>
                  <w:vAlign w:val="center"/>
                </w:tcPr>
                <w:p>
                  <w:pPr>
                    <w:pStyle w:val="6"/>
                    <w:suppressLineNumbers w:val="0"/>
                    <w:bidi w:val="0"/>
                    <w:spacing w:before="0" w:beforeAutospacing="0" w:after="0" w:afterAutospacing="0"/>
                    <w:ind w:left="0" w:right="0"/>
                    <w:rPr>
                      <w:rFonts w:hint="default"/>
                    </w:rPr>
                  </w:pPr>
                  <w:r>
                    <w:rPr>
                      <w:rFonts w:hint="default"/>
                    </w:rPr>
                    <w:t>1</w:t>
                  </w:r>
                </w:p>
              </w:tc>
            </w:tr>
          </w:tbl>
          <w:p>
            <w:pPr>
              <w:keepNext w:val="0"/>
              <w:keepLines w:val="0"/>
              <w:suppressLineNumbers w:val="0"/>
              <w:adjustRightInd w:val="0"/>
              <w:snapToGrid w:val="0"/>
              <w:spacing w:before="0" w:beforeAutospacing="0" w:after="0" w:afterAutospacing="0" w:line="360" w:lineRule="auto"/>
              <w:ind w:left="0" w:leftChars="0" w:right="0" w:firstLine="0" w:firstLineChars="0"/>
              <w:rPr>
                <w:rFonts w:hint="default" w:ascii="Times New Roman" w:hAnsi="Times New Roman" w:cs="Times New Roman"/>
                <w:b/>
                <w:color w:val="000000"/>
                <w:kern w:val="0"/>
                <w:sz w:val="28"/>
                <w:szCs w:val="28"/>
                <w:highlight w:val="yellow"/>
                <w:vertAlign w:val="baseline"/>
              </w:rPr>
            </w:pPr>
          </w:p>
        </w:tc>
      </w:tr>
    </w:tbl>
    <w:p>
      <w:pPr>
        <w:adjustRightInd w:val="0"/>
        <w:snapToGrid w:val="0"/>
        <w:spacing w:line="360" w:lineRule="auto"/>
        <w:rPr>
          <w:rFonts w:hint="default" w:ascii="Times New Roman" w:hAnsi="Times New Roman" w:eastAsia="宋体" w:cs="Times New Roman"/>
          <w:b/>
          <w:color w:val="000000"/>
          <w:kern w:val="0"/>
          <w:sz w:val="28"/>
          <w:szCs w:val="28"/>
          <w:highlight w:val="none"/>
          <w:lang w:val="en-US" w:eastAsia="zh-CN"/>
        </w:rPr>
        <w:sectPr>
          <w:headerReference r:id="rId7" w:type="default"/>
          <w:pgSz w:w="16840" w:h="11907" w:orient="landscape"/>
          <w:pgMar w:top="1531" w:right="1701" w:bottom="1531" w:left="2127"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8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3" w:hRule="atLeast"/>
        </w:trPr>
        <w:tc>
          <w:tcPr>
            <w:tcW w:w="650" w:type="dxa"/>
          </w:tcPr>
          <w:p>
            <w:pPr>
              <w:keepNext w:val="0"/>
              <w:keepLines w:val="0"/>
              <w:suppressLineNumbers w:val="0"/>
              <w:spacing w:before="0" w:beforeAutospacing="0" w:after="0" w:afterAutospacing="0"/>
              <w:ind w:left="0" w:right="0"/>
              <w:rPr>
                <w:rFonts w:hint="default" w:ascii="Times New Roman" w:hAnsi="Times New Roman" w:cs="Times New Roman"/>
                <w:vertAlign w:val="baseline"/>
              </w:rPr>
            </w:pPr>
          </w:p>
        </w:tc>
        <w:tc>
          <w:tcPr>
            <w:tcW w:w="8411" w:type="dxa"/>
          </w:tcPr>
          <w:p>
            <w:pPr>
              <w:keepNext w:val="0"/>
              <w:keepLines w:val="0"/>
              <w:numPr>
                <w:ilvl w:val="0"/>
                <w:numId w:val="0"/>
              </w:numPr>
              <w:suppressLineNumbers w:val="0"/>
              <w:bidi w:val="0"/>
              <w:spacing w:before="0" w:beforeAutospacing="0" w:after="0" w:afterAutospacing="0"/>
              <w:ind w:left="0" w:right="0" w:firstLine="480" w:firstLineChars="200"/>
              <w:rPr>
                <w:rFonts w:hint="default" w:ascii="Times New Roman" w:hAnsi="Times New Roman" w:cs="Times New Roman"/>
                <w:lang w:val="en-US" w:eastAsia="zh-CN"/>
              </w:rPr>
            </w:pPr>
            <w:r>
              <w:rPr>
                <w:rFonts w:hint="default" w:ascii="Times New Roman" w:hAnsi="Times New Roman" w:eastAsia="宋体" w:cs="Times New Roman"/>
                <w:kern w:val="2"/>
                <w:sz w:val="24"/>
                <w:szCs w:val="24"/>
                <w:lang w:val="en-US" w:eastAsia="zh-CN" w:bidi="ar-SA"/>
              </w:rPr>
              <w:t>（3）</w:t>
            </w:r>
            <w:r>
              <w:rPr>
                <w:rFonts w:hint="default" w:ascii="Times New Roman" w:hAnsi="Times New Roman" w:cs="Times New Roman"/>
                <w:lang w:val="en-US" w:eastAsia="zh-CN"/>
              </w:rPr>
              <w:t>预测结果分析</w:t>
            </w:r>
          </w:p>
          <w:p>
            <w:pPr>
              <w:keepNext w:val="0"/>
              <w:keepLines w:val="0"/>
              <w:numPr>
                <w:ilvl w:val="0"/>
                <w:numId w:val="0"/>
              </w:numPr>
              <w:suppressLineNumbers w:val="0"/>
              <w:bidi w:val="0"/>
              <w:spacing w:before="0" w:beforeAutospacing="0" w:after="0" w:afterAutospacing="0"/>
              <w:ind w:left="0" w:right="0" w:firstLine="48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通过预测模型计算，项目厂界噪声预测结果与达标分析见表4-</w:t>
            </w:r>
            <w:r>
              <w:rPr>
                <w:rFonts w:hint="eastAsia" w:cs="Times New Roman"/>
                <w:highlight w:val="none"/>
                <w:lang w:val="en-US" w:eastAsia="zh-CN"/>
              </w:rPr>
              <w:t>9</w:t>
            </w:r>
            <w:r>
              <w:rPr>
                <w:rFonts w:hint="default" w:ascii="Times New Roman" w:hAnsi="Times New Roman" w:cs="Times New Roman"/>
                <w:highlight w:val="none"/>
                <w:lang w:val="en-US" w:eastAsia="zh-CN"/>
              </w:rPr>
              <w:t>。</w:t>
            </w:r>
          </w:p>
          <w:p>
            <w:pPr>
              <w:pStyle w:val="5"/>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表4-</w:t>
            </w:r>
            <w:r>
              <w:rPr>
                <w:rFonts w:hint="eastAsia" w:cs="Times New Roman"/>
                <w:highlight w:val="none"/>
                <w:lang w:val="en-US" w:eastAsia="zh-CN"/>
              </w:rPr>
              <w:t>9</w:t>
            </w:r>
            <w:r>
              <w:rPr>
                <w:rFonts w:hint="default" w:ascii="Times New Roman" w:hAnsi="Times New Roman" w:cs="Times New Roman"/>
                <w:highlight w:val="none"/>
                <w:lang w:val="en-US" w:eastAsia="zh-CN"/>
              </w:rPr>
              <w:t xml:space="preserve">  厂界噪声预测结果与达标分析表</w:t>
            </w:r>
            <w:bookmarkStart w:id="3" w:name="PT_7"/>
          </w:p>
          <w:bookmarkEnd w:id="3"/>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918"/>
              <w:gridCol w:w="958"/>
              <w:gridCol w:w="701"/>
              <w:gridCol w:w="879"/>
              <w:gridCol w:w="1678"/>
              <w:gridCol w:w="1238"/>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0" w:hRule="exact"/>
                <w:jc w:val="center"/>
              </w:trPr>
              <w:tc>
                <w:tcPr>
                  <w:tcW w:w="566"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预测方位</w:t>
                  </w:r>
                </w:p>
              </w:tc>
              <w:tc>
                <w:tcPr>
                  <w:tcW w:w="1574" w:type="pct"/>
                  <w:gridSpan w:val="3"/>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lang w:val="en-US" w:eastAsia="zh-CN"/>
                    </w:rPr>
                    <w:t>最大值点</w:t>
                  </w:r>
                  <w:r>
                    <w:rPr>
                      <w:rFonts w:hint="default" w:ascii="Times New Roman" w:hAnsi="Times New Roman" w:cs="Times New Roman"/>
                      <w:highlight w:val="none"/>
                    </w:rPr>
                    <w:t>空间相对位置/m</w:t>
                  </w:r>
                </w:p>
              </w:tc>
              <w:tc>
                <w:tcPr>
                  <w:tcW w:w="537"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时段</w:t>
                  </w:r>
                </w:p>
              </w:tc>
              <w:tc>
                <w:tcPr>
                  <w:tcW w:w="1025" w:type="pct"/>
                  <w:vMerge w:val="restart"/>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贡献值</w:t>
                  </w:r>
                </w:p>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（dB(A)）</w:t>
                  </w:r>
                </w:p>
              </w:tc>
              <w:tc>
                <w:tcPr>
                  <w:tcW w:w="756" w:type="pct"/>
                  <w:vMerge w:val="restart"/>
                  <w:vAlign w:val="center"/>
                </w:tcPr>
                <w:p>
                  <w:pPr>
                    <w:pStyle w:val="6"/>
                    <w:keepNext/>
                    <w:keepLines/>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标准限值（dB(A)）</w:t>
                  </w:r>
                </w:p>
              </w:tc>
              <w:tc>
                <w:tcPr>
                  <w:tcW w:w="540" w:type="pct"/>
                  <w:vMerge w:val="restart"/>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66" w:type="pct"/>
                  <w:vMerge w:val="continue"/>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c>
                <w:tcPr>
                  <w:tcW w:w="561" w:type="pct"/>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X</w:t>
                  </w:r>
                </w:p>
              </w:tc>
              <w:tc>
                <w:tcPr>
                  <w:tcW w:w="585" w:type="pct"/>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Y</w:t>
                  </w:r>
                </w:p>
              </w:tc>
              <w:tc>
                <w:tcPr>
                  <w:tcW w:w="427" w:type="pct"/>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Z</w:t>
                  </w:r>
                </w:p>
              </w:tc>
              <w:tc>
                <w:tcPr>
                  <w:tcW w:w="537" w:type="pct"/>
                  <w:vMerge w:val="continue"/>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c>
                <w:tcPr>
                  <w:tcW w:w="1025" w:type="pct"/>
                  <w:vMerge w:val="continue"/>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c>
                <w:tcPr>
                  <w:tcW w:w="756" w:type="pct"/>
                  <w:vMerge w:val="continue"/>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c>
                <w:tcPr>
                  <w:tcW w:w="540" w:type="pct"/>
                  <w:vMerge w:val="continue"/>
                  <w:shd w:val="clear" w:color="auto" w:fill="FFFFFF"/>
                  <w:vAlign w:val="center"/>
                </w:tcPr>
                <w:p>
                  <w:pPr>
                    <w:pStyle w:val="6"/>
                    <w:suppressLineNumbers w:val="0"/>
                    <w:bidi w:val="0"/>
                    <w:spacing w:before="0" w:beforeAutospacing="0" w:after="0" w:afterAutospacing="0"/>
                    <w:ind w:left="0" w:right="0"/>
                    <w:rPr>
                      <w:rFonts w:hint="default" w:ascii="Times New Roman" w:hAnsi="Times New Roman"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347" w:hRule="exact"/>
                <w:jc w:val="center"/>
              </w:trPr>
              <w:tc>
                <w:tcPr>
                  <w:tcW w:w="566" w:type="pct"/>
                  <w:shd w:val="clear" w:color="auto" w:fill="FFFFFF"/>
                  <w:vAlign w:val="center"/>
                </w:tcPr>
                <w:p>
                  <w:pPr>
                    <w:pStyle w:val="6"/>
                    <w:suppressLineNumbers w:val="0"/>
                    <w:bidi w:val="0"/>
                    <w:spacing w:before="0" w:beforeAutospacing="0" w:after="0" w:afterAutospacing="0" w:line="240" w:lineRule="auto"/>
                    <w:ind w:left="0" w:right="0"/>
                    <w:rPr>
                      <w:rFonts w:hint="default" w:ascii="Times New Roman" w:hAnsi="Times New Roman" w:cs="Times New Roman"/>
                      <w:highlight w:val="none"/>
                    </w:rPr>
                  </w:pPr>
                  <w:r>
                    <w:rPr>
                      <w:rFonts w:hint="default" w:ascii="Times New Roman" w:hAnsi="Times New Roman" w:cs="Times New Roman"/>
                      <w:highlight w:val="none"/>
                    </w:rPr>
                    <w:t>东侧</w:t>
                  </w:r>
                </w:p>
              </w:tc>
              <w:tc>
                <w:tcPr>
                  <w:tcW w:w="561"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83.6</w:t>
                  </w:r>
                </w:p>
              </w:tc>
              <w:tc>
                <w:tcPr>
                  <w:tcW w:w="585"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9.8</w:t>
                  </w:r>
                </w:p>
              </w:tc>
              <w:tc>
                <w:tcPr>
                  <w:tcW w:w="427"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1.2</w:t>
                  </w:r>
                </w:p>
              </w:tc>
              <w:tc>
                <w:tcPr>
                  <w:tcW w:w="537" w:type="pct"/>
                  <w:shd w:val="clear" w:color="auto" w:fill="FFFFFF"/>
                  <w:vAlign w:val="center"/>
                </w:tcPr>
                <w:p>
                  <w:pPr>
                    <w:pStyle w:val="6"/>
                    <w:suppressLineNumbers w:val="0"/>
                    <w:bidi w:val="0"/>
                    <w:spacing w:before="0" w:beforeAutospacing="0" w:after="0" w:afterAutospacing="0" w:line="240" w:lineRule="auto"/>
                    <w:ind w:left="0" w:right="0"/>
                    <w:rPr>
                      <w:rFonts w:hint="default" w:ascii="Times New Roman" w:hAnsi="Times New Roman" w:cs="Times New Roman"/>
                      <w:highlight w:val="none"/>
                    </w:rPr>
                  </w:pPr>
                  <w:r>
                    <w:rPr>
                      <w:rFonts w:hint="default" w:ascii="Times New Roman" w:hAnsi="Times New Roman" w:cs="Times New Roman"/>
                      <w:highlight w:val="none"/>
                    </w:rPr>
                    <w:t>昼间</w:t>
                  </w:r>
                </w:p>
              </w:tc>
              <w:tc>
                <w:tcPr>
                  <w:tcW w:w="1025"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33.6</w:t>
                  </w:r>
                </w:p>
              </w:tc>
              <w:tc>
                <w:tcPr>
                  <w:tcW w:w="756" w:type="pct"/>
                  <w:shd w:val="clear" w:color="auto" w:fill="FFFFFF"/>
                  <w:vAlign w:val="center"/>
                </w:tcPr>
                <w:p>
                  <w:pPr>
                    <w:pStyle w:val="6"/>
                    <w:suppressLineNumbers w:val="0"/>
                    <w:bidi w:val="0"/>
                    <w:spacing w:before="0" w:beforeAutospacing="0" w:after="0" w:afterAutospacing="0" w:line="240" w:lineRule="auto"/>
                    <w:ind w:left="0" w:right="0"/>
                    <w:rPr>
                      <w:rFonts w:hint="default" w:ascii="Times New Roman" w:hAnsi="Times New Roman" w:cs="Times New Roman"/>
                      <w:highlight w:val="none"/>
                    </w:rPr>
                  </w:pPr>
                  <w:r>
                    <w:rPr>
                      <w:rFonts w:hint="default" w:ascii="Times New Roman" w:hAnsi="Times New Roman" w:cs="Times New Roman"/>
                      <w:highlight w:val="none"/>
                    </w:rPr>
                    <w:t>65</w:t>
                  </w:r>
                </w:p>
              </w:tc>
              <w:tc>
                <w:tcPr>
                  <w:tcW w:w="540" w:type="pct"/>
                  <w:shd w:val="clear" w:color="auto" w:fill="FFFFFF"/>
                  <w:vAlign w:val="center"/>
                </w:tcPr>
                <w:p>
                  <w:pPr>
                    <w:pStyle w:val="6"/>
                    <w:suppressLineNumbers w:val="0"/>
                    <w:bidi w:val="0"/>
                    <w:spacing w:before="0" w:beforeAutospacing="0" w:after="0" w:afterAutospacing="0" w:line="240" w:lineRule="auto"/>
                    <w:ind w:left="0" w:right="0"/>
                    <w:rPr>
                      <w:rFonts w:hint="default" w:ascii="Times New Roman" w:hAnsi="Times New Roman" w:cs="Times New Roman"/>
                      <w:highlight w:val="none"/>
                    </w:rPr>
                  </w:pPr>
                  <w:r>
                    <w:rPr>
                      <w:rFonts w:hint="default" w:ascii="Times New Roman" w:hAnsi="Times New Roman"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340" w:hRule="exact"/>
                <w:jc w:val="center"/>
              </w:trPr>
              <w:tc>
                <w:tcPr>
                  <w:tcW w:w="566" w:type="pct"/>
                  <w:shd w:val="clear" w:color="auto" w:fill="FFFFFF"/>
                  <w:vAlign w:val="center"/>
                </w:tcPr>
                <w:p>
                  <w:pPr>
                    <w:pStyle w:val="6"/>
                    <w:suppressLineNumbers w:val="0"/>
                    <w:bidi w:val="0"/>
                    <w:spacing w:before="0" w:beforeAutospacing="0" w:after="0" w:afterAutospacing="0" w:line="240" w:lineRule="auto"/>
                    <w:ind w:left="0" w:right="0"/>
                    <w:rPr>
                      <w:rFonts w:hint="default" w:ascii="Times New Roman" w:hAnsi="Times New Roman" w:cs="Times New Roman"/>
                      <w:highlight w:val="none"/>
                    </w:rPr>
                  </w:pPr>
                  <w:r>
                    <w:rPr>
                      <w:rFonts w:hint="default" w:ascii="Times New Roman" w:hAnsi="Times New Roman" w:cs="Times New Roman"/>
                      <w:highlight w:val="none"/>
                    </w:rPr>
                    <w:t>南侧</w:t>
                  </w:r>
                </w:p>
              </w:tc>
              <w:tc>
                <w:tcPr>
                  <w:tcW w:w="561"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-40.9</w:t>
                  </w:r>
                </w:p>
              </w:tc>
              <w:tc>
                <w:tcPr>
                  <w:tcW w:w="585"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-116.4</w:t>
                  </w:r>
                </w:p>
              </w:tc>
              <w:tc>
                <w:tcPr>
                  <w:tcW w:w="427"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1.2</w:t>
                  </w:r>
                </w:p>
              </w:tc>
              <w:tc>
                <w:tcPr>
                  <w:tcW w:w="537" w:type="pct"/>
                  <w:shd w:val="clear" w:color="auto" w:fill="FFFFFF"/>
                  <w:vAlign w:val="center"/>
                </w:tcPr>
                <w:p>
                  <w:pPr>
                    <w:pStyle w:val="6"/>
                    <w:suppressLineNumbers w:val="0"/>
                    <w:bidi w:val="0"/>
                    <w:spacing w:before="0" w:beforeAutospacing="0" w:after="0" w:afterAutospacing="0" w:line="240" w:lineRule="auto"/>
                    <w:ind w:left="0" w:right="0"/>
                    <w:rPr>
                      <w:rFonts w:hint="default" w:ascii="Times New Roman" w:hAnsi="Times New Roman" w:cs="Times New Roman"/>
                      <w:highlight w:val="none"/>
                    </w:rPr>
                  </w:pPr>
                  <w:r>
                    <w:rPr>
                      <w:rFonts w:hint="default" w:ascii="Times New Roman" w:hAnsi="Times New Roman" w:cs="Times New Roman"/>
                      <w:highlight w:val="none"/>
                    </w:rPr>
                    <w:t>昼间</w:t>
                  </w:r>
                </w:p>
              </w:tc>
              <w:tc>
                <w:tcPr>
                  <w:tcW w:w="1025"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26.2</w:t>
                  </w:r>
                </w:p>
              </w:tc>
              <w:tc>
                <w:tcPr>
                  <w:tcW w:w="756" w:type="pct"/>
                  <w:shd w:val="clear" w:color="auto" w:fill="FFFFFF"/>
                  <w:vAlign w:val="center"/>
                </w:tcPr>
                <w:p>
                  <w:pPr>
                    <w:pStyle w:val="6"/>
                    <w:suppressLineNumbers w:val="0"/>
                    <w:bidi w:val="0"/>
                    <w:spacing w:before="0" w:beforeAutospacing="0" w:after="0" w:afterAutospacing="0" w:line="240" w:lineRule="auto"/>
                    <w:ind w:left="0" w:right="0"/>
                    <w:rPr>
                      <w:rFonts w:hint="default" w:ascii="Times New Roman" w:hAnsi="Times New Roman" w:cs="Times New Roman"/>
                      <w:highlight w:val="none"/>
                    </w:rPr>
                  </w:pPr>
                  <w:r>
                    <w:rPr>
                      <w:rFonts w:hint="default" w:ascii="Times New Roman" w:hAnsi="Times New Roman" w:cs="Times New Roman"/>
                      <w:highlight w:val="none"/>
                    </w:rPr>
                    <w:t>65</w:t>
                  </w:r>
                </w:p>
              </w:tc>
              <w:tc>
                <w:tcPr>
                  <w:tcW w:w="540" w:type="pct"/>
                  <w:shd w:val="clear" w:color="auto" w:fill="FFFFFF"/>
                  <w:vAlign w:val="center"/>
                </w:tcPr>
                <w:p>
                  <w:pPr>
                    <w:pStyle w:val="6"/>
                    <w:suppressLineNumbers w:val="0"/>
                    <w:bidi w:val="0"/>
                    <w:spacing w:before="0" w:beforeAutospacing="0" w:after="0" w:afterAutospacing="0" w:line="240" w:lineRule="auto"/>
                    <w:ind w:left="0" w:right="0"/>
                    <w:rPr>
                      <w:rFonts w:hint="default" w:ascii="Times New Roman" w:hAnsi="Times New Roman" w:cs="Times New Roman"/>
                      <w:highlight w:val="none"/>
                    </w:rPr>
                  </w:pPr>
                  <w:r>
                    <w:rPr>
                      <w:rFonts w:hint="default" w:ascii="Times New Roman" w:hAnsi="Times New Roman"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323" w:hRule="exact"/>
                <w:jc w:val="center"/>
              </w:trPr>
              <w:tc>
                <w:tcPr>
                  <w:tcW w:w="566" w:type="pct"/>
                  <w:shd w:val="clear" w:color="auto" w:fill="FFFFFF"/>
                  <w:vAlign w:val="center"/>
                </w:tcPr>
                <w:p>
                  <w:pPr>
                    <w:pStyle w:val="6"/>
                    <w:suppressLineNumbers w:val="0"/>
                    <w:bidi w:val="0"/>
                    <w:spacing w:before="0" w:beforeAutospacing="0" w:after="0" w:afterAutospacing="0" w:line="240" w:lineRule="auto"/>
                    <w:ind w:left="0" w:right="0"/>
                    <w:rPr>
                      <w:rFonts w:hint="default" w:ascii="Times New Roman" w:hAnsi="Times New Roman" w:cs="Times New Roman"/>
                      <w:highlight w:val="none"/>
                    </w:rPr>
                  </w:pPr>
                  <w:r>
                    <w:rPr>
                      <w:rFonts w:hint="default" w:ascii="Times New Roman" w:hAnsi="Times New Roman" w:cs="Times New Roman"/>
                      <w:highlight w:val="none"/>
                    </w:rPr>
                    <w:t>西侧</w:t>
                  </w:r>
                </w:p>
              </w:tc>
              <w:tc>
                <w:tcPr>
                  <w:tcW w:w="561"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-0.2</w:t>
                  </w:r>
                </w:p>
              </w:tc>
              <w:tc>
                <w:tcPr>
                  <w:tcW w:w="585"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-0.2</w:t>
                  </w:r>
                </w:p>
              </w:tc>
              <w:tc>
                <w:tcPr>
                  <w:tcW w:w="427"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1.2</w:t>
                  </w:r>
                </w:p>
              </w:tc>
              <w:tc>
                <w:tcPr>
                  <w:tcW w:w="537" w:type="pct"/>
                  <w:shd w:val="clear" w:color="auto" w:fill="FFFFFF"/>
                  <w:vAlign w:val="center"/>
                </w:tcPr>
                <w:p>
                  <w:pPr>
                    <w:pStyle w:val="6"/>
                    <w:suppressLineNumbers w:val="0"/>
                    <w:bidi w:val="0"/>
                    <w:spacing w:before="0" w:beforeAutospacing="0" w:after="0" w:afterAutospacing="0" w:line="240" w:lineRule="auto"/>
                    <w:ind w:left="0" w:right="0"/>
                    <w:rPr>
                      <w:rFonts w:hint="default" w:ascii="Times New Roman" w:hAnsi="Times New Roman" w:cs="Times New Roman"/>
                      <w:highlight w:val="none"/>
                    </w:rPr>
                  </w:pPr>
                  <w:r>
                    <w:rPr>
                      <w:rFonts w:hint="default" w:ascii="Times New Roman" w:hAnsi="Times New Roman" w:cs="Times New Roman"/>
                      <w:highlight w:val="none"/>
                    </w:rPr>
                    <w:t>昼间</w:t>
                  </w:r>
                </w:p>
              </w:tc>
              <w:tc>
                <w:tcPr>
                  <w:tcW w:w="1025"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45.4</w:t>
                  </w:r>
                </w:p>
              </w:tc>
              <w:tc>
                <w:tcPr>
                  <w:tcW w:w="756" w:type="pct"/>
                  <w:shd w:val="clear" w:color="auto" w:fill="FFFFFF"/>
                  <w:vAlign w:val="center"/>
                </w:tcPr>
                <w:p>
                  <w:pPr>
                    <w:pStyle w:val="6"/>
                    <w:suppressLineNumbers w:val="0"/>
                    <w:bidi w:val="0"/>
                    <w:spacing w:before="0" w:beforeAutospacing="0" w:after="0" w:afterAutospacing="0" w:line="240" w:lineRule="auto"/>
                    <w:ind w:left="0" w:right="0"/>
                    <w:rPr>
                      <w:rFonts w:hint="default" w:ascii="Times New Roman" w:hAnsi="Times New Roman" w:cs="Times New Roman"/>
                      <w:highlight w:val="none"/>
                    </w:rPr>
                  </w:pPr>
                  <w:r>
                    <w:rPr>
                      <w:rFonts w:hint="default" w:ascii="Times New Roman" w:hAnsi="Times New Roman" w:cs="Times New Roman"/>
                      <w:highlight w:val="none"/>
                    </w:rPr>
                    <w:t>65</w:t>
                  </w:r>
                </w:p>
              </w:tc>
              <w:tc>
                <w:tcPr>
                  <w:tcW w:w="540" w:type="pct"/>
                  <w:shd w:val="clear" w:color="auto" w:fill="FFFFFF"/>
                  <w:vAlign w:val="center"/>
                </w:tcPr>
                <w:p>
                  <w:pPr>
                    <w:pStyle w:val="6"/>
                    <w:suppressLineNumbers w:val="0"/>
                    <w:bidi w:val="0"/>
                    <w:spacing w:before="0" w:beforeAutospacing="0" w:after="0" w:afterAutospacing="0" w:line="240" w:lineRule="auto"/>
                    <w:ind w:left="0" w:right="0"/>
                    <w:rPr>
                      <w:rFonts w:hint="default" w:ascii="Times New Roman" w:hAnsi="Times New Roman" w:cs="Times New Roman"/>
                      <w:highlight w:val="none"/>
                    </w:rPr>
                  </w:pPr>
                  <w:r>
                    <w:rPr>
                      <w:rFonts w:hint="default" w:ascii="Times New Roman" w:hAnsi="Times New Roman"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374" w:hRule="exact"/>
                <w:jc w:val="center"/>
              </w:trPr>
              <w:tc>
                <w:tcPr>
                  <w:tcW w:w="566" w:type="pct"/>
                  <w:shd w:val="clear" w:color="auto" w:fill="FFFFFF"/>
                  <w:vAlign w:val="center"/>
                </w:tcPr>
                <w:p>
                  <w:pPr>
                    <w:pStyle w:val="6"/>
                    <w:suppressLineNumbers w:val="0"/>
                    <w:bidi w:val="0"/>
                    <w:spacing w:before="0" w:beforeAutospacing="0" w:after="0" w:afterAutospacing="0" w:line="240" w:lineRule="auto"/>
                    <w:ind w:left="0" w:right="0"/>
                    <w:rPr>
                      <w:rFonts w:hint="default" w:ascii="Times New Roman" w:hAnsi="Times New Roman" w:cs="Times New Roman"/>
                      <w:highlight w:val="none"/>
                    </w:rPr>
                  </w:pPr>
                  <w:r>
                    <w:rPr>
                      <w:rFonts w:hint="default" w:ascii="Times New Roman" w:hAnsi="Times New Roman" w:cs="Times New Roman"/>
                      <w:highlight w:val="none"/>
                    </w:rPr>
                    <w:t>北侧</w:t>
                  </w:r>
                </w:p>
              </w:tc>
              <w:tc>
                <w:tcPr>
                  <w:tcW w:w="561"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17.1</w:t>
                  </w:r>
                </w:p>
              </w:tc>
              <w:tc>
                <w:tcPr>
                  <w:tcW w:w="585"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16.8</w:t>
                  </w:r>
                </w:p>
              </w:tc>
              <w:tc>
                <w:tcPr>
                  <w:tcW w:w="427"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1.2</w:t>
                  </w:r>
                </w:p>
              </w:tc>
              <w:tc>
                <w:tcPr>
                  <w:tcW w:w="537" w:type="pct"/>
                  <w:shd w:val="clear" w:color="auto" w:fill="FFFFFF"/>
                  <w:vAlign w:val="center"/>
                </w:tcPr>
                <w:p>
                  <w:pPr>
                    <w:pStyle w:val="6"/>
                    <w:suppressLineNumbers w:val="0"/>
                    <w:bidi w:val="0"/>
                    <w:spacing w:before="0" w:beforeAutospacing="0" w:after="0" w:afterAutospacing="0" w:line="240" w:lineRule="auto"/>
                    <w:ind w:left="0" w:right="0"/>
                    <w:rPr>
                      <w:rFonts w:hint="default" w:ascii="Times New Roman" w:hAnsi="Times New Roman" w:cs="Times New Roman"/>
                      <w:highlight w:val="none"/>
                    </w:rPr>
                  </w:pPr>
                  <w:r>
                    <w:rPr>
                      <w:rFonts w:hint="default" w:ascii="Times New Roman" w:hAnsi="Times New Roman" w:cs="Times New Roman"/>
                      <w:highlight w:val="none"/>
                    </w:rPr>
                    <w:t>昼间</w:t>
                  </w:r>
                </w:p>
              </w:tc>
              <w:tc>
                <w:tcPr>
                  <w:tcW w:w="1025" w:type="pct"/>
                  <w:shd w:val="clear" w:color="auto" w:fill="FFFFFF"/>
                  <w:vAlign w:val="center"/>
                </w:tcPr>
                <w:p>
                  <w:pPr>
                    <w:pStyle w:val="6"/>
                    <w:suppressLineNumbers w:val="0"/>
                    <w:bidi w:val="0"/>
                    <w:spacing w:before="0" w:beforeAutospacing="0" w:after="0" w:afterAutospacing="0"/>
                    <w:ind w:left="0" w:right="0"/>
                    <w:rPr>
                      <w:rFonts w:hint="default"/>
                      <w:highlight w:val="none"/>
                    </w:rPr>
                  </w:pPr>
                  <w:r>
                    <w:rPr>
                      <w:rFonts w:hint="default"/>
                      <w:highlight w:val="none"/>
                    </w:rPr>
                    <w:t>51</w:t>
                  </w:r>
                </w:p>
              </w:tc>
              <w:tc>
                <w:tcPr>
                  <w:tcW w:w="756" w:type="pct"/>
                  <w:shd w:val="clear" w:color="auto" w:fill="FFFFFF"/>
                  <w:vAlign w:val="center"/>
                </w:tcPr>
                <w:p>
                  <w:pPr>
                    <w:pStyle w:val="6"/>
                    <w:suppressLineNumbers w:val="0"/>
                    <w:bidi w:val="0"/>
                    <w:spacing w:before="0" w:beforeAutospacing="0" w:after="0" w:afterAutospacing="0" w:line="240" w:lineRule="auto"/>
                    <w:ind w:left="0" w:right="0"/>
                    <w:rPr>
                      <w:rFonts w:hint="default" w:ascii="Times New Roman" w:hAnsi="Times New Roman" w:cs="Times New Roman"/>
                      <w:highlight w:val="none"/>
                    </w:rPr>
                  </w:pPr>
                  <w:r>
                    <w:rPr>
                      <w:rFonts w:hint="default" w:ascii="Times New Roman" w:hAnsi="Times New Roman" w:cs="Times New Roman"/>
                      <w:highlight w:val="none"/>
                    </w:rPr>
                    <w:t>65</w:t>
                  </w:r>
                </w:p>
              </w:tc>
              <w:tc>
                <w:tcPr>
                  <w:tcW w:w="540" w:type="pct"/>
                  <w:shd w:val="clear" w:color="auto" w:fill="FFFFFF"/>
                  <w:vAlign w:val="center"/>
                </w:tcPr>
                <w:p>
                  <w:pPr>
                    <w:pStyle w:val="6"/>
                    <w:suppressLineNumbers w:val="0"/>
                    <w:bidi w:val="0"/>
                    <w:spacing w:before="0" w:beforeAutospacing="0" w:after="0" w:afterAutospacing="0" w:line="240" w:lineRule="auto"/>
                    <w:ind w:left="0" w:right="0"/>
                    <w:rPr>
                      <w:rFonts w:hint="default" w:ascii="Times New Roman" w:hAnsi="Times New Roman" w:cs="Times New Roman"/>
                      <w:highlight w:val="none"/>
                    </w:rPr>
                  </w:pPr>
                  <w:r>
                    <w:rPr>
                      <w:rFonts w:hint="default" w:ascii="Times New Roman" w:hAnsi="Times New Roman" w:cs="Times New Roman"/>
                      <w:highlight w:val="none"/>
                    </w:rPr>
                    <w:t>达标</w:t>
                  </w:r>
                </w:p>
              </w:tc>
            </w:tr>
          </w:tbl>
          <w:p>
            <w:pPr>
              <w:keepNext w:val="0"/>
              <w:keepLines w:val="0"/>
              <w:suppressLineNumbers w:val="0"/>
              <w:bidi w:val="0"/>
              <w:spacing w:before="0" w:beforeAutospacing="0" w:after="0" w:afterAutospacing="0"/>
              <w:ind w:left="0" w:right="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表中坐标以厂界中心（</w:t>
            </w:r>
            <w:bookmarkStart w:id="4" w:name="PO_8"/>
            <w:r>
              <w:rPr>
                <w:rFonts w:hint="default" w:ascii="Times New Roman" w:hAnsi="Times New Roman" w:cs="Times New Roman"/>
                <w:sz w:val="21"/>
                <w:szCs w:val="21"/>
                <w:highlight w:val="none"/>
                <w:lang w:val="en-US" w:eastAsia="zh-CN"/>
              </w:rPr>
              <w:t>85.9048538</w:t>
            </w:r>
            <w:r>
              <w:rPr>
                <w:rFonts w:hint="eastAsia" w:ascii="宋体" w:hAnsi="宋体" w:eastAsia="宋体" w:cs="宋体"/>
                <w:sz w:val="21"/>
                <w:szCs w:val="21"/>
                <w:highlight w:val="none"/>
                <w:lang w:val="en-US" w:eastAsia="zh-CN"/>
              </w:rPr>
              <w:t>,</w:t>
            </w:r>
            <w:r>
              <w:rPr>
                <w:rFonts w:hint="default" w:ascii="Times New Roman" w:hAnsi="Times New Roman" w:cs="Times New Roman"/>
                <w:sz w:val="21"/>
                <w:szCs w:val="21"/>
                <w:highlight w:val="none"/>
                <w:lang w:val="en-US" w:eastAsia="zh-CN"/>
              </w:rPr>
              <w:t>41.850635</w:t>
            </w:r>
            <w:bookmarkEnd w:id="4"/>
            <w:r>
              <w:rPr>
                <w:rFonts w:hint="default" w:ascii="Times New Roman" w:hAnsi="Times New Roman" w:cs="Times New Roman"/>
                <w:sz w:val="21"/>
                <w:szCs w:val="21"/>
                <w:highlight w:val="none"/>
                <w:lang w:val="en-US" w:eastAsia="zh-CN"/>
              </w:rPr>
              <w:t>）为坐标原点，正东向为X轴正方向，正北向为Y轴正方向。</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由上表可知，正常工况下，项目昼间厂界噪声贡献值满足《工业企业厂界环境噪声排放标准》（GB12348-2008）3类标准(夜间不生产)。</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（4）本环评要求采取以下措施：</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①在设备的选型中要注意选用低噪声的设备，以降低声源噪声。</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②在总图布局上根据工艺流程要求，尽可能将高噪设备集中，还应根据高噪声设备所在位置，充分利用噪声的指向性，利用建筑物的阻隔效应，科学布置以保证厂界噪声达标。</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③对高噪声设备采用基础减振、建筑隔声等措施，以降低噪声。</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④加强管理，经常对产噪设备的性能进行检查，保持设备平衡，以减少振动的产生，平时要对防噪设施经常维护，确保其发挥正常功能。</w:t>
            </w:r>
          </w:p>
          <w:p>
            <w:pPr>
              <w:pStyle w:val="4"/>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 xml:space="preserve">3.2 </w:t>
            </w:r>
            <w:r>
              <w:rPr>
                <w:rFonts w:hint="default" w:ascii="Times New Roman" w:hAnsi="Times New Roman" w:cs="Times New Roman"/>
              </w:rPr>
              <w:t>监测要求</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为保障运营期间各污染物排放达标，建设单位应定期开展污染物排放监测，本项目噪声监测内容及执行标准见</w:t>
            </w:r>
            <w:r>
              <w:rPr>
                <w:rFonts w:hint="default" w:ascii="Times New Roman" w:hAnsi="Times New Roman" w:cs="Times New Roman"/>
                <w:lang w:val="en-US" w:eastAsia="zh-CN"/>
              </w:rPr>
              <w:t>下</w:t>
            </w:r>
            <w:r>
              <w:rPr>
                <w:rFonts w:hint="default" w:ascii="Times New Roman" w:hAnsi="Times New Roman" w:cs="Times New Roman"/>
              </w:rPr>
              <w:t>表。</w:t>
            </w:r>
          </w:p>
          <w:p>
            <w:pPr>
              <w:pStyle w:val="5"/>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4-1</w:t>
            </w:r>
            <w:r>
              <w:rPr>
                <w:rFonts w:hint="eastAsia" w:cs="Times New Roman"/>
                <w:lang w:val="en-US" w:eastAsia="zh-CN"/>
              </w:rPr>
              <w:t>0</w:t>
            </w:r>
            <w:r>
              <w:rPr>
                <w:rFonts w:hint="default" w:ascii="Times New Roman" w:hAnsi="Times New Roman" w:cs="Times New Roman"/>
                <w:lang w:val="en-US" w:eastAsia="zh-CN"/>
              </w:rPr>
              <w:t xml:space="preserve">  </w:t>
            </w:r>
            <w:r>
              <w:rPr>
                <w:rFonts w:hint="default" w:ascii="Times New Roman" w:hAnsi="Times New Roman" w:cs="Times New Roman"/>
              </w:rPr>
              <w:t>运营期噪声监测一览表</w:t>
            </w:r>
          </w:p>
          <w:tbl>
            <w:tblPr>
              <w:tblStyle w:val="33"/>
              <w:tblW w:w="4998" w:type="pct"/>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56"/>
              <w:gridCol w:w="1056"/>
              <w:gridCol w:w="1587"/>
              <w:gridCol w:w="815"/>
              <w:gridCol w:w="366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90" w:hRule="atLeast"/>
              </w:trPr>
              <w:tc>
                <w:tcPr>
                  <w:tcW w:w="669"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环境要素</w:t>
                  </w:r>
                </w:p>
              </w:tc>
              <w:tc>
                <w:tcPr>
                  <w:tcW w:w="670"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监测内容</w:t>
                  </w:r>
                </w:p>
              </w:tc>
              <w:tc>
                <w:tcPr>
                  <w:tcW w:w="676"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监测点位</w:t>
                  </w:r>
                </w:p>
              </w:tc>
              <w:tc>
                <w:tcPr>
                  <w:tcW w:w="669"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监测频次</w:t>
                  </w:r>
                </w:p>
              </w:tc>
              <w:tc>
                <w:tcPr>
                  <w:tcW w:w="2313"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执行标准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69"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噪声</w:t>
                  </w:r>
                </w:p>
              </w:tc>
              <w:tc>
                <w:tcPr>
                  <w:tcW w:w="670"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厂界噪声</w:t>
                  </w:r>
                </w:p>
              </w:tc>
              <w:tc>
                <w:tcPr>
                  <w:tcW w:w="676" w:type="pct"/>
                  <w:noWrap/>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厂区边界外1m</w:t>
                  </w:r>
                </w:p>
              </w:tc>
              <w:tc>
                <w:tcPr>
                  <w:tcW w:w="669"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1次/</w:t>
                  </w:r>
                  <w:r>
                    <w:rPr>
                      <w:rFonts w:hint="default" w:ascii="Times New Roman" w:hAnsi="Times New Roman" w:cs="Times New Roman"/>
                      <w:lang w:eastAsia="zh-CN"/>
                    </w:rPr>
                    <w:t>季度</w:t>
                  </w:r>
                </w:p>
              </w:tc>
              <w:tc>
                <w:tcPr>
                  <w:tcW w:w="2313" w:type="pct"/>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《工业企业厂界环境噪声排放标准》（GB12348-2008）中的</w:t>
                  </w:r>
                  <w:r>
                    <w:rPr>
                      <w:rFonts w:hint="default" w:ascii="Times New Roman" w:hAnsi="Times New Roman" w:cs="Times New Roman"/>
                      <w:lang w:val="en-US" w:eastAsia="zh-CN"/>
                    </w:rPr>
                    <w:t>3</w:t>
                  </w:r>
                  <w:r>
                    <w:rPr>
                      <w:rFonts w:hint="default" w:ascii="Times New Roman" w:hAnsi="Times New Roman" w:cs="Times New Roman"/>
                    </w:rPr>
                    <w:t>类声环境功能区</w:t>
                  </w:r>
                </w:p>
              </w:tc>
            </w:tr>
          </w:tbl>
          <w:p>
            <w:pPr>
              <w:pStyle w:val="3"/>
              <w:keepLines w:val="0"/>
              <w:suppressLineNumbers w:val="0"/>
              <w:bidi w:val="0"/>
              <w:spacing w:before="0" w:beforeAutospacing="0" w:after="0" w:afterAutospacing="0"/>
              <w:ind w:right="0"/>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lang w:val="en-US" w:eastAsia="zh-CN"/>
              </w:rPr>
              <w:t xml:space="preserve"> </w:t>
            </w:r>
            <w:r>
              <w:rPr>
                <w:rFonts w:hint="default" w:ascii="Times New Roman" w:hAnsi="Times New Roman" w:cs="Times New Roman"/>
              </w:rPr>
              <w:t>固废</w:t>
            </w:r>
          </w:p>
          <w:p>
            <w:pPr>
              <w:pStyle w:val="4"/>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4.1</w:t>
            </w:r>
            <w:r>
              <w:rPr>
                <w:rFonts w:hint="default" w:ascii="Times New Roman" w:hAnsi="Times New Roman" w:cs="Times New Roman"/>
                <w:lang w:val="en-US" w:eastAsia="zh-CN"/>
              </w:rPr>
              <w:t xml:space="preserve"> </w:t>
            </w:r>
            <w:r>
              <w:rPr>
                <w:rFonts w:hint="default" w:ascii="Times New Roman" w:hAnsi="Times New Roman" w:cs="Times New Roman"/>
              </w:rPr>
              <w:t>固体废物产生</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本项目固废主要为生产过程中产生的</w:t>
            </w:r>
            <w:r>
              <w:rPr>
                <w:rFonts w:hint="default" w:ascii="Times New Roman" w:hAnsi="Times New Roman" w:cs="Times New Roman"/>
                <w:lang w:val="en-US" w:eastAsia="zh-CN"/>
              </w:rPr>
              <w:t>各除尘器</w:t>
            </w:r>
            <w:r>
              <w:rPr>
                <w:rFonts w:hint="default" w:ascii="Times New Roman" w:hAnsi="Times New Roman" w:cs="Times New Roman"/>
              </w:rPr>
              <w:t>收集的粉尘、混凝土残渣</w:t>
            </w:r>
            <w:r>
              <w:rPr>
                <w:rFonts w:hint="default" w:ascii="Times New Roman" w:hAnsi="Times New Roman" w:cs="Times New Roman"/>
                <w:lang w:eastAsia="zh-CN"/>
              </w:rPr>
              <w:t>、</w:t>
            </w:r>
            <w:r>
              <w:rPr>
                <w:rFonts w:hint="default" w:ascii="Times New Roman" w:hAnsi="Times New Roman" w:cs="Times New Roman"/>
              </w:rPr>
              <w:t>生活垃圾</w:t>
            </w:r>
            <w:r>
              <w:rPr>
                <w:rFonts w:hint="default" w:ascii="Times New Roman" w:hAnsi="Times New Roman" w:cs="Times New Roman"/>
                <w:lang w:val="en-US" w:eastAsia="zh-CN"/>
              </w:rPr>
              <w:t>、沉淀池底泥、水性防腐涂料</w:t>
            </w:r>
            <w:r>
              <w:rPr>
                <w:rFonts w:hint="eastAsia" w:cs="Times New Roman"/>
                <w:lang w:val="en-US" w:eastAsia="zh-CN"/>
              </w:rPr>
              <w:t>包装桶、废活性炭、</w:t>
            </w:r>
            <w:r>
              <w:rPr>
                <w:rFonts w:hint="default" w:ascii="Times New Roman" w:hAnsi="Times New Roman" w:cs="Times New Roman"/>
              </w:rPr>
              <w:t>设备维修产生的</w:t>
            </w:r>
            <w:r>
              <w:rPr>
                <w:rFonts w:hint="default" w:ascii="Times New Roman" w:hAnsi="Times New Roman" w:cs="Times New Roman"/>
                <w:lang w:eastAsia="zh-CN"/>
              </w:rPr>
              <w:t>废润滑油</w:t>
            </w:r>
            <w:r>
              <w:rPr>
                <w:rFonts w:hint="default" w:ascii="Times New Roman" w:hAnsi="Times New Roman" w:cs="Times New Roman"/>
                <w:lang w:val="en-US" w:eastAsia="zh-CN"/>
              </w:rPr>
              <w:t>、废润滑油桶、废液压油和废液压油桶</w:t>
            </w:r>
            <w:r>
              <w:rPr>
                <w:rFonts w:hint="default" w:ascii="Times New Roman" w:hAnsi="Times New Roman" w:cs="Times New Roman"/>
              </w:rPr>
              <w:t>。</w:t>
            </w:r>
          </w:p>
          <w:p>
            <w:pPr>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lang w:val="en-US" w:eastAsia="zh-CN"/>
              </w:rPr>
              <w:t>一般固体废物</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rPr>
            </w:pPr>
            <w:r>
              <w:rPr>
                <w:rFonts w:hint="default" w:ascii="Times New Roman" w:hAnsi="Times New Roman" w:cs="Times New Roman"/>
                <w:highlight w:val="none"/>
                <w:lang w:val="en-US" w:eastAsia="zh-CN"/>
              </w:rPr>
              <w:t>①各除尘器收集的粉尘</w:t>
            </w:r>
          </w:p>
          <w:p>
            <w:pPr>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本项目布袋除尘器收集的粉尘量和水泥筒仓滤筒式过滤器收集的粉尘量约为28.1177t/a，除尘器收集的粉尘全部回用于生产，不外排。</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②</w:t>
            </w:r>
            <w:r>
              <w:rPr>
                <w:rFonts w:hint="default" w:ascii="Times New Roman" w:hAnsi="Times New Roman" w:cs="Times New Roman"/>
              </w:rPr>
              <w:t>混凝土残渣</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在脱模清理模具工序时产生的混凝土残渣，根据业主提供资料，本项目在</w:t>
            </w:r>
            <w:r>
              <w:rPr>
                <w:rFonts w:hint="default" w:ascii="Times New Roman" w:hAnsi="Times New Roman" w:cs="Times New Roman"/>
                <w:lang w:val="en-US" w:eastAsia="zh-CN"/>
              </w:rPr>
              <w:t>模</w:t>
            </w:r>
            <w:r>
              <w:rPr>
                <w:rFonts w:hint="default" w:ascii="Times New Roman" w:hAnsi="Times New Roman" w:cs="Times New Roman"/>
              </w:rPr>
              <w:t>具中浇筑混凝土时，会在模具表面涂上脱模剂，以便后期脱模，脱模后模具中混凝土残渣较少，根据业主提供资料，产生量约为</w:t>
            </w:r>
            <w:r>
              <w:rPr>
                <w:rFonts w:hint="eastAsia" w:cs="Times New Roman"/>
                <w:lang w:val="en-US" w:eastAsia="zh-CN"/>
              </w:rPr>
              <w:t>1</w:t>
            </w:r>
            <w:r>
              <w:rPr>
                <w:rFonts w:hint="default" w:ascii="Times New Roman" w:hAnsi="Times New Roman" w:cs="Times New Roman"/>
              </w:rPr>
              <w:t>t/a</w:t>
            </w:r>
            <w:r>
              <w:rPr>
                <w:rFonts w:hint="default" w:ascii="Times New Roman" w:hAnsi="Times New Roman" w:cs="Times New Roman"/>
                <w:lang w:eastAsia="zh-CN"/>
              </w:rPr>
              <w:t>，</w:t>
            </w:r>
            <w:r>
              <w:rPr>
                <w:rFonts w:hint="default" w:ascii="Times New Roman" w:hAnsi="Times New Roman" w:cs="Times New Roman"/>
                <w:lang w:val="en-US" w:eastAsia="zh-CN"/>
              </w:rPr>
              <w:t>集中收集后，回用于生产。</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③沉淀池底泥</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rPr>
              <w:t>本项目</w:t>
            </w:r>
            <w:r>
              <w:rPr>
                <w:rFonts w:hint="default" w:ascii="Times New Roman" w:hAnsi="Times New Roman" w:cs="Times New Roman"/>
                <w:lang w:eastAsia="zh-CN"/>
              </w:rPr>
              <w:t>搅拌器</w:t>
            </w:r>
            <w:r>
              <w:rPr>
                <w:rFonts w:hint="default" w:ascii="Times New Roman" w:hAnsi="Times New Roman" w:cs="Times New Roman"/>
              </w:rPr>
              <w:t>清洗废水经沉淀</w:t>
            </w:r>
            <w:r>
              <w:rPr>
                <w:rFonts w:hint="default" w:ascii="Times New Roman" w:hAnsi="Times New Roman" w:cs="Times New Roman"/>
                <w:lang w:val="en-US" w:eastAsia="zh-CN"/>
              </w:rPr>
              <w:t>用于</w:t>
            </w:r>
            <w:r>
              <w:rPr>
                <w:rFonts w:hint="eastAsia" w:cs="Times New Roman"/>
                <w:lang w:val="en-US" w:eastAsia="zh-CN"/>
              </w:rPr>
              <w:t>成品养护</w:t>
            </w:r>
            <w:r>
              <w:rPr>
                <w:rFonts w:hint="default" w:ascii="Times New Roman" w:hAnsi="Times New Roman" w:cs="Times New Roman"/>
              </w:rPr>
              <w:t>，但会产生</w:t>
            </w:r>
            <w:r>
              <w:rPr>
                <w:rFonts w:hint="default" w:ascii="Times New Roman" w:hAnsi="Times New Roman" w:cs="Times New Roman"/>
                <w:lang w:val="en-US" w:eastAsia="zh-CN"/>
              </w:rPr>
              <w:t>底泥</w:t>
            </w:r>
            <w:r>
              <w:rPr>
                <w:rFonts w:hint="default" w:ascii="Times New Roman" w:hAnsi="Times New Roman" w:cs="Times New Roman"/>
              </w:rPr>
              <w:t>，根据业主提供资料，</w:t>
            </w:r>
            <w:r>
              <w:rPr>
                <w:rFonts w:hint="default" w:ascii="Times New Roman" w:hAnsi="Times New Roman" w:cs="Times New Roman"/>
                <w:lang w:val="en-US" w:eastAsia="zh-CN"/>
              </w:rPr>
              <w:t>本项目设置1个沉淀池，沉淀池底泥自然干燥，沉淀池底泥</w:t>
            </w:r>
            <w:r>
              <w:rPr>
                <w:rFonts w:hint="default" w:ascii="Times New Roman" w:hAnsi="Times New Roman" w:cs="Times New Roman"/>
              </w:rPr>
              <w:t>的产生量约为</w:t>
            </w:r>
            <w:r>
              <w:rPr>
                <w:rFonts w:hint="eastAsia" w:cs="Times New Roman"/>
                <w:lang w:val="en-US" w:eastAsia="zh-CN"/>
              </w:rPr>
              <w:t>1</w:t>
            </w:r>
            <w:r>
              <w:rPr>
                <w:rFonts w:hint="default" w:ascii="Times New Roman" w:hAnsi="Times New Roman" w:cs="Times New Roman"/>
              </w:rPr>
              <w:t>t/a。</w:t>
            </w:r>
            <w:r>
              <w:rPr>
                <w:rFonts w:hint="default" w:ascii="Times New Roman" w:hAnsi="Times New Roman" w:cs="Times New Roman"/>
                <w:lang w:val="en-US" w:eastAsia="zh-CN"/>
              </w:rPr>
              <w:t>集中收集后，回用于生产。</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④废布袋</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本项目使用布袋除尘器为末端治理设施，布袋除尘器中的布袋需定期更换，废布袋产生量约为0.</w:t>
            </w:r>
            <w:r>
              <w:rPr>
                <w:rFonts w:hint="eastAsia" w:cs="Times New Roman"/>
                <w:lang w:val="en-US" w:eastAsia="zh-CN"/>
              </w:rPr>
              <w:t>2</w:t>
            </w:r>
            <w:r>
              <w:rPr>
                <w:rFonts w:hint="default" w:ascii="Times New Roman" w:hAnsi="Times New Roman" w:cs="Times New Roman"/>
                <w:lang w:val="en-US" w:eastAsia="zh-CN"/>
              </w:rPr>
              <w:t>t/a，集中收集后定期由设备厂家进行回收处理。</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⑤废钢筋、焊渣</w:t>
            </w:r>
          </w:p>
          <w:p>
            <w:pPr>
              <w:keepNext w:val="0"/>
              <w:keepLines w:val="0"/>
              <w:numPr>
                <w:ilvl w:val="0"/>
                <w:numId w:val="0"/>
              </w:numPr>
              <w:suppressLineNumbers w:val="0"/>
              <w:bidi w:val="0"/>
              <w:spacing w:before="0" w:beforeAutospacing="0" w:after="0" w:afterAutospacing="0"/>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在钢筋加工时会产生少量废边角料和焊渣，根据建设单位提供资料，废钢筋产生总量约为</w:t>
            </w:r>
            <w:r>
              <w:rPr>
                <w:rFonts w:hint="eastAsia" w:cs="Times New Roman"/>
                <w:lang w:val="en-US" w:eastAsia="zh-CN"/>
              </w:rPr>
              <w:t>1</w:t>
            </w:r>
            <w:r>
              <w:rPr>
                <w:rFonts w:hint="default" w:ascii="Times New Roman" w:hAnsi="Times New Roman" w:cs="Times New Roman"/>
                <w:lang w:val="en-US" w:eastAsia="zh-CN"/>
              </w:rPr>
              <w:t>t/a，焊渣产生总量约0.0</w:t>
            </w:r>
            <w:r>
              <w:rPr>
                <w:rFonts w:hint="eastAsia" w:cs="Times New Roman"/>
                <w:lang w:val="en-US" w:eastAsia="zh-CN"/>
              </w:rPr>
              <w:t>2</w:t>
            </w:r>
            <w:r>
              <w:rPr>
                <w:rFonts w:hint="default" w:ascii="Times New Roman" w:hAnsi="Times New Roman" w:cs="Times New Roman"/>
                <w:lang w:val="en-US" w:eastAsia="zh-CN"/>
              </w:rPr>
              <w:t>t/a。经收集后外售综合利用。</w:t>
            </w:r>
          </w:p>
          <w:p>
            <w:pPr>
              <w:keepNext w:val="0"/>
              <w:keepLines w:val="0"/>
              <w:numPr>
                <w:ilvl w:val="0"/>
                <w:numId w:val="0"/>
              </w:numPr>
              <w:suppressLineNumbers w:val="0"/>
              <w:bidi w:val="0"/>
              <w:spacing w:before="0" w:beforeAutospacing="0" w:after="0" w:afterAutospacing="0"/>
              <w:ind w:left="0" w:right="0" w:firstLine="480" w:firstLineChars="200"/>
              <w:rPr>
                <w:rFonts w:hint="default" w:ascii="Times New Roman" w:hAnsi="Times New Roman" w:cs="Times New Roman"/>
                <w:lang w:val="en-US" w:eastAsia="zh-CN"/>
              </w:rPr>
            </w:pPr>
            <w:r>
              <w:rPr>
                <w:rFonts w:hint="eastAsia" w:cs="Times New Roman"/>
                <w:lang w:val="en-US" w:eastAsia="zh-CN"/>
              </w:rPr>
              <w:t>⑥</w:t>
            </w:r>
            <w:r>
              <w:rPr>
                <w:rFonts w:hint="default" w:ascii="Times New Roman" w:hAnsi="Times New Roman" w:cs="Times New Roman"/>
                <w:lang w:val="en-US" w:eastAsia="zh-CN"/>
              </w:rPr>
              <w:t>水性防腐涂料包装桶</w:t>
            </w:r>
          </w:p>
          <w:p>
            <w:pPr>
              <w:keepNext w:val="0"/>
              <w:keepLines w:val="0"/>
              <w:numPr>
                <w:ilvl w:val="0"/>
                <w:numId w:val="0"/>
              </w:numPr>
              <w:suppressLineNumbers w:val="0"/>
              <w:bidi w:val="0"/>
              <w:spacing w:before="0" w:beforeAutospacing="0" w:after="0" w:afterAutospacing="0"/>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根据建设单位提供资料，水性防腐涂料包装桶产生总量约为</w:t>
            </w:r>
            <w:r>
              <w:rPr>
                <w:rFonts w:hint="eastAsia" w:cs="Times New Roman"/>
                <w:lang w:val="en-US" w:eastAsia="zh-CN"/>
              </w:rPr>
              <w:t>0.2</w:t>
            </w:r>
            <w:r>
              <w:rPr>
                <w:rFonts w:hint="default" w:ascii="Times New Roman" w:hAnsi="Times New Roman" w:cs="Times New Roman"/>
                <w:lang w:val="en-US" w:eastAsia="zh-CN"/>
              </w:rPr>
              <w:t>t/a，</w:t>
            </w:r>
            <w:r>
              <w:rPr>
                <w:rFonts w:hint="eastAsia" w:cs="Times New Roman"/>
                <w:lang w:val="en-US" w:eastAsia="zh-CN"/>
              </w:rPr>
              <w:t>集中收集后定期由厂家进行回收处理</w:t>
            </w:r>
            <w:r>
              <w:rPr>
                <w:rFonts w:hint="default" w:ascii="Times New Roman" w:hAnsi="Times New Roman" w:cs="Times New Roman"/>
                <w:lang w:val="en-US" w:eastAsia="zh-CN"/>
              </w:rPr>
              <w:t>。</w:t>
            </w:r>
          </w:p>
          <w:p>
            <w:pPr>
              <w:keepNext w:val="0"/>
              <w:keepLines w:val="0"/>
              <w:numPr>
                <w:ilvl w:val="0"/>
                <w:numId w:val="0"/>
              </w:numPr>
              <w:suppressLineNumbers w:val="0"/>
              <w:bidi w:val="0"/>
              <w:spacing w:before="0" w:beforeAutospacing="0" w:after="0" w:afterAutospacing="0"/>
              <w:ind w:left="0" w:right="0" w:firstLine="480" w:firstLineChars="200"/>
              <w:rPr>
                <w:rFonts w:hint="eastAsia" w:cs="Times New Roman"/>
                <w:lang w:val="en-US" w:eastAsia="zh-CN"/>
              </w:rPr>
            </w:pPr>
            <w:r>
              <w:rPr>
                <w:rFonts w:hint="eastAsia" w:cs="Times New Roman"/>
                <w:lang w:val="en-US" w:eastAsia="zh-CN"/>
              </w:rPr>
              <w:t>⑦水性漆漆渣</w:t>
            </w:r>
          </w:p>
          <w:p>
            <w:pPr>
              <w:keepNext w:val="0"/>
              <w:keepLines w:val="0"/>
              <w:numPr>
                <w:ilvl w:val="0"/>
                <w:numId w:val="0"/>
              </w:numPr>
              <w:suppressLineNumbers w:val="0"/>
              <w:bidi w:val="0"/>
              <w:spacing w:before="0" w:beforeAutospacing="0" w:after="0" w:afterAutospacing="0"/>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根据建设单位提供资料，</w:t>
            </w:r>
            <w:r>
              <w:rPr>
                <w:rFonts w:hint="eastAsia" w:cs="Times New Roman"/>
                <w:lang w:val="en-US" w:eastAsia="zh-CN"/>
              </w:rPr>
              <w:t>生产过程</w:t>
            </w:r>
            <w:r>
              <w:rPr>
                <w:rFonts w:hint="default" w:ascii="Times New Roman" w:hAnsi="Times New Roman" w:cs="Times New Roman"/>
                <w:lang w:val="en-US" w:eastAsia="zh-CN"/>
              </w:rPr>
              <w:t>产生水性漆</w:t>
            </w:r>
            <w:r>
              <w:rPr>
                <w:rFonts w:hint="eastAsia" w:cs="Times New Roman"/>
                <w:lang w:val="en-US" w:eastAsia="zh-CN"/>
              </w:rPr>
              <w:t>漆渣</w:t>
            </w:r>
            <w:r>
              <w:rPr>
                <w:rFonts w:hint="default" w:ascii="Times New Roman" w:hAnsi="Times New Roman" w:cs="Times New Roman"/>
                <w:lang w:val="en-US" w:eastAsia="zh-CN"/>
              </w:rPr>
              <w:t>总量约为</w:t>
            </w:r>
            <w:r>
              <w:rPr>
                <w:rFonts w:hint="eastAsia" w:cs="Times New Roman"/>
                <w:lang w:val="en-US" w:eastAsia="zh-CN"/>
              </w:rPr>
              <w:t>0.05</w:t>
            </w:r>
            <w:r>
              <w:rPr>
                <w:rFonts w:hint="default" w:ascii="Times New Roman" w:hAnsi="Times New Roman" w:cs="Times New Roman"/>
                <w:lang w:val="en-US" w:eastAsia="zh-CN"/>
              </w:rPr>
              <w:t>t/a，</w:t>
            </w:r>
            <w:r>
              <w:rPr>
                <w:rFonts w:hint="eastAsia" w:ascii="Times New Roman" w:hAnsi="Times New Roman" w:cs="Times New Roman"/>
                <w:lang w:val="en-US" w:eastAsia="zh-CN"/>
              </w:rPr>
              <w:t>集中收集后交由</w:t>
            </w:r>
            <w:r>
              <w:rPr>
                <w:rFonts w:hint="eastAsia" w:cs="Times New Roman"/>
                <w:lang w:val="en-US" w:eastAsia="zh-CN"/>
              </w:rPr>
              <w:t>一般工业固体废物填埋场</w:t>
            </w:r>
            <w:r>
              <w:rPr>
                <w:rFonts w:hint="eastAsia" w:ascii="Times New Roman" w:hAnsi="Times New Roman" w:cs="Times New Roman"/>
                <w:lang w:val="en-US" w:eastAsia="zh-CN"/>
              </w:rPr>
              <w:t>处置</w:t>
            </w:r>
            <w:r>
              <w:rPr>
                <w:rFonts w:hint="default" w:ascii="Times New Roman" w:hAnsi="Times New Roman" w:cs="Times New Roman"/>
                <w:lang w:val="en-US" w:eastAsia="zh-CN"/>
              </w:rPr>
              <w:t>。</w:t>
            </w:r>
          </w:p>
          <w:p>
            <w:pPr>
              <w:keepNext w:val="0"/>
              <w:keepLines w:val="0"/>
              <w:numPr>
                <w:ilvl w:val="0"/>
                <w:numId w:val="0"/>
              </w:numPr>
              <w:suppressLineNumbers w:val="0"/>
              <w:bidi w:val="0"/>
              <w:spacing w:before="0" w:beforeAutospacing="0" w:after="0" w:afterAutospacing="0"/>
              <w:ind w:left="0" w:right="0" w:firstLine="480" w:firstLineChars="200"/>
              <w:rPr>
                <w:rFonts w:hint="eastAsia" w:cs="Times New Roman"/>
                <w:lang w:val="en-US" w:eastAsia="zh-CN"/>
              </w:rPr>
            </w:pPr>
            <w:r>
              <w:rPr>
                <w:rFonts w:hint="eastAsia" w:cs="Times New Roman"/>
                <w:lang w:val="en-US" w:eastAsia="zh-CN"/>
              </w:rPr>
              <w:t>⑧废滤芯</w:t>
            </w:r>
          </w:p>
          <w:p>
            <w:pPr>
              <w:keepNext w:val="0"/>
              <w:keepLines w:val="0"/>
              <w:numPr>
                <w:ilvl w:val="0"/>
                <w:numId w:val="0"/>
              </w:numPr>
              <w:suppressLineNumbers w:val="0"/>
              <w:bidi w:val="0"/>
              <w:spacing w:before="0" w:beforeAutospacing="0" w:after="0" w:afterAutospacing="0"/>
              <w:ind w:left="0" w:right="0" w:firstLine="480" w:firstLineChars="200"/>
              <w:rPr>
                <w:rFonts w:hint="default" w:cs="Times New Roman"/>
                <w:lang w:val="en-US" w:eastAsia="zh-CN"/>
              </w:rPr>
            </w:pPr>
            <w:r>
              <w:rPr>
                <w:rFonts w:hint="default" w:cs="Times New Roman"/>
                <w:lang w:val="en-US" w:eastAsia="zh-CN"/>
              </w:rPr>
              <w:t>本项目</w:t>
            </w:r>
            <w:r>
              <w:rPr>
                <w:rFonts w:hint="eastAsia" w:cs="Times New Roman"/>
                <w:lang w:val="en-US" w:eastAsia="zh-CN"/>
              </w:rPr>
              <w:t>水泥筒仓</w:t>
            </w:r>
            <w:r>
              <w:rPr>
                <w:rFonts w:hint="default" w:cs="Times New Roman"/>
                <w:lang w:val="en-US" w:eastAsia="zh-CN"/>
              </w:rPr>
              <w:t>使用</w:t>
            </w:r>
            <w:r>
              <w:rPr>
                <w:rFonts w:hint="eastAsia" w:cs="Times New Roman"/>
                <w:lang w:val="en-US" w:eastAsia="zh-CN"/>
              </w:rPr>
              <w:t>滤筒式过滤器</w:t>
            </w:r>
            <w:r>
              <w:rPr>
                <w:rFonts w:hint="default" w:cs="Times New Roman"/>
                <w:lang w:val="en-US" w:eastAsia="zh-CN"/>
              </w:rPr>
              <w:t>为末端治理设施，</w:t>
            </w:r>
            <w:r>
              <w:rPr>
                <w:rFonts w:hint="eastAsia" w:cs="Times New Roman"/>
                <w:lang w:val="en-US" w:eastAsia="zh-CN"/>
              </w:rPr>
              <w:t>过滤</w:t>
            </w:r>
            <w:r>
              <w:rPr>
                <w:rFonts w:hint="default" w:cs="Times New Roman"/>
                <w:lang w:val="en-US" w:eastAsia="zh-CN"/>
              </w:rPr>
              <w:t>器中的</w:t>
            </w:r>
            <w:r>
              <w:rPr>
                <w:rFonts w:hint="eastAsia" w:cs="Times New Roman"/>
                <w:lang w:val="en-US" w:eastAsia="zh-CN"/>
              </w:rPr>
              <w:t>滤芯</w:t>
            </w:r>
            <w:r>
              <w:rPr>
                <w:rFonts w:hint="default" w:cs="Times New Roman"/>
                <w:lang w:val="en-US" w:eastAsia="zh-CN"/>
              </w:rPr>
              <w:t>需定期更换，废</w:t>
            </w:r>
            <w:r>
              <w:rPr>
                <w:rFonts w:hint="eastAsia" w:cs="Times New Roman"/>
                <w:lang w:val="en-US" w:eastAsia="zh-CN"/>
              </w:rPr>
              <w:t>滤芯</w:t>
            </w:r>
            <w:r>
              <w:rPr>
                <w:rFonts w:hint="default" w:cs="Times New Roman"/>
                <w:lang w:val="en-US" w:eastAsia="zh-CN"/>
              </w:rPr>
              <w:t>产生量约为0.2t/a，集中收集后定期由设备厂家进行回收处理。</w:t>
            </w:r>
          </w:p>
          <w:p>
            <w:pPr>
              <w:keepNext w:val="0"/>
              <w:keepLines w:val="0"/>
              <w:numPr>
                <w:ilvl w:val="0"/>
                <w:numId w:val="0"/>
              </w:numPr>
              <w:suppressLineNumbers w:val="0"/>
              <w:bidi w:val="0"/>
              <w:spacing w:before="0" w:beforeAutospacing="0" w:after="0" w:afterAutospacing="0"/>
              <w:ind w:left="0" w:right="0" w:firstLine="480" w:firstLineChars="200"/>
              <w:rPr>
                <w:rFonts w:hint="default" w:ascii="Times New Roman" w:hAnsi="Times New Roman" w:cs="Times New Roman"/>
              </w:rPr>
            </w:pPr>
            <w:r>
              <w:rPr>
                <w:rFonts w:hint="default" w:ascii="Times New Roman" w:hAnsi="Times New Roman" w:cs="Times New Roman"/>
                <w:kern w:val="2"/>
                <w:sz w:val="24"/>
                <w:szCs w:val="24"/>
                <w:lang w:val="en-US" w:eastAsia="zh-CN" w:bidi="ar-SA"/>
              </w:rPr>
              <w:t>（2）</w:t>
            </w:r>
            <w:r>
              <w:rPr>
                <w:rFonts w:hint="default" w:ascii="Times New Roman" w:hAnsi="Times New Roman" w:cs="Times New Roman"/>
              </w:rPr>
              <w:t>生活垃圾</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本项目劳动定员为</w:t>
            </w:r>
            <w:r>
              <w:rPr>
                <w:rFonts w:hint="default" w:ascii="Times New Roman" w:hAnsi="Times New Roman" w:cs="Times New Roman"/>
                <w:lang w:val="en-US" w:eastAsia="zh-CN"/>
              </w:rPr>
              <w:t>10</w:t>
            </w:r>
            <w:r>
              <w:rPr>
                <w:rFonts w:hint="default" w:ascii="Times New Roman" w:hAnsi="Times New Roman" w:cs="Times New Roman"/>
              </w:rPr>
              <w:t>人，生活垃圾产生量按0.5kg/d/人计，年工作天数为</w:t>
            </w:r>
            <w:r>
              <w:rPr>
                <w:rFonts w:hint="default" w:ascii="Times New Roman" w:hAnsi="Times New Roman" w:cs="Times New Roman"/>
                <w:lang w:val="en-US" w:eastAsia="zh-CN"/>
              </w:rPr>
              <w:t>2</w:t>
            </w:r>
            <w:r>
              <w:rPr>
                <w:rFonts w:hint="eastAsia" w:cs="Times New Roman"/>
                <w:lang w:val="en-US" w:eastAsia="zh-CN"/>
              </w:rPr>
              <w:t>4</w:t>
            </w:r>
            <w:r>
              <w:rPr>
                <w:rFonts w:hint="default" w:ascii="Times New Roman" w:hAnsi="Times New Roman" w:cs="Times New Roman"/>
                <w:lang w:val="en-US" w:eastAsia="zh-CN"/>
              </w:rPr>
              <w:t>0</w:t>
            </w:r>
            <w:r>
              <w:rPr>
                <w:rFonts w:hint="default" w:ascii="Times New Roman" w:hAnsi="Times New Roman" w:cs="Times New Roman"/>
              </w:rPr>
              <w:t>天，全年生活垃圾约</w:t>
            </w:r>
            <w:r>
              <w:rPr>
                <w:rFonts w:hint="default" w:ascii="Times New Roman" w:hAnsi="Times New Roman" w:cs="Times New Roman"/>
                <w:lang w:val="en-US" w:eastAsia="zh-CN"/>
              </w:rPr>
              <w:t>1.</w:t>
            </w:r>
            <w:r>
              <w:rPr>
                <w:rFonts w:hint="eastAsia" w:cs="Times New Roman"/>
                <w:lang w:val="en-US" w:eastAsia="zh-CN"/>
              </w:rPr>
              <w:t>2</w:t>
            </w:r>
            <w:r>
              <w:rPr>
                <w:rFonts w:hint="default" w:ascii="Times New Roman" w:hAnsi="Times New Roman" w:cs="Times New Roman"/>
              </w:rPr>
              <w:t>t/a。生活垃圾</w:t>
            </w:r>
            <w:r>
              <w:rPr>
                <w:rFonts w:hint="default" w:ascii="Times New Roman" w:hAnsi="Times New Roman" w:cs="Times New Roman"/>
                <w:lang w:eastAsia="zh-CN"/>
              </w:rPr>
              <w:t>属于</w:t>
            </w:r>
            <w:r>
              <w:rPr>
                <w:rFonts w:hint="default" w:ascii="Times New Roman" w:hAnsi="Times New Roman" w:cs="Times New Roman"/>
              </w:rPr>
              <w:t>无毒无害废物，建设单位在生产</w:t>
            </w:r>
            <w:r>
              <w:rPr>
                <w:rFonts w:hint="default" w:ascii="Times New Roman" w:hAnsi="Times New Roman" w:cs="Times New Roman"/>
                <w:lang w:val="en-US" w:eastAsia="zh-CN"/>
              </w:rPr>
              <w:t>区域</w:t>
            </w:r>
            <w:r>
              <w:rPr>
                <w:rFonts w:hint="default" w:ascii="Times New Roman" w:hAnsi="Times New Roman" w:cs="Times New Roman"/>
              </w:rPr>
              <w:t>及办公室设置生活垃圾箱，将员工产生的生活垃圾集中收集，由环卫部门统一处理。</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（3）危险固体废物</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①</w:t>
            </w:r>
            <w:r>
              <w:rPr>
                <w:rFonts w:hint="default" w:ascii="Times New Roman" w:hAnsi="Times New Roman" w:cs="Times New Roman"/>
                <w:lang w:eastAsia="zh-CN"/>
              </w:rPr>
              <w:t>废润滑油、</w:t>
            </w:r>
            <w:r>
              <w:rPr>
                <w:rFonts w:hint="default" w:ascii="Times New Roman" w:hAnsi="Times New Roman" w:cs="Times New Roman"/>
                <w:lang w:val="en-US" w:eastAsia="zh-CN"/>
              </w:rPr>
              <w:t>废润滑油桶</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本项目设备维修时会产生</w:t>
            </w:r>
            <w:r>
              <w:rPr>
                <w:rFonts w:hint="default" w:ascii="Times New Roman" w:hAnsi="Times New Roman" w:cs="Times New Roman"/>
                <w:lang w:eastAsia="zh-CN"/>
              </w:rPr>
              <w:t>废润滑油</w:t>
            </w:r>
            <w:r>
              <w:rPr>
                <w:rFonts w:hint="default" w:ascii="Times New Roman" w:hAnsi="Times New Roman" w:cs="Times New Roman"/>
              </w:rPr>
              <w:t>，类比同类项目，</w:t>
            </w:r>
            <w:r>
              <w:rPr>
                <w:rFonts w:hint="default" w:ascii="Times New Roman" w:hAnsi="Times New Roman" w:cs="Times New Roman"/>
                <w:lang w:eastAsia="zh-CN"/>
              </w:rPr>
              <w:t>废润滑油</w:t>
            </w:r>
            <w:r>
              <w:rPr>
                <w:rFonts w:hint="default" w:ascii="Times New Roman" w:hAnsi="Times New Roman" w:cs="Times New Roman"/>
              </w:rPr>
              <w:t>产生量约为0.2t/a，</w:t>
            </w:r>
            <w:r>
              <w:rPr>
                <w:rFonts w:hint="default" w:ascii="Times New Roman" w:hAnsi="Times New Roman" w:cs="Times New Roman"/>
                <w:lang w:val="en-US" w:eastAsia="zh-CN"/>
              </w:rPr>
              <w:t>废润滑油桶产生量为0.02t/a。</w:t>
            </w:r>
            <w:r>
              <w:rPr>
                <w:rFonts w:hint="default" w:ascii="Times New Roman" w:hAnsi="Times New Roman" w:cs="Times New Roman"/>
              </w:rPr>
              <w:t>根据《国家危险废物名录》（202</w:t>
            </w:r>
            <w:r>
              <w:rPr>
                <w:rFonts w:hint="default" w:ascii="Times New Roman" w:hAnsi="Times New Roman" w:cs="Times New Roman"/>
                <w:lang w:val="en-US" w:eastAsia="zh-CN"/>
              </w:rPr>
              <w:t>5</w:t>
            </w:r>
            <w:r>
              <w:rPr>
                <w:rFonts w:hint="default" w:ascii="Times New Roman" w:hAnsi="Times New Roman" w:cs="Times New Roman"/>
              </w:rPr>
              <w:t>年），</w:t>
            </w:r>
            <w:r>
              <w:rPr>
                <w:rFonts w:hint="default" w:ascii="Times New Roman" w:hAnsi="Times New Roman" w:cs="Times New Roman"/>
                <w:lang w:eastAsia="zh-CN"/>
              </w:rPr>
              <w:t>废润滑油</w:t>
            </w:r>
            <w:r>
              <w:rPr>
                <w:rFonts w:hint="default" w:ascii="Times New Roman" w:hAnsi="Times New Roman" w:cs="Times New Roman"/>
              </w:rPr>
              <w:t>属于危险废物，危废类别为HW08，危废代码为900-214-08</w:t>
            </w:r>
            <w:r>
              <w:rPr>
                <w:rFonts w:hint="default" w:ascii="Times New Roman" w:hAnsi="Times New Roman" w:cs="Times New Roman"/>
                <w:lang w:eastAsia="zh-CN"/>
              </w:rPr>
              <w:t>；</w:t>
            </w:r>
            <w:r>
              <w:rPr>
                <w:rFonts w:hint="default" w:ascii="Times New Roman" w:hAnsi="Times New Roman" w:cs="Times New Roman"/>
                <w:lang w:val="en-US" w:eastAsia="zh-CN"/>
              </w:rPr>
              <w:t>废润滑油桶属于危险废物，</w:t>
            </w:r>
            <w:r>
              <w:rPr>
                <w:rFonts w:hint="default" w:ascii="Times New Roman" w:hAnsi="Times New Roman" w:cs="Times New Roman"/>
              </w:rPr>
              <w:t>危废类别为HW08，危废代码为900-249-08</w:t>
            </w:r>
            <w:r>
              <w:rPr>
                <w:rFonts w:hint="default" w:ascii="Times New Roman" w:hAnsi="Times New Roman" w:cs="Times New Roman"/>
                <w:lang w:eastAsia="zh-CN"/>
              </w:rPr>
              <w:t>。</w:t>
            </w:r>
            <w:r>
              <w:rPr>
                <w:rFonts w:hint="default" w:ascii="Times New Roman" w:hAnsi="Times New Roman" w:cs="Times New Roman"/>
                <w:lang w:val="en-US" w:eastAsia="zh-CN"/>
              </w:rPr>
              <w:t>均</w:t>
            </w:r>
            <w:r>
              <w:rPr>
                <w:rFonts w:hint="default" w:ascii="Times New Roman" w:hAnsi="Times New Roman" w:cs="Times New Roman"/>
              </w:rPr>
              <w:t>集中收集存放在厂区</w:t>
            </w:r>
            <w:r>
              <w:rPr>
                <w:rFonts w:hint="default" w:ascii="Times New Roman" w:hAnsi="Times New Roman" w:cs="Times New Roman"/>
                <w:lang w:eastAsia="zh-CN"/>
              </w:rPr>
              <w:t>危废贮存点</w:t>
            </w:r>
            <w:r>
              <w:rPr>
                <w:rFonts w:hint="default" w:ascii="Times New Roman" w:hAnsi="Times New Roman" w:cs="Times New Roman"/>
              </w:rPr>
              <w:t>，定期交有资质的单位进行处理。</w:t>
            </w:r>
          </w:p>
          <w:p>
            <w:pPr>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cs="Times New Roman"/>
                <w:lang w:val="en-US" w:eastAsia="zh-CN"/>
              </w:rPr>
              <w:t>②废液压油</w:t>
            </w:r>
            <w:r>
              <w:rPr>
                <w:rFonts w:hint="default" w:ascii="Times New Roman" w:hAnsi="Times New Roman" w:cs="Times New Roman"/>
                <w:lang w:eastAsia="zh-CN"/>
              </w:rPr>
              <w:t>、</w:t>
            </w:r>
            <w:r>
              <w:rPr>
                <w:rFonts w:hint="default" w:ascii="Times New Roman" w:hAnsi="Times New Roman" w:cs="Times New Roman"/>
                <w:lang w:val="en-US" w:eastAsia="zh-CN"/>
              </w:rPr>
              <w:t>废液压油桶</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本项目设备维修时会产生废液压油0.5t/a，废润滑油桶产生量为0.05t/a。根据《国家危险废物名录》（2025年），废液压油属于危险废物，危废类别为HW08，危废代码为900-21</w:t>
            </w:r>
            <w:r>
              <w:rPr>
                <w:rFonts w:hint="eastAsia" w:cs="Times New Roman"/>
                <w:lang w:val="en-US" w:eastAsia="zh-CN"/>
              </w:rPr>
              <w:t>8</w:t>
            </w:r>
            <w:r>
              <w:rPr>
                <w:rFonts w:hint="default" w:ascii="Times New Roman" w:hAnsi="Times New Roman" w:cs="Times New Roman"/>
                <w:lang w:val="en-US" w:eastAsia="zh-CN"/>
              </w:rPr>
              <w:t>-08；废液压油桶属于危险废物，危废类别为HW08，危废代码为900-249-08。均集中收集存放在厂区危废贮存点，定期交有资质的单位进行处理。</w:t>
            </w:r>
          </w:p>
          <w:p>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②废活性炭</w:t>
            </w:r>
          </w:p>
          <w:p>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有机挥发性气体经</w:t>
            </w:r>
            <w:r>
              <w:rPr>
                <w:rFonts w:hint="eastAsia" w:ascii="宋体" w:hAnsi="宋体" w:cs="宋体"/>
                <w:lang w:val="en-US" w:eastAsia="zh-CN"/>
              </w:rPr>
              <w:t>“二级活性炭”</w:t>
            </w:r>
            <w:r>
              <w:rPr>
                <w:rFonts w:hint="default"/>
                <w:lang w:val="en-US" w:eastAsia="zh-CN"/>
              </w:rPr>
              <w:t>处理后，产生废活性炭。本项目活性炭吸附装置中的活性炭在吸附挥发性有机物饱和之后需要进行更换，活性炭吸附有机废气的能力大概为自身单位重量的1/3，废弃活性炭是被吸附的有机气体的量和活性炭本身的用量之和。本项目有机废气吸附量为</w:t>
            </w:r>
            <w:r>
              <w:rPr>
                <w:rFonts w:hint="eastAsia"/>
                <w:lang w:val="en-US" w:eastAsia="zh-CN"/>
              </w:rPr>
              <w:t>0.54</w:t>
            </w:r>
            <w:r>
              <w:rPr>
                <w:rFonts w:hint="default"/>
                <w:lang w:val="en-US" w:eastAsia="zh-CN"/>
              </w:rPr>
              <w:t>t/a，则产生废活性炭约</w:t>
            </w:r>
            <w:r>
              <w:rPr>
                <w:rFonts w:hint="eastAsia"/>
                <w:lang w:val="en-US" w:eastAsia="zh-CN"/>
              </w:rPr>
              <w:t>2.16</w:t>
            </w:r>
            <w:r>
              <w:rPr>
                <w:rFonts w:hint="default"/>
                <w:lang w:val="en-US" w:eastAsia="zh-CN"/>
              </w:rPr>
              <w:t>t/a，为保障项目工艺废气的有效吸附处理，项目吸附活性炭选用颗粒状活性炭（碘值不低于800毫克/克）</w:t>
            </w:r>
            <w:r>
              <w:rPr>
                <w:rFonts w:hint="eastAsia"/>
                <w:lang w:val="en-US" w:eastAsia="zh-CN"/>
              </w:rPr>
              <w:t>，更换周期为3个月/次</w:t>
            </w:r>
            <w:r>
              <w:rPr>
                <w:rFonts w:hint="default"/>
                <w:lang w:val="en-US" w:eastAsia="zh-CN"/>
              </w:rPr>
              <w:t>。</w:t>
            </w:r>
          </w:p>
          <w:p>
            <w:pPr>
              <w:pStyle w:val="5"/>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表4</w:t>
            </w:r>
            <w:r>
              <w:rPr>
                <w:rFonts w:hint="default" w:ascii="Times New Roman" w:hAnsi="Times New Roman" w:cs="Times New Roman"/>
                <w:lang w:val="en-US" w:eastAsia="zh-CN"/>
              </w:rPr>
              <w:t>-1</w:t>
            </w:r>
            <w:r>
              <w:rPr>
                <w:rFonts w:hint="eastAsia" w:cs="Times New Roman"/>
                <w:lang w:val="en-US" w:eastAsia="zh-CN"/>
              </w:rPr>
              <w:t>1</w:t>
            </w:r>
            <w:r>
              <w:rPr>
                <w:rFonts w:hint="default" w:ascii="Times New Roman" w:hAnsi="Times New Roman" w:cs="Times New Roman"/>
                <w:lang w:val="en-US" w:eastAsia="zh-CN"/>
              </w:rPr>
              <w:t xml:space="preserve">  </w:t>
            </w:r>
            <w:r>
              <w:rPr>
                <w:rFonts w:hint="default" w:ascii="Times New Roman" w:hAnsi="Times New Roman" w:cs="Times New Roman"/>
              </w:rPr>
              <w:t>项目固体废物利用处置方式一览表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912"/>
              <w:gridCol w:w="1988"/>
              <w:gridCol w:w="2222"/>
              <w:gridCol w:w="907"/>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71"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序号</w:t>
                  </w:r>
                </w:p>
              </w:tc>
              <w:tc>
                <w:tcPr>
                  <w:tcW w:w="557" w:type="pct"/>
                  <w:shd w:val="clear" w:color="auto" w:fill="auto"/>
                  <w:noWrap w:val="0"/>
                  <w:vAlign w:val="center"/>
                </w:tcPr>
                <w:p>
                  <w:pPr>
                    <w:pStyle w:val="7"/>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rPr>
                    <w:t>属性</w:t>
                  </w:r>
                </w:p>
              </w:tc>
              <w:tc>
                <w:tcPr>
                  <w:tcW w:w="121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固废名称</w:t>
                  </w:r>
                </w:p>
              </w:tc>
              <w:tc>
                <w:tcPr>
                  <w:tcW w:w="1357"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废物代码</w:t>
                  </w:r>
                </w:p>
              </w:tc>
              <w:tc>
                <w:tcPr>
                  <w:tcW w:w="55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数量（t/a）</w:t>
                  </w:r>
                </w:p>
              </w:tc>
              <w:tc>
                <w:tcPr>
                  <w:tcW w:w="104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利用方式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557" w:type="pct"/>
                  <w:vMerge w:val="restar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一般固体废物</w:t>
                  </w:r>
                </w:p>
              </w:tc>
              <w:tc>
                <w:tcPr>
                  <w:tcW w:w="1214" w:type="pct"/>
                  <w:vMerge w:val="restar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b/>
                      <w:bCs/>
                    </w:rPr>
                  </w:pPr>
                  <w:r>
                    <w:rPr>
                      <w:rFonts w:hint="default" w:ascii="Times New Roman" w:hAnsi="Times New Roman" w:cs="Times New Roman"/>
                      <w:b w:val="0"/>
                      <w:bCs w:val="0"/>
                      <w:lang w:val="en-US" w:eastAsia="zh-CN"/>
                    </w:rPr>
                    <w:t>各除尘器收集的粉尘</w:t>
                  </w:r>
                </w:p>
              </w:tc>
              <w:tc>
                <w:tcPr>
                  <w:tcW w:w="1357" w:type="pct"/>
                  <w:vMerge w:val="restar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SW17  900-099-S17</w:t>
                  </w:r>
                </w:p>
              </w:tc>
              <w:tc>
                <w:tcPr>
                  <w:tcW w:w="554" w:type="pct"/>
                  <w:vMerge w:val="restar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28.1177</w:t>
                  </w:r>
                </w:p>
              </w:tc>
              <w:tc>
                <w:tcPr>
                  <w:tcW w:w="1044" w:type="pct"/>
                  <w:vMerge w:val="restar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cs="Times New Roman"/>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71"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557"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1214"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1357"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554"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1044"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1"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3</w:t>
                  </w:r>
                </w:p>
              </w:tc>
              <w:tc>
                <w:tcPr>
                  <w:tcW w:w="557"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121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混凝土残渣</w:t>
                  </w:r>
                </w:p>
              </w:tc>
              <w:tc>
                <w:tcPr>
                  <w:tcW w:w="1357"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SW17  900-099-S17</w:t>
                  </w:r>
                </w:p>
              </w:tc>
              <w:tc>
                <w:tcPr>
                  <w:tcW w:w="55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1</w:t>
                  </w:r>
                </w:p>
              </w:tc>
              <w:tc>
                <w:tcPr>
                  <w:tcW w:w="104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71"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4</w:t>
                  </w:r>
                </w:p>
              </w:tc>
              <w:tc>
                <w:tcPr>
                  <w:tcW w:w="557"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121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沉淀池底泥</w:t>
                  </w:r>
                </w:p>
              </w:tc>
              <w:tc>
                <w:tcPr>
                  <w:tcW w:w="1357"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SW17  900-099-S17</w:t>
                  </w:r>
                </w:p>
              </w:tc>
              <w:tc>
                <w:tcPr>
                  <w:tcW w:w="55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1</w:t>
                  </w:r>
                </w:p>
              </w:tc>
              <w:tc>
                <w:tcPr>
                  <w:tcW w:w="104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1"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5</w:t>
                  </w:r>
                </w:p>
              </w:tc>
              <w:tc>
                <w:tcPr>
                  <w:tcW w:w="557"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121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废布袋</w:t>
                  </w:r>
                </w:p>
              </w:tc>
              <w:tc>
                <w:tcPr>
                  <w:tcW w:w="1357"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SW59  900-0</w:t>
                  </w:r>
                  <w:r>
                    <w:rPr>
                      <w:rFonts w:hint="eastAsia" w:cs="Times New Roman"/>
                      <w:lang w:val="en-US" w:eastAsia="zh-CN"/>
                    </w:rPr>
                    <w:t>0</w:t>
                  </w:r>
                  <w:r>
                    <w:rPr>
                      <w:rFonts w:hint="default" w:ascii="Times New Roman" w:hAnsi="Times New Roman" w:cs="Times New Roman"/>
                      <w:lang w:val="en-US" w:eastAsia="zh-CN"/>
                    </w:rPr>
                    <w:t>9-S59</w:t>
                  </w:r>
                </w:p>
              </w:tc>
              <w:tc>
                <w:tcPr>
                  <w:tcW w:w="55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0.</w:t>
                  </w:r>
                  <w:r>
                    <w:rPr>
                      <w:rFonts w:hint="eastAsia" w:cs="Times New Roman"/>
                      <w:lang w:val="en-US" w:eastAsia="zh-CN"/>
                    </w:rPr>
                    <w:t>2</w:t>
                  </w:r>
                </w:p>
              </w:tc>
              <w:tc>
                <w:tcPr>
                  <w:tcW w:w="104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交由厂家回收处理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1"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6</w:t>
                  </w:r>
                </w:p>
              </w:tc>
              <w:tc>
                <w:tcPr>
                  <w:tcW w:w="557"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121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废钢筋</w:t>
                  </w:r>
                </w:p>
              </w:tc>
              <w:tc>
                <w:tcPr>
                  <w:tcW w:w="1357"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SW17  900-001-S17</w:t>
                  </w:r>
                </w:p>
              </w:tc>
              <w:tc>
                <w:tcPr>
                  <w:tcW w:w="55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1</w:t>
                  </w:r>
                </w:p>
              </w:tc>
              <w:tc>
                <w:tcPr>
                  <w:tcW w:w="1044" w:type="pct"/>
                  <w:vMerge w:val="restar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外售综合处理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1"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7</w:t>
                  </w:r>
                </w:p>
              </w:tc>
              <w:tc>
                <w:tcPr>
                  <w:tcW w:w="557"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121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焊渣</w:t>
                  </w:r>
                </w:p>
              </w:tc>
              <w:tc>
                <w:tcPr>
                  <w:tcW w:w="1357"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SW59  900-099-S59</w:t>
                  </w:r>
                </w:p>
              </w:tc>
              <w:tc>
                <w:tcPr>
                  <w:tcW w:w="55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0.0</w:t>
                  </w:r>
                  <w:r>
                    <w:rPr>
                      <w:rFonts w:hint="eastAsia" w:cs="Times New Roman"/>
                      <w:lang w:val="en-US" w:eastAsia="zh-CN"/>
                    </w:rPr>
                    <w:t>2</w:t>
                  </w:r>
                </w:p>
              </w:tc>
              <w:tc>
                <w:tcPr>
                  <w:tcW w:w="1044"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1" w:type="pct"/>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lang w:val="en-US" w:eastAsia="zh-CN"/>
                    </w:rPr>
                    <w:t>8</w:t>
                  </w:r>
                </w:p>
              </w:tc>
              <w:tc>
                <w:tcPr>
                  <w:tcW w:w="557"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121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水性防腐涂料包装桶</w:t>
                  </w:r>
                </w:p>
              </w:tc>
              <w:tc>
                <w:tcPr>
                  <w:tcW w:w="1357"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SW17  900-003-S17</w:t>
                  </w:r>
                </w:p>
              </w:tc>
              <w:tc>
                <w:tcPr>
                  <w:tcW w:w="55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0.2</w:t>
                  </w:r>
                </w:p>
              </w:tc>
              <w:tc>
                <w:tcPr>
                  <w:tcW w:w="104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交由厂家回收处理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71" w:type="pct"/>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lang w:val="en-US" w:eastAsia="zh-CN"/>
                    </w:rPr>
                    <w:t>9</w:t>
                  </w:r>
                </w:p>
              </w:tc>
              <w:tc>
                <w:tcPr>
                  <w:tcW w:w="557"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121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水性漆漆渣</w:t>
                  </w:r>
                </w:p>
              </w:tc>
              <w:tc>
                <w:tcPr>
                  <w:tcW w:w="1357" w:type="pct"/>
                  <w:noWrap w:val="0"/>
                  <w:vAlign w:val="center"/>
                </w:tcPr>
                <w:p>
                  <w:pPr>
                    <w:pStyle w:val="6"/>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lang w:val="en-US" w:eastAsia="zh-CN"/>
                    </w:rPr>
                    <w:t xml:space="preserve">SW58  </w:t>
                  </w:r>
                  <w:r>
                    <w:rPr>
                      <w:rFonts w:hint="default"/>
                    </w:rPr>
                    <w:t>900-</w:t>
                  </w:r>
                  <w:r>
                    <w:rPr>
                      <w:rFonts w:hint="eastAsia"/>
                      <w:lang w:val="en-US" w:eastAsia="zh-CN"/>
                    </w:rPr>
                    <w:t>099</w:t>
                  </w:r>
                  <w:r>
                    <w:rPr>
                      <w:rFonts w:hint="default"/>
                    </w:rPr>
                    <w:t>-</w:t>
                  </w:r>
                  <w:r>
                    <w:rPr>
                      <w:rFonts w:hint="eastAsia"/>
                      <w:lang w:val="en-US" w:eastAsia="zh-CN"/>
                    </w:rPr>
                    <w:t>S59</w:t>
                  </w:r>
                </w:p>
              </w:tc>
              <w:tc>
                <w:tcPr>
                  <w:tcW w:w="554" w:type="pct"/>
                  <w:noWrap w:val="0"/>
                  <w:vAlign w:val="center"/>
                </w:tcPr>
                <w:p>
                  <w:pPr>
                    <w:pStyle w:val="7"/>
                    <w:keepNext w:val="0"/>
                    <w:keepLines w:val="0"/>
                    <w:suppressLineNumbers w:val="0"/>
                    <w:bidi w:val="0"/>
                    <w:spacing w:before="0" w:beforeAutospacing="0" w:after="0" w:afterAutospacing="0"/>
                    <w:ind w:left="0" w:right="0"/>
                    <w:rPr>
                      <w:rFonts w:hint="default" w:cs="Times New Roman"/>
                      <w:lang w:val="en-US" w:eastAsia="zh-CN"/>
                    </w:rPr>
                  </w:pPr>
                  <w:r>
                    <w:rPr>
                      <w:rFonts w:hint="eastAsia" w:cs="Times New Roman"/>
                      <w:lang w:val="en-US" w:eastAsia="zh-CN"/>
                    </w:rPr>
                    <w:t>0.05</w:t>
                  </w:r>
                </w:p>
              </w:tc>
              <w:tc>
                <w:tcPr>
                  <w:tcW w:w="104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一般工业固体废物填埋场处置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1" w:type="pct"/>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lang w:val="en-US" w:eastAsia="zh-CN"/>
                    </w:rPr>
                    <w:t>10</w:t>
                  </w:r>
                </w:p>
              </w:tc>
              <w:tc>
                <w:tcPr>
                  <w:tcW w:w="557"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1214" w:type="pct"/>
                  <w:noWrap w:val="0"/>
                  <w:vAlign w:val="center"/>
                </w:tcPr>
                <w:p>
                  <w:pPr>
                    <w:pStyle w:val="7"/>
                    <w:keepNext w:val="0"/>
                    <w:keepLines w:val="0"/>
                    <w:suppressLineNumbers w:val="0"/>
                    <w:bidi w:val="0"/>
                    <w:spacing w:before="0" w:beforeAutospacing="0" w:after="0" w:afterAutospacing="0"/>
                    <w:ind w:left="0" w:right="0"/>
                    <w:rPr>
                      <w:rFonts w:hint="default" w:cs="Times New Roman"/>
                      <w:lang w:val="en-US" w:eastAsia="zh-CN"/>
                    </w:rPr>
                  </w:pPr>
                  <w:r>
                    <w:rPr>
                      <w:rFonts w:hint="eastAsia" w:cs="Times New Roman"/>
                      <w:lang w:val="en-US" w:eastAsia="zh-CN"/>
                    </w:rPr>
                    <w:t>废滤芯</w:t>
                  </w:r>
                </w:p>
              </w:tc>
              <w:tc>
                <w:tcPr>
                  <w:tcW w:w="2222"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eastAsia"/>
                      <w:lang w:val="en-US" w:eastAsia="zh-CN"/>
                    </w:rPr>
                  </w:pPr>
                  <w:r>
                    <w:rPr>
                      <w:rFonts w:hint="default" w:ascii="Times New Roman" w:hAnsi="Times New Roman" w:cs="Times New Roman"/>
                      <w:lang w:val="en-US" w:eastAsia="zh-CN"/>
                    </w:rPr>
                    <w:t>SW59  900-009-S59</w:t>
                  </w:r>
                </w:p>
              </w:tc>
              <w:tc>
                <w:tcPr>
                  <w:tcW w:w="907"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eastAsia" w:cs="Times New Roman"/>
                      <w:lang w:val="en-US" w:eastAsia="zh-CN"/>
                    </w:rPr>
                  </w:pPr>
                  <w:r>
                    <w:rPr>
                      <w:rFonts w:hint="default" w:ascii="Times New Roman" w:hAnsi="Times New Roman" w:cs="Times New Roman"/>
                      <w:lang w:val="en-US" w:eastAsia="zh-CN"/>
                    </w:rPr>
                    <w:t>0.</w:t>
                  </w:r>
                  <w:r>
                    <w:rPr>
                      <w:rFonts w:hint="eastAsia" w:cs="Times New Roman"/>
                      <w:lang w:val="en-US" w:eastAsia="zh-CN"/>
                    </w:rPr>
                    <w:t>2</w:t>
                  </w:r>
                </w:p>
              </w:tc>
              <w:tc>
                <w:tcPr>
                  <w:tcW w:w="1709"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eastAsia" w:cs="Times New Roman"/>
                      <w:lang w:val="en-US" w:eastAsia="zh-CN"/>
                    </w:rPr>
                  </w:pPr>
                  <w:r>
                    <w:rPr>
                      <w:rFonts w:hint="default" w:ascii="Times New Roman" w:hAnsi="Times New Roman" w:cs="Times New Roman"/>
                    </w:rPr>
                    <w:t>交由厂家回收处理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71" w:type="pct"/>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lang w:val="en-US" w:eastAsia="zh-CN"/>
                    </w:rPr>
                    <w:t>11</w:t>
                  </w:r>
                </w:p>
              </w:tc>
              <w:tc>
                <w:tcPr>
                  <w:tcW w:w="557" w:type="pct"/>
                  <w:shd w:val="clear" w:color="auto" w:fill="auto"/>
                  <w:noWrap w:val="0"/>
                  <w:vAlign w:val="center"/>
                </w:tcPr>
                <w:p>
                  <w:pPr>
                    <w:pStyle w:val="7"/>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kern w:val="2"/>
                      <w:sz w:val="21"/>
                      <w:szCs w:val="20"/>
                      <w:lang w:val="en-US" w:eastAsia="zh-CN" w:bidi="ar-SA"/>
                    </w:rPr>
                    <w:t>生活垃圾</w:t>
                  </w:r>
                </w:p>
              </w:tc>
              <w:tc>
                <w:tcPr>
                  <w:tcW w:w="1214" w:type="pct"/>
                  <w:shd w:val="clear" w:color="auto" w:fill="auto"/>
                  <w:noWrap w:val="0"/>
                  <w:vAlign w:val="center"/>
                </w:tcPr>
                <w:p>
                  <w:pPr>
                    <w:pStyle w:val="7"/>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lang w:val="en-US" w:eastAsia="zh-CN"/>
                    </w:rPr>
                    <w:t>生活垃圾</w:t>
                  </w:r>
                </w:p>
              </w:tc>
              <w:tc>
                <w:tcPr>
                  <w:tcW w:w="1357" w:type="pct"/>
                  <w:shd w:val="clear" w:color="auto" w:fill="auto"/>
                  <w:noWrap w:val="0"/>
                  <w:vAlign w:val="center"/>
                </w:tcPr>
                <w:p>
                  <w:pPr>
                    <w:pStyle w:val="7"/>
                    <w:keepNext w:val="0"/>
                    <w:keepLines w:val="0"/>
                    <w:suppressLineNumbers w:val="0"/>
                    <w:bidi w:val="0"/>
                    <w:spacing w:before="0" w:beforeAutospacing="0" w:after="0" w:afterAutospacing="0"/>
                    <w:ind w:left="0" w:right="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SW61</w:t>
                  </w:r>
                </w:p>
                <w:p>
                  <w:pPr>
                    <w:pStyle w:val="7"/>
                    <w:keepNext w:val="0"/>
                    <w:keepLines w:val="0"/>
                    <w:suppressLineNumbers w:val="0"/>
                    <w:bidi w:val="0"/>
                    <w:spacing w:before="0" w:beforeAutospacing="0" w:after="0" w:afterAutospacing="0"/>
                    <w:ind w:left="0" w:right="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SW62</w:t>
                  </w:r>
                </w:p>
                <w:p>
                  <w:pPr>
                    <w:pStyle w:val="7"/>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lang w:val="en-US" w:eastAsia="zh-CN"/>
                    </w:rPr>
                    <w:t>SW64</w:t>
                  </w:r>
                </w:p>
              </w:tc>
              <w:tc>
                <w:tcPr>
                  <w:tcW w:w="554" w:type="pct"/>
                  <w:shd w:val="clear" w:color="auto" w:fill="auto"/>
                  <w:noWrap w:val="0"/>
                  <w:vAlign w:val="center"/>
                </w:tcPr>
                <w:p>
                  <w:pPr>
                    <w:pStyle w:val="7"/>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lang w:val="en-US" w:eastAsia="zh-CN"/>
                    </w:rPr>
                    <w:t>1.</w:t>
                  </w:r>
                  <w:r>
                    <w:rPr>
                      <w:rFonts w:hint="eastAsia" w:cs="Times New Roman"/>
                      <w:lang w:val="en-US" w:eastAsia="zh-CN"/>
                    </w:rPr>
                    <w:t>2</w:t>
                  </w:r>
                </w:p>
              </w:tc>
              <w:tc>
                <w:tcPr>
                  <w:tcW w:w="1044" w:type="pct"/>
                  <w:shd w:val="clear" w:color="auto" w:fill="auto"/>
                  <w:noWrap w:val="0"/>
                  <w:vAlign w:val="center"/>
                </w:tcPr>
                <w:p>
                  <w:pPr>
                    <w:pStyle w:val="7"/>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rPr>
                    <w:t>交由环卫部门处理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71" w:type="pct"/>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lang w:val="en-US" w:eastAsia="zh-CN"/>
                    </w:rPr>
                    <w:t>12</w:t>
                  </w:r>
                </w:p>
              </w:tc>
              <w:tc>
                <w:tcPr>
                  <w:tcW w:w="557" w:type="pct"/>
                  <w:vMerge w:val="restart"/>
                  <w:shd w:val="clear" w:color="auto" w:fill="auto"/>
                  <w:noWrap w:val="0"/>
                  <w:vAlign w:val="center"/>
                </w:tcPr>
                <w:p>
                  <w:pPr>
                    <w:pStyle w:val="7"/>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kern w:val="2"/>
                      <w:sz w:val="21"/>
                      <w:szCs w:val="20"/>
                      <w:lang w:val="en-US" w:eastAsia="zh-CN" w:bidi="ar-SA"/>
                    </w:rPr>
                    <w:t>危险固体废物</w:t>
                  </w:r>
                </w:p>
              </w:tc>
              <w:tc>
                <w:tcPr>
                  <w:tcW w:w="121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废润滑油</w:t>
                  </w:r>
                </w:p>
              </w:tc>
              <w:tc>
                <w:tcPr>
                  <w:tcW w:w="1357"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rPr>
                    <w:t>HW08</w:t>
                  </w:r>
                  <w:r>
                    <w:rPr>
                      <w:rFonts w:hint="default" w:ascii="Times New Roman" w:hAnsi="Times New Roman" w:cs="Times New Roman"/>
                      <w:lang w:val="en-US" w:eastAsia="zh-CN"/>
                    </w:rPr>
                    <w:t xml:space="preserve">  </w:t>
                  </w:r>
                  <w:r>
                    <w:rPr>
                      <w:rFonts w:hint="default" w:ascii="Times New Roman" w:hAnsi="Times New Roman" w:cs="Times New Roman"/>
                    </w:rPr>
                    <w:t>900-214-08</w:t>
                  </w:r>
                </w:p>
              </w:tc>
              <w:tc>
                <w:tcPr>
                  <w:tcW w:w="55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rPr>
                    <w:t>0.2</w:t>
                  </w:r>
                </w:p>
              </w:tc>
              <w:tc>
                <w:tcPr>
                  <w:tcW w:w="1044" w:type="pct"/>
                  <w:vMerge w:val="restar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定期交有资质的单位进行处理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71" w:type="pct"/>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eastAsia" w:cs="Times New Roman"/>
                      <w:lang w:val="en-US" w:eastAsia="zh-CN"/>
                    </w:rPr>
                    <w:t>13</w:t>
                  </w:r>
                </w:p>
              </w:tc>
              <w:tc>
                <w:tcPr>
                  <w:tcW w:w="557"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121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废润滑油桶</w:t>
                  </w:r>
                </w:p>
              </w:tc>
              <w:tc>
                <w:tcPr>
                  <w:tcW w:w="1357"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rPr>
                    <w:t>HW08</w:t>
                  </w:r>
                  <w:r>
                    <w:rPr>
                      <w:rFonts w:hint="default" w:ascii="Times New Roman" w:hAnsi="Times New Roman" w:cs="Times New Roman"/>
                      <w:lang w:val="en-US" w:eastAsia="zh-CN"/>
                    </w:rPr>
                    <w:t xml:space="preserve"> </w:t>
                  </w:r>
                  <w:r>
                    <w:rPr>
                      <w:rFonts w:hint="default" w:ascii="Times New Roman" w:hAnsi="Times New Roman" w:cs="Times New Roman"/>
                    </w:rPr>
                    <w:t xml:space="preserve"> 900-249-08</w:t>
                  </w:r>
                </w:p>
              </w:tc>
              <w:tc>
                <w:tcPr>
                  <w:tcW w:w="55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0.02</w:t>
                  </w:r>
                </w:p>
              </w:tc>
              <w:tc>
                <w:tcPr>
                  <w:tcW w:w="1044"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8" w:hRule="atLeast"/>
                <w:jc w:val="center"/>
              </w:trPr>
              <w:tc>
                <w:tcPr>
                  <w:tcW w:w="271" w:type="pct"/>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eastAsia" w:cs="Times New Roman"/>
                      <w:lang w:val="en-US" w:eastAsia="zh-CN"/>
                    </w:rPr>
                    <w:t>14</w:t>
                  </w:r>
                </w:p>
              </w:tc>
              <w:tc>
                <w:tcPr>
                  <w:tcW w:w="557"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121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废液压油</w:t>
                  </w:r>
                </w:p>
              </w:tc>
              <w:tc>
                <w:tcPr>
                  <w:tcW w:w="1357"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cs="Times New Roman"/>
                    </w:rPr>
                    <w:t>HW08</w:t>
                  </w:r>
                  <w:r>
                    <w:rPr>
                      <w:rFonts w:hint="default" w:ascii="Times New Roman" w:hAnsi="Times New Roman" w:cs="Times New Roman"/>
                      <w:lang w:val="en-US" w:eastAsia="zh-CN"/>
                    </w:rPr>
                    <w:t xml:space="preserve">  900-218-08</w:t>
                  </w:r>
                </w:p>
              </w:tc>
              <w:tc>
                <w:tcPr>
                  <w:tcW w:w="55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0.5</w:t>
                  </w:r>
                </w:p>
              </w:tc>
              <w:tc>
                <w:tcPr>
                  <w:tcW w:w="1044"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jc w:val="center"/>
              </w:trPr>
              <w:tc>
                <w:tcPr>
                  <w:tcW w:w="271" w:type="pct"/>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eastAsia" w:cs="Times New Roman"/>
                      <w:lang w:val="en-US" w:eastAsia="zh-CN"/>
                    </w:rPr>
                    <w:t>15</w:t>
                  </w:r>
                </w:p>
              </w:tc>
              <w:tc>
                <w:tcPr>
                  <w:tcW w:w="557"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121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废液压油桶</w:t>
                  </w:r>
                </w:p>
              </w:tc>
              <w:tc>
                <w:tcPr>
                  <w:tcW w:w="1357"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HW08</w:t>
                  </w:r>
                  <w:r>
                    <w:rPr>
                      <w:rFonts w:hint="default" w:ascii="Times New Roman" w:hAnsi="Times New Roman" w:cs="Times New Roman"/>
                      <w:lang w:val="en-US" w:eastAsia="zh-CN"/>
                    </w:rPr>
                    <w:t xml:space="preserve"> </w:t>
                  </w:r>
                  <w:r>
                    <w:rPr>
                      <w:rFonts w:hint="default" w:ascii="Times New Roman" w:hAnsi="Times New Roman" w:cs="Times New Roman"/>
                    </w:rPr>
                    <w:t xml:space="preserve"> 900-249-08</w:t>
                  </w:r>
                </w:p>
              </w:tc>
              <w:tc>
                <w:tcPr>
                  <w:tcW w:w="554"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0.05</w:t>
                  </w:r>
                </w:p>
              </w:tc>
              <w:tc>
                <w:tcPr>
                  <w:tcW w:w="1044"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jc w:val="center"/>
              </w:trPr>
              <w:tc>
                <w:tcPr>
                  <w:tcW w:w="271" w:type="pct"/>
                  <w:noWrap w:val="0"/>
                  <w:vAlign w:val="center"/>
                </w:tcPr>
                <w:p>
                  <w:pPr>
                    <w:pStyle w:val="7"/>
                    <w:keepNext w:val="0"/>
                    <w:keepLines w:val="0"/>
                    <w:suppressLineNumbers w:val="0"/>
                    <w:bidi w:val="0"/>
                    <w:spacing w:before="0" w:beforeAutospacing="0" w:after="0" w:afterAutospacing="0"/>
                    <w:ind w:left="0" w:right="0"/>
                    <w:rPr>
                      <w:rFonts w:hint="default" w:cs="Times New Roman"/>
                      <w:lang w:val="en-US" w:eastAsia="zh-CN"/>
                    </w:rPr>
                  </w:pPr>
                  <w:r>
                    <w:rPr>
                      <w:rFonts w:hint="eastAsia" w:cs="Times New Roman"/>
                      <w:lang w:val="en-US" w:eastAsia="zh-CN"/>
                    </w:rPr>
                    <w:t>16</w:t>
                  </w:r>
                </w:p>
              </w:tc>
              <w:tc>
                <w:tcPr>
                  <w:tcW w:w="557"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1214" w:type="pct"/>
                  <w:noWrap w:val="0"/>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废活性炭</w:t>
                  </w:r>
                </w:p>
              </w:tc>
              <w:tc>
                <w:tcPr>
                  <w:tcW w:w="1357" w:type="pct"/>
                  <w:noWrap w:val="0"/>
                  <w:vAlign w:val="center"/>
                </w:tcPr>
                <w:p>
                  <w:pPr>
                    <w:pStyle w:val="6"/>
                    <w:suppressLineNumbers w:val="0"/>
                    <w:bidi w:val="0"/>
                    <w:spacing w:before="0" w:beforeAutospacing="0" w:after="0" w:afterAutospacing="0"/>
                    <w:ind w:left="0" w:right="0"/>
                    <w:rPr>
                      <w:rFonts w:hint="default"/>
                    </w:rPr>
                  </w:pPr>
                  <w:r>
                    <w:rPr>
                      <w:rFonts w:hint="default"/>
                      <w:lang w:val="en-US" w:eastAsia="zh-CN"/>
                    </w:rPr>
                    <w:t>HW</w:t>
                  </w:r>
                  <w:r>
                    <w:rPr>
                      <w:rFonts w:hint="eastAsia"/>
                      <w:lang w:val="en-US" w:eastAsia="zh-CN"/>
                    </w:rPr>
                    <w:t>49</w:t>
                  </w:r>
                  <w:r>
                    <w:rPr>
                      <w:rFonts w:hint="default"/>
                      <w:lang w:val="en-US" w:eastAsia="zh-CN"/>
                    </w:rPr>
                    <w:t xml:space="preserve">  900-039-49</w:t>
                  </w:r>
                </w:p>
              </w:tc>
              <w:tc>
                <w:tcPr>
                  <w:tcW w:w="554" w:type="pct"/>
                  <w:noWrap w:val="0"/>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2.16</w:t>
                  </w:r>
                </w:p>
              </w:tc>
              <w:tc>
                <w:tcPr>
                  <w:tcW w:w="1044"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p>
              </w:tc>
            </w:tr>
          </w:tbl>
          <w:p>
            <w:pPr>
              <w:pStyle w:val="4"/>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4.2</w:t>
            </w:r>
            <w:r>
              <w:rPr>
                <w:rFonts w:hint="default" w:ascii="Times New Roman" w:hAnsi="Times New Roman" w:cs="Times New Roman"/>
                <w:lang w:val="en-US" w:eastAsia="zh-CN"/>
              </w:rPr>
              <w:t xml:space="preserve"> </w:t>
            </w:r>
            <w:r>
              <w:rPr>
                <w:rFonts w:hint="default" w:ascii="Times New Roman" w:hAnsi="Times New Roman" w:cs="Times New Roman"/>
              </w:rPr>
              <w:t>防治措施</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固体废物、危险</w:t>
            </w:r>
            <w:r>
              <w:rPr>
                <w:rFonts w:hint="default" w:ascii="Times New Roman" w:hAnsi="Times New Roman" w:cs="Times New Roman"/>
              </w:rPr>
              <w:t>废物在厂内贮存</w:t>
            </w:r>
            <w:r>
              <w:rPr>
                <w:rFonts w:hint="default" w:ascii="Times New Roman" w:hAnsi="Times New Roman" w:cs="Times New Roman"/>
                <w:lang w:eastAsia="zh-CN"/>
              </w:rPr>
              <w:t>、</w:t>
            </w:r>
            <w:r>
              <w:rPr>
                <w:rFonts w:hint="default" w:ascii="Times New Roman" w:hAnsi="Times New Roman" w:cs="Times New Roman"/>
              </w:rPr>
              <w:t>运输措施</w:t>
            </w:r>
            <w:r>
              <w:rPr>
                <w:rFonts w:hint="default" w:ascii="Times New Roman" w:hAnsi="Times New Roman" w:cs="Times New Roman"/>
                <w:lang w:eastAsia="zh-CN"/>
              </w:rPr>
              <w:t>、</w:t>
            </w:r>
            <w:r>
              <w:rPr>
                <w:rFonts w:hint="default" w:ascii="Times New Roman" w:hAnsi="Times New Roman" w:cs="Times New Roman"/>
                <w:lang w:val="en-US" w:eastAsia="zh-CN"/>
              </w:rPr>
              <w:t>污染控制要求</w:t>
            </w:r>
            <w:r>
              <w:rPr>
                <w:rFonts w:hint="default" w:ascii="Times New Roman" w:hAnsi="Times New Roman" w:cs="Times New Roman"/>
              </w:rPr>
              <w:t>如下。</w:t>
            </w:r>
          </w:p>
          <w:p>
            <w:pPr>
              <w:pStyle w:val="4"/>
              <w:keepNext w:val="0"/>
              <w:keepLines w:val="0"/>
              <w:suppressLineNumbers w:val="0"/>
              <w:bidi w:val="0"/>
              <w:ind w:left="0" w:right="0"/>
              <w:rPr>
                <w:rFonts w:hint="default" w:ascii="Times New Roman" w:hAnsi="Times New Roman" w:cs="Times New Roman"/>
                <w:lang w:val="en-US"/>
              </w:rPr>
            </w:pPr>
            <w:r>
              <w:rPr>
                <w:rFonts w:hint="default" w:ascii="Times New Roman" w:hAnsi="Times New Roman" w:cs="Times New Roman"/>
              </w:rPr>
              <w:t>4.</w:t>
            </w:r>
            <w:r>
              <w:rPr>
                <w:rFonts w:hint="default" w:ascii="Times New Roman" w:hAnsi="Times New Roman" w:cs="Times New Roman"/>
                <w:lang w:val="en-US" w:eastAsia="zh-CN"/>
              </w:rPr>
              <w:t>2.1 一般固废防治措施</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本项目将严格按照《中华人民共和国固体废物污染环境防治法》（2020年9月1日修订）</w:t>
            </w:r>
            <w:r>
              <w:rPr>
                <w:rFonts w:hint="eastAsia" w:ascii="宋体" w:hAnsi="宋体" w:cs="宋体"/>
                <w:lang w:val="zh-CN" w:eastAsia="zh-CN"/>
              </w:rPr>
              <w:t>“</w:t>
            </w:r>
            <w:r>
              <w:rPr>
                <w:rFonts w:hint="default" w:ascii="Times New Roman" w:hAnsi="Times New Roman" w:cs="Times New Roman"/>
                <w:lang w:val="zh-CN" w:eastAsia="zh-CN"/>
              </w:rPr>
              <w:t>防扬散、防流失、防渗漏或者其他防止污染环境的措施，不得擅自倾倒、堆放、丢弃、遗撒固体废物</w:t>
            </w:r>
            <w:r>
              <w:rPr>
                <w:rFonts w:hint="eastAsia" w:ascii="宋体" w:hAnsi="宋体" w:cs="宋体"/>
                <w:lang w:val="zh-CN" w:eastAsia="zh-CN"/>
              </w:rPr>
              <w:t>”的要求做好“三防”</w:t>
            </w:r>
            <w:r>
              <w:rPr>
                <w:rFonts w:hint="default" w:ascii="Times New Roman" w:hAnsi="Times New Roman" w:cs="Times New Roman"/>
                <w:lang w:val="zh-CN" w:eastAsia="zh-CN"/>
              </w:rPr>
              <w:t>，各类固体废物妥善处置，不得形成二次污染，同时禁止向生活垃圾收集设施投放工业固体废物。一般工业固废厂区内暂存参照执行《一般工业固体废物贮存和填埋污染控制标准》（GB18599-2020）中的</w:t>
            </w:r>
            <w:r>
              <w:rPr>
                <w:rFonts w:hint="eastAsia" w:ascii="宋体" w:hAnsi="宋体" w:cs="宋体"/>
                <w:lang w:val="zh-CN" w:eastAsia="zh-CN"/>
              </w:rPr>
              <w:t>“其贮存过程应满足相应防渗漏、防雨淋、防扬尘等环境保护要求”</w:t>
            </w:r>
            <w:r>
              <w:rPr>
                <w:rFonts w:hint="default" w:ascii="Times New Roman" w:hAnsi="Times New Roman" w:cs="Times New Roman"/>
                <w:lang w:val="zh-CN" w:eastAsia="zh-CN"/>
              </w:rPr>
              <w:t>。</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一般固废贮存管理要求落实如下：</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①产生单位应当按照《一般工业固体废物管理台账制定指南（试行）》要求，建立管理台账，全面、准确地记录一般工业固体废物种类、数量、流向、贮存、利用、处置等信息。鼓励优先使用信息系统建立电子台账，建立电子台账的产生单位，无需再记录纸质台账。无法建立或者不适于使用电子台账的，建立纸质台账。</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②采用库房、包装工具（罐、桶、包装袋等）贮存一般工业固体废物，其贮存过程应当设置一般工业固体废物贮存库。贮存库设有雨棚、围堰或围墙，仓库内部地面干净平整无损，地面应当做硬化或其他防渗措施处理，满足防扬散、防流失、防渗漏、防雨淋等环境保护要求，不应露天堆放一般工业固体废物。应在贮存设施显著位置张贴符合《环境保护图形标志-固体废物贮存（处置）场》（GB15562.2）规定的环境保护图形标志，并注明相应固废类别。</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③对照《固体废物分类与代码目录》，将一般工业固体废物分类分区贮存。一般工业固体废物不得混入生活垃圾和危险废物，不得向生活垃圾收集设施中投放工业固体废物。</w:t>
            </w:r>
          </w:p>
          <w:p>
            <w:pPr>
              <w:pStyle w:val="4"/>
              <w:keepNext w:val="0"/>
              <w:keepLines w:val="0"/>
              <w:suppressLineNumbers w:val="0"/>
              <w:bidi w:val="0"/>
              <w:ind w:left="0" w:right="0"/>
              <w:rPr>
                <w:rFonts w:hint="default" w:ascii="Times New Roman" w:hAnsi="Times New Roman" w:cs="Times New Roman"/>
                <w:lang w:val="zh-CN" w:eastAsia="zh-CN"/>
              </w:rPr>
            </w:pPr>
            <w:r>
              <w:rPr>
                <w:rFonts w:hint="default" w:ascii="Times New Roman" w:hAnsi="Times New Roman" w:cs="Times New Roman"/>
                <w:lang w:val="zh-CN" w:eastAsia="zh-CN"/>
              </w:rPr>
              <w:t>4.</w:t>
            </w:r>
            <w:r>
              <w:rPr>
                <w:rFonts w:hint="default" w:ascii="Times New Roman" w:hAnsi="Times New Roman" w:cs="Times New Roman"/>
                <w:lang w:val="en-US" w:eastAsia="zh-CN"/>
              </w:rPr>
              <w:t>2.</w:t>
            </w:r>
            <w:r>
              <w:rPr>
                <w:rFonts w:hint="default" w:ascii="Times New Roman" w:hAnsi="Times New Roman" w:cs="Times New Roman"/>
                <w:lang w:val="zh-CN" w:eastAsia="zh-CN"/>
              </w:rPr>
              <w:t>2危险固废包装及储存场所环境影响分析</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厂区</w:t>
            </w:r>
            <w:r>
              <w:rPr>
                <w:rFonts w:hint="default" w:ascii="Times New Roman" w:hAnsi="Times New Roman" w:cs="Times New Roman"/>
                <w:lang w:val="en-US" w:eastAsia="zh-CN"/>
              </w:rPr>
              <w:t>现有</w:t>
            </w:r>
            <w:r>
              <w:rPr>
                <w:rFonts w:hint="default" w:ascii="Times New Roman" w:hAnsi="Times New Roman" w:cs="Times New Roman"/>
                <w:lang w:val="zh-CN" w:eastAsia="zh-CN"/>
              </w:rPr>
              <w:t>一座</w:t>
            </w:r>
            <w:r>
              <w:rPr>
                <w:rFonts w:hint="default" w:ascii="Times New Roman" w:hAnsi="Times New Roman" w:cs="Times New Roman"/>
                <w:lang w:val="en-US" w:eastAsia="zh-CN"/>
              </w:rPr>
              <w:t>5</w:t>
            </w:r>
            <w:r>
              <w:rPr>
                <w:rFonts w:hint="default" w:ascii="Times New Roman" w:hAnsi="Times New Roman" w:cs="Times New Roman"/>
                <w:lang w:val="zh-CN" w:eastAsia="zh-CN"/>
              </w:rPr>
              <w:t>m</w:t>
            </w:r>
            <w:r>
              <w:rPr>
                <w:rFonts w:hint="default" w:ascii="Times New Roman" w:hAnsi="Times New Roman" w:cs="Times New Roman"/>
                <w:vertAlign w:val="superscript"/>
                <w:lang w:val="zh-CN" w:eastAsia="zh-CN"/>
              </w:rPr>
              <w:t>2</w:t>
            </w:r>
            <w:r>
              <w:rPr>
                <w:rFonts w:hint="default" w:ascii="Times New Roman" w:hAnsi="Times New Roman" w:cs="Times New Roman"/>
                <w:lang w:val="zh-CN" w:eastAsia="zh-CN"/>
              </w:rPr>
              <w:t>危险废物贮存</w:t>
            </w:r>
            <w:r>
              <w:rPr>
                <w:rFonts w:hint="eastAsia" w:cs="Times New Roman"/>
                <w:lang w:val="en-US" w:eastAsia="zh-CN"/>
              </w:rPr>
              <w:t>点</w:t>
            </w:r>
            <w:r>
              <w:rPr>
                <w:rFonts w:hint="default" w:ascii="Times New Roman" w:hAnsi="Times New Roman" w:cs="Times New Roman"/>
                <w:lang w:val="zh-CN" w:eastAsia="zh-CN"/>
              </w:rPr>
              <w:t>用于危险废物的收集暂存。厂区产生的固体废物将按环评提出的污染防治措施进行收集、暂存、处置或利用。</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（1）危险废物运行环境管理要求</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危险废物临时存放于指定的危废贮存点，不得露天堆放，危险废物的地坪要符合防腐防渗要求，避免产生渗透、雨水淋溶及大风吹扬及外水入侵冲洗等二次污染</w:t>
            </w:r>
            <w:r>
              <w:rPr>
                <w:rFonts w:hint="eastAsia" w:cs="Times New Roman"/>
                <w:lang w:val="zh-CN" w:eastAsia="zh-CN"/>
              </w:rPr>
              <w:t>。</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①应定期检查危险废物的贮存状况，及时清理贮存设施地面，更换破损泄漏的危险废物贮存容器和包装物，保证堆存危险废物的防雨、防风、防扬尘等设施功能完好。</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②作业设备及车辆等结束作业离开贮存设施时，应对其残留的危险废物进行清理，清理的废物或清洗废水应收集处理。</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③贮存设施运行期间，应按国家有关标准和规定建立危险废物管理台账并保存。</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④贮存设施所有者或运营者应建立贮存设施环境管理制度、管理人员岗位职责制度、设施运行操作制度、人员岗位培训制度等。</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（2）危险废物运输措施</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防止运输过程中危险废物的污染损害是防止危险废物污染损害的主要环节之一。在运输过程中，如果管理不当或未采取适当的污染防治和安全防护措施，则极易造成污染。我国每年都发生危险废物运输事故，并造成了严重的污染危害。因此，必须对危险废物的运输加以控制和管理。运输危险废物，必须同时符合两个要求，一是必须采取防止污染环境的措施，符合环境保护的要求，做到无害化的运输；二是必须将所运输的危险废物作为危险货物对待，遵守国家有关危险货物运输管理的规定，符合危险货物运输的安全防护要求，做到安全运输。具体的防治污染环境的措施有：</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①对运输危险废物的设施和设备应当加强管理和维护，保证其正常运行和使用。</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②不能混合运输性质不相容而又未经安全性处置的危险废物。</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③禁止将危险废物与旅客在同一运输工具上载运。</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④运输危险废物的设施和设备在转作他用时，必须经过消除污染的处理，方可使用。</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⑤运输危险废物的人员，应当接受专业培训；经考核合格后，方可从事运输危险废物的工作。</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⑥运输危险废物的单位应当制定在发生意外事故时采取的应急措施和防范措施。</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⑦运输时，发生突发性事故必须立即采取措施消除或者减轻对环境的污染危害，及时通报给附近的单位和居民，并向事故发生地县级以上人民政府环境保护行政主管部门和有关部门报告，接受调查处理。</w:t>
            </w:r>
          </w:p>
          <w:p>
            <w:pPr>
              <w:keepNext w:val="0"/>
              <w:keepLines w:val="0"/>
              <w:suppressLineNumbers w:val="0"/>
              <w:bidi w:val="0"/>
              <w:spacing w:before="0" w:beforeAutospacing="0" w:after="0" w:afterAutospacing="0"/>
              <w:ind w:left="0" w:right="0"/>
              <w:rPr>
                <w:rFonts w:hint="default" w:ascii="Times New Roman" w:hAnsi="Times New Roman" w:cs="Times New Roman"/>
                <w:lang w:val="zh-CN" w:eastAsia="zh-CN"/>
              </w:rPr>
            </w:pPr>
            <w:r>
              <w:rPr>
                <w:rFonts w:hint="default" w:ascii="Times New Roman" w:hAnsi="Times New Roman" w:cs="Times New Roman"/>
                <w:lang w:val="zh-CN" w:eastAsia="zh-CN"/>
              </w:rPr>
              <w:t>综上所述，厂区内的固体废物均做到了合理安放、合理处置的要求，对周边环境影响较小。</w:t>
            </w:r>
          </w:p>
          <w:p>
            <w:pPr>
              <w:pStyle w:val="3"/>
              <w:keepLines w:val="0"/>
              <w:suppressLineNumbers w:val="0"/>
              <w:bidi w:val="0"/>
              <w:spacing w:before="0" w:beforeAutospacing="0" w:after="0" w:afterAutospacing="0"/>
              <w:ind w:right="0"/>
              <w:rPr>
                <w:rFonts w:hint="default" w:ascii="Times New Roman" w:hAnsi="Times New Roman" w:cs="Times New Roman"/>
              </w:rPr>
            </w:pPr>
            <w:r>
              <w:rPr>
                <w:rFonts w:hint="default" w:ascii="Times New Roman" w:hAnsi="Times New Roman" w:cs="Times New Roman"/>
              </w:rPr>
              <w:t>5</w:t>
            </w:r>
            <w:r>
              <w:rPr>
                <w:rFonts w:hint="default" w:ascii="Times New Roman" w:hAnsi="Times New Roman" w:cs="Times New Roman"/>
                <w:lang w:val="en-US" w:eastAsia="zh-CN"/>
              </w:rPr>
              <w:t xml:space="preserve"> </w:t>
            </w:r>
            <w:r>
              <w:rPr>
                <w:rFonts w:hint="default" w:ascii="Times New Roman" w:hAnsi="Times New Roman" w:cs="Times New Roman"/>
              </w:rPr>
              <w:t>土壤</w:t>
            </w:r>
            <w:r>
              <w:rPr>
                <w:rFonts w:hint="default" w:ascii="Times New Roman" w:hAnsi="Times New Roman" w:cs="Times New Roman"/>
                <w:lang w:eastAsia="zh-CN"/>
              </w:rPr>
              <w:t>、</w:t>
            </w:r>
            <w:r>
              <w:rPr>
                <w:rFonts w:hint="default" w:ascii="Times New Roman" w:hAnsi="Times New Roman" w:cs="Times New Roman"/>
              </w:rPr>
              <w:t>地下水环境影响分析</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本项目正常工况下不存在污染途径，项目在事故工况下，沉淀池发生渗漏时，可能对土壤及地下水产生影响。防治地下水</w:t>
            </w:r>
            <w:r>
              <w:rPr>
                <w:rFonts w:hint="default" w:ascii="Times New Roman" w:hAnsi="Times New Roman" w:cs="Times New Roman"/>
                <w:lang w:eastAsia="zh-CN"/>
              </w:rPr>
              <w:t>、</w:t>
            </w:r>
            <w:r>
              <w:rPr>
                <w:rFonts w:hint="default" w:ascii="Times New Roman" w:hAnsi="Times New Roman" w:cs="Times New Roman"/>
                <w:lang w:val="en-US" w:eastAsia="zh-CN"/>
              </w:rPr>
              <w:t>土壤</w:t>
            </w:r>
            <w:r>
              <w:rPr>
                <w:rFonts w:hint="default" w:ascii="Times New Roman" w:hAnsi="Times New Roman" w:cs="Times New Roman"/>
              </w:rPr>
              <w:t>污染控制措施的原则如下：</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（1）主动控制即源头控制措施，主要包括在废水管道、设备、污水储存采取相应措施，防止和降低污水处理站及污水收集、排放管道的滴、漏，将污染物泄漏的环境风险事故降到最低程度。</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（2）被动控制即末端控制措施，主要包括</w:t>
            </w:r>
            <w:r>
              <w:rPr>
                <w:rFonts w:hint="eastAsia" w:cs="Times New Roman"/>
                <w:lang w:val="en-US" w:eastAsia="zh-CN"/>
              </w:rPr>
              <w:t>沉淀</w:t>
            </w:r>
            <w:r>
              <w:rPr>
                <w:rFonts w:hint="default" w:ascii="Times New Roman" w:hAnsi="Times New Roman" w:cs="Times New Roman"/>
              </w:rPr>
              <w:t>池的防渗措施和泄漏、渗漏污染物收集措施，即在废水处理收集、储存</w:t>
            </w:r>
            <w:r>
              <w:rPr>
                <w:rFonts w:hint="default" w:ascii="Times New Roman" w:hAnsi="Times New Roman" w:cs="Times New Roman"/>
                <w:lang w:val="en-US" w:eastAsia="zh-CN"/>
              </w:rPr>
              <w:t>区</w:t>
            </w:r>
            <w:r>
              <w:rPr>
                <w:rFonts w:hint="default" w:ascii="Times New Roman" w:hAnsi="Times New Roman" w:cs="Times New Roman"/>
              </w:rPr>
              <w:t>进行防渗处理，防止污染物渗入地下。</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根据以上原则，本项目地下水污染的控制措施为：</w:t>
            </w:r>
            <w:r>
              <w:rPr>
                <w:rFonts w:hint="default" w:ascii="Times New Roman" w:hAnsi="Times New Roman" w:cs="Times New Roman"/>
                <w:lang w:val="en-US" w:eastAsia="zh-CN"/>
              </w:rPr>
              <w:t>沉淀池</w:t>
            </w:r>
            <w:r>
              <w:rPr>
                <w:rFonts w:hint="default" w:ascii="Times New Roman" w:hAnsi="Times New Roman" w:cs="Times New Roman"/>
              </w:rPr>
              <w:t>为一般防渗，严格按照《环境影响评价技术导则 地下水环境》（HJ 610-2016）要求制定防渗措施；地面硬化处理设防渗层，可使一般防渗区域的等效黏土防渗层Mb≥1.5m，渗透系数K≤1×10</w:t>
            </w:r>
            <w:r>
              <w:rPr>
                <w:rFonts w:hint="default" w:ascii="Times New Roman" w:hAnsi="Times New Roman" w:cs="Times New Roman"/>
                <w:vertAlign w:val="superscript"/>
              </w:rPr>
              <w:t>-7</w:t>
            </w:r>
            <w:r>
              <w:rPr>
                <w:rFonts w:hint="default" w:ascii="Times New Roman" w:hAnsi="Times New Roman" w:cs="Times New Roman"/>
              </w:rPr>
              <w:t>cm/s。</w:t>
            </w:r>
          </w:p>
          <w:p>
            <w:pPr>
              <w:keepNext w:val="0"/>
              <w:keepLines w:val="0"/>
              <w:suppressLineNumbers w:val="0"/>
              <w:bidi w:val="0"/>
              <w:spacing w:before="0" w:beforeAutospacing="0" w:after="0" w:afterAutospacing="0"/>
              <w:ind w:left="0" w:right="0"/>
              <w:rPr>
                <w:rFonts w:hint="default" w:ascii="Times New Roman" w:hAnsi="Times New Roman" w:cs="Times New Roman"/>
                <w:lang w:val="en-US"/>
              </w:rPr>
            </w:pPr>
            <w:r>
              <w:rPr>
                <w:rFonts w:hint="default" w:ascii="Times New Roman" w:hAnsi="Times New Roman" w:cs="Times New Roman"/>
                <w:lang w:val="en-US" w:eastAsia="zh-CN"/>
              </w:rPr>
              <w:t>钢筋加工车间、水泥制品加工区域、原料堆场、成品堆场等区域进行一般地面硬化处理。</w:t>
            </w:r>
          </w:p>
          <w:p>
            <w:pPr>
              <w:pStyle w:val="5"/>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4-1</w:t>
            </w:r>
            <w:r>
              <w:rPr>
                <w:rFonts w:hint="eastAsia" w:cs="Times New Roman"/>
                <w:lang w:val="en-US" w:eastAsia="zh-CN"/>
              </w:rPr>
              <w:t>2</w:t>
            </w:r>
            <w:r>
              <w:rPr>
                <w:rFonts w:hint="default" w:ascii="Times New Roman" w:hAnsi="Times New Roman" w:cs="Times New Roman"/>
                <w:lang w:val="en-US" w:eastAsia="zh-CN"/>
              </w:rPr>
              <w:t xml:space="preserve">  </w:t>
            </w:r>
            <w:r>
              <w:rPr>
                <w:rFonts w:hint="default" w:ascii="Times New Roman" w:hAnsi="Times New Roman" w:cs="Times New Roman"/>
              </w:rPr>
              <w:t>分区防渗要求</w:t>
            </w:r>
          </w:p>
          <w:tbl>
            <w:tblPr>
              <w:tblStyle w:val="33"/>
              <w:tblW w:w="813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70"/>
              <w:gridCol w:w="2251"/>
              <w:gridCol w:w="1266"/>
              <w:gridCol w:w="394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序号</w:t>
                  </w:r>
                </w:p>
              </w:tc>
              <w:tc>
                <w:tcPr>
                  <w:tcW w:w="2251"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项目</w:t>
                  </w:r>
                </w:p>
              </w:tc>
              <w:tc>
                <w:tcPr>
                  <w:tcW w:w="1266"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类别</w:t>
                  </w:r>
                </w:p>
              </w:tc>
              <w:tc>
                <w:tcPr>
                  <w:tcW w:w="3943"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保护措施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1</w:t>
                  </w:r>
                </w:p>
              </w:tc>
              <w:tc>
                <w:tcPr>
                  <w:tcW w:w="2251"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cs="Times New Roman"/>
                      <w:lang w:val="en-US" w:eastAsia="zh-CN"/>
                    </w:rPr>
                    <w:t>钢筋加工车间、水泥制品加工区域、原料堆场、成品堆场、水性防腐涂料刷涂车间等</w:t>
                  </w:r>
                </w:p>
              </w:tc>
              <w:tc>
                <w:tcPr>
                  <w:tcW w:w="1266"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简单防渗区</w:t>
                  </w:r>
                </w:p>
              </w:tc>
              <w:tc>
                <w:tcPr>
                  <w:tcW w:w="3943"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eastAsia="zh-CN"/>
                    </w:rPr>
                  </w:pPr>
                  <w:r>
                    <w:rPr>
                      <w:rFonts w:hint="default" w:ascii="Times New Roman" w:hAnsi="Times New Roman" w:cs="Times New Roman"/>
                    </w:rPr>
                    <w:t>一般地面硬化</w:t>
                  </w:r>
                  <w:r>
                    <w:rPr>
                      <w:rFonts w:hint="default" w:ascii="Times New Roman" w:hAnsi="Times New Roman" w:cs="Times New Roman"/>
                      <w:lang w:eastAsia="zh-CN"/>
                    </w:rPr>
                    <w:t>（</w:t>
                  </w:r>
                  <w:r>
                    <w:rPr>
                      <w:rFonts w:hint="default" w:ascii="Times New Roman" w:hAnsi="Times New Roman" w:cs="Times New Roman"/>
                      <w:lang w:val="en-US" w:eastAsia="zh-CN"/>
                    </w:rPr>
                    <w:t>水泥硬化</w:t>
                  </w:r>
                  <w:r>
                    <w:rPr>
                      <w:rFonts w:hint="default"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2251"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沉淀池</w:t>
                  </w:r>
                </w:p>
              </w:tc>
              <w:tc>
                <w:tcPr>
                  <w:tcW w:w="1266"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一般防渗区</w:t>
                  </w:r>
                </w:p>
              </w:tc>
              <w:tc>
                <w:tcPr>
                  <w:tcW w:w="3943" w:type="dxa"/>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等效黏土防渗层厚度≥1.5m，渗透系数≤1×10</w:t>
                  </w:r>
                  <w:r>
                    <w:rPr>
                      <w:rFonts w:hint="default" w:ascii="Times New Roman" w:hAnsi="Times New Roman" w:cs="Times New Roman"/>
                      <w:vertAlign w:val="superscript"/>
                    </w:rPr>
                    <w:t>-7</w:t>
                  </w:r>
                  <w:r>
                    <w:rPr>
                      <w:rFonts w:hint="default" w:ascii="Times New Roman" w:hAnsi="Times New Roman" w:cs="Times New Roman"/>
                    </w:rPr>
                    <w:t>cm/s</w:t>
                  </w:r>
                </w:p>
              </w:tc>
            </w:tr>
          </w:tbl>
          <w:p>
            <w:pPr>
              <w:pStyle w:val="3"/>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default" w:ascii="Times New Roman" w:hAnsi="Times New Roman" w:cs="Times New Roman"/>
                <w:lang w:val="en-US" w:eastAsia="zh-CN"/>
              </w:rPr>
              <w:t>6 生态环境影响和保护措施</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根据《建设项目环境影响报告表编制技术指南（污染影响类）（试行）》，本项目在园区内且用地范围内不含有生态环境保护目标，因此不开展生态调查和评价。</w:t>
            </w:r>
          </w:p>
          <w:p>
            <w:pPr>
              <w:pStyle w:val="3"/>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default" w:ascii="Times New Roman" w:hAnsi="Times New Roman" w:cs="Times New Roman"/>
                <w:lang w:val="en-US" w:eastAsia="zh-CN"/>
              </w:rPr>
              <w:t xml:space="preserve">7 </w:t>
            </w:r>
            <w:r>
              <w:rPr>
                <w:rFonts w:hint="default" w:ascii="Times New Roman" w:hAnsi="Times New Roman" w:cs="Times New Roman"/>
              </w:rPr>
              <w:t>环境风险</w:t>
            </w:r>
            <w:r>
              <w:rPr>
                <w:rFonts w:hint="default" w:ascii="Times New Roman" w:hAnsi="Times New Roman" w:cs="Times New Roman"/>
                <w:lang w:val="en-US" w:eastAsia="zh-CN"/>
              </w:rPr>
              <w:t>分析</w:t>
            </w:r>
          </w:p>
          <w:p>
            <w:pPr>
              <w:pStyle w:val="3"/>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default" w:ascii="Times New Roman" w:hAnsi="Times New Roman" w:cs="Times New Roman"/>
                <w:lang w:val="en-US" w:eastAsia="zh-CN"/>
              </w:rPr>
              <w:t>7.1 物质风险识别范围</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物质风险调查包括主要原材料及辅助材料、最终产品、</w:t>
            </w:r>
            <w:r>
              <w:rPr>
                <w:rFonts w:hint="eastAsia" w:ascii="宋体" w:hAnsi="宋体" w:eastAsia="宋体" w:cs="宋体"/>
                <w:lang w:val="en-US" w:eastAsia="zh-CN"/>
              </w:rPr>
              <w:t>“三废”</w:t>
            </w:r>
            <w:r>
              <w:rPr>
                <w:rFonts w:hint="default" w:ascii="Times New Roman" w:hAnsi="Times New Roman" w:cs="Times New Roman"/>
                <w:lang w:val="en-US" w:eastAsia="zh-CN"/>
              </w:rPr>
              <w:t>污染物、火灾和爆炸等伴生/次生的危险物质。本项目涉及的风险物质主要为废润滑油和废液压油，属于《建设项目环境风险评价技术导则》（HJ169-2018）中风险物质。危险化学品中重大危险源辨识调查结果见下表。</w:t>
            </w:r>
          </w:p>
          <w:p>
            <w:pPr>
              <w:pStyle w:val="5"/>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表4-1</w:t>
            </w:r>
            <w:r>
              <w:rPr>
                <w:rFonts w:hint="eastAsia" w:cs="Times New Roman"/>
                <w:lang w:val="en-US" w:eastAsia="zh-CN"/>
              </w:rPr>
              <w:t>3</w:t>
            </w:r>
            <w:r>
              <w:rPr>
                <w:rFonts w:hint="default" w:ascii="Times New Roman" w:hAnsi="Times New Roman" w:cs="Times New Roman"/>
                <w:lang w:val="en-US" w:eastAsia="zh-CN"/>
              </w:rPr>
              <w:t xml:space="preserve">  项目主要化学品危险源识别</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5"/>
              <w:gridCol w:w="2218"/>
              <w:gridCol w:w="1869"/>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9" w:type="pct"/>
                </w:tcPr>
                <w:p>
                  <w:pPr>
                    <w:pStyle w:val="170"/>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化学品名称</w:t>
                  </w:r>
                </w:p>
              </w:tc>
              <w:tc>
                <w:tcPr>
                  <w:tcW w:w="1355" w:type="pct"/>
                </w:tcPr>
                <w:p>
                  <w:pPr>
                    <w:pStyle w:val="170"/>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最大储存量（t）</w:t>
                  </w:r>
                </w:p>
              </w:tc>
              <w:tc>
                <w:tcPr>
                  <w:tcW w:w="1142" w:type="pct"/>
                </w:tcPr>
                <w:p>
                  <w:pPr>
                    <w:pStyle w:val="170"/>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临界量（t）</w:t>
                  </w:r>
                </w:p>
              </w:tc>
              <w:tc>
                <w:tcPr>
                  <w:tcW w:w="1252" w:type="pct"/>
                </w:tcPr>
                <w:p>
                  <w:pPr>
                    <w:pStyle w:val="170"/>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9" w:type="pct"/>
                </w:tcPr>
                <w:p>
                  <w:pPr>
                    <w:pStyle w:val="170"/>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废润滑油</w:t>
                  </w:r>
                </w:p>
              </w:tc>
              <w:tc>
                <w:tcPr>
                  <w:tcW w:w="1355" w:type="pct"/>
                </w:tcPr>
                <w:p>
                  <w:pPr>
                    <w:pStyle w:val="170"/>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0.2</w:t>
                  </w:r>
                </w:p>
              </w:tc>
              <w:tc>
                <w:tcPr>
                  <w:tcW w:w="1142" w:type="pct"/>
                </w:tcPr>
                <w:p>
                  <w:pPr>
                    <w:pStyle w:val="170"/>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2500</w:t>
                  </w:r>
                </w:p>
              </w:tc>
              <w:tc>
                <w:tcPr>
                  <w:tcW w:w="1252" w:type="pct"/>
                </w:tcPr>
                <w:p>
                  <w:pPr>
                    <w:pStyle w:val="170"/>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8×10</w:t>
                  </w:r>
                  <w:r>
                    <w:rPr>
                      <w:rFonts w:hint="default" w:ascii="Times New Roman" w:hAnsi="Times New Roman" w:cs="Times New Roman"/>
                      <w:highlight w:val="none"/>
                      <w:vertAlign w:val="super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9" w:type="pct"/>
                </w:tcPr>
                <w:p>
                  <w:pPr>
                    <w:pStyle w:val="170"/>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废液压油</w:t>
                  </w:r>
                </w:p>
              </w:tc>
              <w:tc>
                <w:tcPr>
                  <w:tcW w:w="1355" w:type="pct"/>
                </w:tcPr>
                <w:p>
                  <w:pPr>
                    <w:pStyle w:val="170"/>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0.5</w:t>
                  </w:r>
                </w:p>
              </w:tc>
              <w:tc>
                <w:tcPr>
                  <w:tcW w:w="1142" w:type="pct"/>
                </w:tcPr>
                <w:p>
                  <w:pPr>
                    <w:pStyle w:val="170"/>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2500</w:t>
                  </w:r>
                </w:p>
              </w:tc>
              <w:tc>
                <w:tcPr>
                  <w:tcW w:w="1252" w:type="pct"/>
                </w:tcPr>
                <w:p>
                  <w:pPr>
                    <w:pStyle w:val="170"/>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2×10</w:t>
                  </w:r>
                  <w:r>
                    <w:rPr>
                      <w:rFonts w:hint="default" w:ascii="Times New Roman" w:hAnsi="Times New Roman" w:cs="Times New Roman"/>
                      <w:highlight w:val="none"/>
                      <w:vertAlign w:val="superscript"/>
                      <w:lang w:val="en-US" w:eastAsia="zh-CN"/>
                    </w:rPr>
                    <w:t>-4</w:t>
                  </w:r>
                </w:p>
              </w:tc>
            </w:tr>
          </w:tbl>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根据《建设项目环境风险评价技术导则》（HJ169-2018）附录B重点关注的危险物质及临界量以及《危险化学品重大危险源辨识》（GB18218-2018），本项目涉及的环境风险物质主要为润滑油。由</w:t>
            </w:r>
            <w:r>
              <w:rPr>
                <w:rFonts w:hint="default" w:ascii="Times New Roman" w:hAnsi="Times New Roman" w:cs="Times New Roman"/>
                <w:highlight w:val="none"/>
                <w:lang w:val="en-US" w:eastAsia="zh-CN"/>
              </w:rPr>
              <w:t>表4-1</w:t>
            </w:r>
            <w:r>
              <w:rPr>
                <w:rFonts w:hint="eastAsia" w:cs="Times New Roman"/>
                <w:highlight w:val="none"/>
                <w:lang w:val="en-US" w:eastAsia="zh-CN"/>
              </w:rPr>
              <w:t>3</w:t>
            </w:r>
            <w:r>
              <w:rPr>
                <w:rFonts w:hint="default" w:ascii="Times New Roman" w:hAnsi="Times New Roman" w:cs="Times New Roman"/>
                <w:lang w:val="en-US" w:eastAsia="zh-CN"/>
              </w:rPr>
              <w:t>可知，Q=8×10</w:t>
            </w:r>
            <w:r>
              <w:rPr>
                <w:rFonts w:hint="default" w:ascii="Times New Roman" w:hAnsi="Times New Roman" w:cs="Times New Roman"/>
                <w:vertAlign w:val="superscript"/>
                <w:lang w:val="en-US" w:eastAsia="zh-CN"/>
              </w:rPr>
              <w:t>-5</w:t>
            </w:r>
            <w:r>
              <w:rPr>
                <w:rFonts w:hint="default" w:ascii="Times New Roman" w:hAnsi="Times New Roman" w:cs="Times New Roman"/>
                <w:vertAlign w:val="baseline"/>
                <w:lang w:val="en-US" w:eastAsia="zh-CN"/>
              </w:rPr>
              <w:t>+2×10</w:t>
            </w:r>
            <w:r>
              <w:rPr>
                <w:rFonts w:hint="default" w:ascii="Times New Roman" w:hAnsi="Times New Roman" w:cs="Times New Roman"/>
                <w:vertAlign w:val="superscript"/>
                <w:lang w:val="en-US" w:eastAsia="zh-CN"/>
              </w:rPr>
              <w:t>-4</w:t>
            </w:r>
            <w:r>
              <w:rPr>
                <w:rFonts w:hint="default" w:ascii="Times New Roman" w:hAnsi="Times New Roman" w:cs="Times New Roman"/>
                <w:vertAlign w:val="baseline"/>
                <w:lang w:val="en-US" w:eastAsia="zh-CN"/>
              </w:rPr>
              <w:t>=2.8×10</w:t>
            </w:r>
            <w:r>
              <w:rPr>
                <w:rFonts w:hint="default" w:ascii="Times New Roman" w:hAnsi="Times New Roman" w:cs="Times New Roman"/>
                <w:vertAlign w:val="superscript"/>
                <w:lang w:val="en-US" w:eastAsia="zh-CN"/>
              </w:rPr>
              <w:t>-4</w:t>
            </w:r>
            <w:r>
              <w:rPr>
                <w:rFonts w:hint="default" w:ascii="Times New Roman" w:hAnsi="Times New Roman" w:cs="Times New Roman"/>
                <w:lang w:val="en-US" w:eastAsia="zh-CN"/>
              </w:rPr>
              <w:t>&lt;1，该项目环境风险潜势为Ⅰ。因此，项目不存在重大危险源，企业环境风险等级评定为简单分析。</w:t>
            </w:r>
          </w:p>
          <w:p>
            <w:pPr>
              <w:pStyle w:val="4"/>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w:t>
            </w:r>
            <w:r>
              <w:rPr>
                <w:rFonts w:hint="default" w:ascii="Times New Roman" w:hAnsi="Times New Roman" w:cs="Times New Roman"/>
                <w:lang w:val="en-US" w:eastAsia="zh-CN"/>
              </w:rPr>
              <w:t xml:space="preserve">2 </w:t>
            </w:r>
            <w:r>
              <w:rPr>
                <w:rFonts w:hint="default" w:ascii="Times New Roman" w:hAnsi="Times New Roman" w:cs="Times New Roman"/>
              </w:rPr>
              <w:t>环境风险源影响途径</w:t>
            </w:r>
            <w:r>
              <w:rPr>
                <w:rFonts w:hint="default" w:ascii="Times New Roman" w:hAnsi="Times New Roman" w:cs="Times New Roman"/>
                <w:lang w:val="en-US" w:eastAsia="zh-CN"/>
              </w:rPr>
              <w:t>识别</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油品泄漏事故：项目生产过程中涉及的危险品有废润滑油</w:t>
            </w:r>
            <w:r>
              <w:rPr>
                <w:rFonts w:hint="eastAsia" w:cs="Times New Roman"/>
                <w:lang w:val="en-US" w:eastAsia="zh-CN"/>
              </w:rPr>
              <w:t>和废液压油</w:t>
            </w:r>
            <w:r>
              <w:rPr>
                <w:rFonts w:hint="default" w:ascii="Times New Roman" w:hAnsi="Times New Roman" w:cs="Times New Roman"/>
                <w:lang w:val="en-US" w:eastAsia="zh-CN"/>
              </w:rPr>
              <w:t>。当储存设施发生破损造成泄漏，可能会污染周围土壤和地下水，污染的土壤不仅会造成植物的死亡，而且土壤层吸附的油品还会随着下渗补充到地下水。</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环保设施危险性：本项目配套废气系统出现故障，导致颗粒物</w:t>
            </w:r>
            <w:r>
              <w:rPr>
                <w:rFonts w:hint="eastAsia" w:cs="Times New Roman"/>
                <w:lang w:val="en-US" w:eastAsia="zh-CN"/>
              </w:rPr>
              <w:t>、非甲烷总烃等污染物非正常排放</w:t>
            </w:r>
            <w:r>
              <w:rPr>
                <w:rFonts w:hint="default" w:ascii="Times New Roman" w:hAnsi="Times New Roman" w:cs="Times New Roman"/>
                <w:lang w:val="en-US" w:eastAsia="zh-CN"/>
              </w:rPr>
              <w:t>。</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危废贮存点管理风险：危废贮存点防渗层破损或破裂，且在收集和转运过程中若管理不当，容易导致危险废物渗漏和洒落至地面，并可能进入地表及地下水体，对土壤和水环境造成污染。</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火灾爆炸事故引发的伴生/次生污染：废润滑油和废液压油具有易燃易爆的危险特性，发生火灾爆炸事故后随着燃烧氧化，会产生伴生/次生产物，主要为不完全燃烧产生的CO和烟尘等污染物会对大气造成较大影响，从而造成二次污染。</w:t>
            </w:r>
          </w:p>
          <w:p>
            <w:pPr>
              <w:pStyle w:val="3"/>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default" w:ascii="Times New Roman" w:hAnsi="Times New Roman" w:cs="Times New Roman"/>
                <w:lang w:val="en-US" w:eastAsia="zh-CN"/>
              </w:rPr>
              <w:t>7.3 环境风险防范措施</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为减少油类物质泄漏等引起的火灾事故，提出以下环境风险防范措施及应急要求：</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①健全各项制度，强化安全管理意识，加强用电设备及线路的检修和管理。</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②严格按照消防安全部门要求，配置消防设施。</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③成立专门的责任机构，保证事故发生时组织相关力量及时控制事故的危害，在第一时间，有序有效地控制事故污染，把事故危害减小到最小。</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④油类物质等易燃易爆物品存储远离火源。在采取以上措施后，可有效降低风险发生的概率。</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为减少项目废气处理设施非正常工况导致颗粒物</w:t>
            </w:r>
            <w:r>
              <w:rPr>
                <w:rFonts w:hint="eastAsia" w:cs="Times New Roman"/>
                <w:lang w:val="en-US" w:eastAsia="zh-CN"/>
              </w:rPr>
              <w:t>和VOC</w:t>
            </w:r>
            <w:r>
              <w:rPr>
                <w:rFonts w:hint="eastAsia" w:cs="Times New Roman"/>
                <w:vertAlign w:val="subscript"/>
                <w:lang w:val="en-US" w:eastAsia="zh-CN"/>
              </w:rPr>
              <w:t>S</w:t>
            </w:r>
            <w:r>
              <w:rPr>
                <w:rFonts w:hint="default" w:ascii="Times New Roman" w:hAnsi="Times New Roman" w:cs="Times New Roman"/>
                <w:lang w:val="en-US" w:eastAsia="zh-CN"/>
              </w:rPr>
              <w:t>超标排放对周边环境的影响，提出以下环境风险防范措施及应急要求：</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（1）制定环保设备运行维护制度，并派专人进行管理，定期对环保设备进行点检维护。</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（2）定期对风机的运行情况进行检查记录，一旦发现运行异常，立即对相应的生产设备进行停产，并对风机设备进行维修。</w:t>
            </w:r>
          </w:p>
          <w:p>
            <w:pPr>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（3）对布袋除尘器装置</w:t>
            </w:r>
            <w:r>
              <w:rPr>
                <w:rFonts w:hint="eastAsia" w:cs="Times New Roman"/>
                <w:lang w:val="en-US" w:eastAsia="zh-CN"/>
              </w:rPr>
              <w:t>和二级活性炭吸附装置</w:t>
            </w:r>
            <w:r>
              <w:rPr>
                <w:rFonts w:hint="default" w:ascii="Times New Roman" w:hAnsi="Times New Roman" w:cs="Times New Roman"/>
                <w:lang w:val="en-US" w:eastAsia="zh-CN"/>
              </w:rPr>
              <w:t>进行定期检查，确保废气处理效率，若发现破损、损坏或堵塞严重，应立即进行更换，确保其处理效率。</w:t>
            </w:r>
          </w:p>
          <w:p>
            <w:pPr>
              <w:pStyle w:val="3"/>
              <w:keepLines w:val="0"/>
              <w:suppressLineNumbers w:val="0"/>
              <w:bidi w:val="0"/>
              <w:spacing w:before="0" w:beforeAutospacing="0" w:after="0" w:afterAutospacing="0"/>
              <w:ind w:right="0"/>
              <w:rPr>
                <w:rFonts w:hint="default" w:ascii="Times New Roman" w:hAnsi="Times New Roman" w:cs="Times New Roman"/>
              </w:rPr>
            </w:pPr>
            <w:r>
              <w:rPr>
                <w:rFonts w:hint="default" w:ascii="Times New Roman" w:hAnsi="Times New Roman" w:cs="Times New Roman"/>
                <w:lang w:val="en-US" w:eastAsia="zh-CN"/>
              </w:rPr>
              <w:t xml:space="preserve">8 </w:t>
            </w:r>
            <w:r>
              <w:rPr>
                <w:rFonts w:hint="default" w:ascii="Times New Roman" w:hAnsi="Times New Roman" w:cs="Times New Roman"/>
              </w:rPr>
              <w:t>环保投资</w:t>
            </w:r>
          </w:p>
          <w:p>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本项目总投资</w:t>
            </w:r>
            <w:r>
              <w:rPr>
                <w:rFonts w:hint="eastAsia" w:cs="Times New Roman"/>
                <w:lang w:val="en-US" w:eastAsia="zh-CN"/>
              </w:rPr>
              <w:t>1600</w:t>
            </w:r>
            <w:r>
              <w:rPr>
                <w:rFonts w:hint="default" w:ascii="Times New Roman" w:hAnsi="Times New Roman" w:cs="Times New Roman"/>
              </w:rPr>
              <w:t>万元，环保措施投资估算合计</w:t>
            </w:r>
            <w:r>
              <w:rPr>
                <w:rFonts w:hint="eastAsia" w:cs="Times New Roman"/>
                <w:lang w:val="en-US" w:eastAsia="zh-CN"/>
              </w:rPr>
              <w:t>29</w:t>
            </w:r>
            <w:r>
              <w:rPr>
                <w:rFonts w:hint="default" w:ascii="Times New Roman" w:hAnsi="Times New Roman" w:cs="Times New Roman"/>
              </w:rPr>
              <w:t>万元，占总投资的</w:t>
            </w:r>
            <w:r>
              <w:rPr>
                <w:rFonts w:hint="eastAsia" w:cs="Times New Roman"/>
                <w:lang w:val="en-US" w:eastAsia="zh-CN"/>
              </w:rPr>
              <w:t>1.81</w:t>
            </w:r>
            <w:r>
              <w:rPr>
                <w:rFonts w:hint="default" w:ascii="Times New Roman" w:hAnsi="Times New Roman" w:cs="Times New Roman"/>
              </w:rPr>
              <w:t>%，环</w:t>
            </w:r>
            <w:r>
              <w:rPr>
                <w:rFonts w:hint="default" w:ascii="Times New Roman" w:hAnsi="Times New Roman" w:cs="Times New Roman"/>
                <w:lang w:val="en-US" w:eastAsia="zh-CN"/>
              </w:rPr>
              <w:t>保</w:t>
            </w:r>
            <w:r>
              <w:rPr>
                <w:rFonts w:hint="default" w:ascii="Times New Roman" w:hAnsi="Times New Roman" w:cs="Times New Roman"/>
              </w:rPr>
              <w:t>投资见</w:t>
            </w:r>
            <w:r>
              <w:rPr>
                <w:rFonts w:hint="default" w:ascii="Times New Roman" w:hAnsi="Times New Roman" w:cs="Times New Roman"/>
                <w:lang w:val="en-US" w:eastAsia="zh-CN"/>
              </w:rPr>
              <w:t>下</w:t>
            </w:r>
            <w:r>
              <w:rPr>
                <w:rFonts w:hint="default" w:ascii="Times New Roman" w:hAnsi="Times New Roman" w:cs="Times New Roman"/>
              </w:rPr>
              <w:t>表。</w:t>
            </w:r>
          </w:p>
          <w:p>
            <w:pPr>
              <w:pStyle w:val="5"/>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4-1</w:t>
            </w:r>
            <w:r>
              <w:rPr>
                <w:rFonts w:hint="eastAsia" w:cs="Times New Roman"/>
                <w:lang w:val="en-US" w:eastAsia="zh-CN"/>
              </w:rPr>
              <w:t>4</w:t>
            </w:r>
            <w:r>
              <w:rPr>
                <w:rFonts w:hint="default" w:ascii="Times New Roman" w:hAnsi="Times New Roman" w:cs="Times New Roman"/>
                <w:lang w:val="en-US" w:eastAsia="zh-CN"/>
              </w:rPr>
              <w:t xml:space="preserve">  </w:t>
            </w:r>
            <w:r>
              <w:rPr>
                <w:rFonts w:hint="default" w:ascii="Times New Roman" w:hAnsi="Times New Roman" w:cs="Times New Roman"/>
              </w:rPr>
              <w:t>环保措施投资估算</w:t>
            </w:r>
          </w:p>
          <w:tbl>
            <w:tblPr>
              <w:tblStyle w:val="33"/>
              <w:tblW w:w="4998" w:type="pct"/>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07"/>
              <w:gridCol w:w="1149"/>
              <w:gridCol w:w="4699"/>
              <w:gridCol w:w="16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3" w:hRule="atLeast"/>
              </w:trPr>
              <w:tc>
                <w:tcPr>
                  <w:tcW w:w="432"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工期</w:t>
                  </w:r>
                </w:p>
              </w:tc>
              <w:tc>
                <w:tcPr>
                  <w:tcW w:w="702"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治理项目</w:t>
                  </w:r>
                </w:p>
              </w:tc>
              <w:tc>
                <w:tcPr>
                  <w:tcW w:w="2871"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措施主要内容</w:t>
                  </w:r>
                </w:p>
              </w:tc>
              <w:tc>
                <w:tcPr>
                  <w:tcW w:w="994" w:type="pct"/>
                  <w:noWrap w:val="0"/>
                  <w:vAlign w:val="center"/>
                </w:tcPr>
                <w:p>
                  <w:pPr>
                    <w:pStyle w:val="7"/>
                    <w:keepNext w:val="0"/>
                    <w:keepLines w:val="0"/>
                    <w:suppressLineNumbers w:val="0"/>
                    <w:bidi w:val="0"/>
                    <w:spacing w:before="0" w:beforeAutospacing="0" w:after="0" w:afterAutospacing="0"/>
                    <w:ind w:left="0" w:right="0"/>
                    <w:rPr>
                      <w:rFonts w:hint="eastAsia" w:ascii="Times New Roman" w:hAnsi="Times New Roman" w:eastAsia="宋体" w:cs="Times New Roman"/>
                      <w:lang w:eastAsia="zh-CN"/>
                    </w:rPr>
                  </w:pPr>
                  <w:r>
                    <w:rPr>
                      <w:rFonts w:hint="default" w:ascii="Times New Roman" w:hAnsi="Times New Roman" w:cs="Times New Roman"/>
                    </w:rPr>
                    <w:t>投资</w:t>
                  </w:r>
                  <w:r>
                    <w:rPr>
                      <w:rFonts w:hint="eastAsia" w:cs="Times New Roman"/>
                      <w:lang w:eastAsia="zh-CN"/>
                    </w:rPr>
                    <w:t>（</w:t>
                  </w:r>
                  <w:r>
                    <w:rPr>
                      <w:rFonts w:hint="eastAsia" w:cs="Times New Roman"/>
                      <w:lang w:val="en-US" w:eastAsia="zh-CN"/>
                    </w:rPr>
                    <w:t>万元</w:t>
                  </w: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432" w:type="pct"/>
                  <w:vMerge w:val="restar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运营期</w:t>
                  </w:r>
                </w:p>
              </w:tc>
              <w:tc>
                <w:tcPr>
                  <w:tcW w:w="702" w:type="pct"/>
                  <w:vMerge w:val="restar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废气</w:t>
                  </w:r>
                </w:p>
              </w:tc>
              <w:tc>
                <w:tcPr>
                  <w:tcW w:w="2871"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水泥</w:t>
                  </w:r>
                  <w:r>
                    <w:rPr>
                      <w:rFonts w:hint="default" w:ascii="Times New Roman" w:hAnsi="Times New Roman" w:cs="Times New Roman"/>
                      <w:lang w:val="en-US" w:eastAsia="zh-CN"/>
                    </w:rPr>
                    <w:t>筒</w:t>
                  </w:r>
                  <w:r>
                    <w:rPr>
                      <w:rFonts w:hint="default" w:ascii="Times New Roman" w:hAnsi="Times New Roman" w:cs="Times New Roman"/>
                    </w:rPr>
                    <w:t>仓</w:t>
                  </w:r>
                  <w:r>
                    <w:rPr>
                      <w:rFonts w:hint="default" w:ascii="Times New Roman" w:hAnsi="Times New Roman" w:cs="Times New Roman"/>
                      <w:lang w:eastAsia="zh-CN"/>
                    </w:rPr>
                    <w:t>：</w:t>
                  </w:r>
                  <w:r>
                    <w:rPr>
                      <w:rFonts w:hint="default" w:ascii="Times New Roman" w:hAnsi="Times New Roman" w:cs="Times New Roman"/>
                      <w:lang w:val="en-US" w:eastAsia="zh-CN"/>
                    </w:rPr>
                    <w:t>滤筒式过滤器</w:t>
                  </w:r>
                </w:p>
              </w:tc>
              <w:tc>
                <w:tcPr>
                  <w:tcW w:w="1627"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rPr>
                  </w:pPr>
                  <w:r>
                    <w:rPr>
                      <w:rFonts w:hint="eastAsia" w:cs="Times New Roman"/>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3" w:hRule="atLeast"/>
              </w:trPr>
              <w:tc>
                <w:tcPr>
                  <w:tcW w:w="432"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702"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2871"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eastAsia="zh-CN"/>
                    </w:rPr>
                  </w:pPr>
                  <w:r>
                    <w:rPr>
                      <w:rFonts w:hint="default" w:ascii="Times New Roman" w:hAnsi="Times New Roman" w:cs="Times New Roman"/>
                      <w:lang w:val="en-US" w:eastAsia="zh-CN"/>
                    </w:rPr>
                    <w:t>上料口</w:t>
                  </w:r>
                  <w:r>
                    <w:rPr>
                      <w:rFonts w:hint="default" w:ascii="Times New Roman" w:hAnsi="Times New Roman" w:cs="Times New Roman"/>
                      <w:lang w:eastAsia="zh-CN"/>
                    </w:rPr>
                    <w:t>：三面一顶围挡+软帘</w:t>
                  </w:r>
                  <w:r>
                    <w:rPr>
                      <w:rFonts w:hint="default" w:ascii="Times New Roman" w:hAnsi="Times New Roman" w:cs="Times New Roman"/>
                      <w:lang w:val="en-US" w:eastAsia="zh-CN"/>
                    </w:rPr>
                    <w:t>+</w:t>
                  </w:r>
                  <w:r>
                    <w:rPr>
                      <w:rFonts w:hint="default" w:ascii="Times New Roman" w:hAnsi="Times New Roman" w:cs="Times New Roman"/>
                    </w:rPr>
                    <w:t>布袋除尘器</w:t>
                  </w:r>
                  <w:r>
                    <w:rPr>
                      <w:rFonts w:hint="default" w:ascii="Times New Roman" w:hAnsi="Times New Roman" w:cs="Times New Roman"/>
                      <w:lang w:val="en-US" w:eastAsia="zh-CN"/>
                    </w:rPr>
                    <w:t>+15米高排气筒</w:t>
                  </w:r>
                </w:p>
              </w:tc>
              <w:tc>
                <w:tcPr>
                  <w:tcW w:w="1627"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eastAsia" w:cs="Times New Roman"/>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3" w:hRule="atLeast"/>
              </w:trPr>
              <w:tc>
                <w:tcPr>
                  <w:tcW w:w="432"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702"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2871" w:type="pct"/>
                  <w:noWrap w:val="0"/>
                  <w:vAlign w:val="center"/>
                </w:tcPr>
                <w:p>
                  <w:pPr>
                    <w:pStyle w:val="7"/>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焊接废气：移动式烟气净化器</w:t>
                  </w:r>
                </w:p>
              </w:tc>
              <w:tc>
                <w:tcPr>
                  <w:tcW w:w="1627"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eastAsia" w:cs="Times New Roman"/>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3" w:hRule="atLeast"/>
              </w:trPr>
              <w:tc>
                <w:tcPr>
                  <w:tcW w:w="432"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702"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p>
              </w:tc>
              <w:tc>
                <w:tcPr>
                  <w:tcW w:w="2871" w:type="pct"/>
                  <w:noWrap w:val="0"/>
                  <w:vAlign w:val="center"/>
                </w:tcPr>
                <w:p>
                  <w:pPr>
                    <w:pStyle w:val="7"/>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水性防腐涂料有机废气</w:t>
                  </w:r>
                  <w:r>
                    <w:rPr>
                      <w:rFonts w:hint="eastAsia" w:cs="Times New Roman"/>
                      <w:lang w:val="en-US" w:eastAsia="zh-CN"/>
                    </w:rPr>
                    <w:t>：二级活性炭吸附装置+15m排气筒</w:t>
                  </w:r>
                </w:p>
              </w:tc>
              <w:tc>
                <w:tcPr>
                  <w:tcW w:w="1627"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eastAsia" w:cs="Times New Roman"/>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42" w:hRule="atLeast"/>
              </w:trPr>
              <w:tc>
                <w:tcPr>
                  <w:tcW w:w="432"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702"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rPr>
                    <w:t>废水</w:t>
                  </w:r>
                </w:p>
              </w:tc>
              <w:tc>
                <w:tcPr>
                  <w:tcW w:w="2871"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沉淀池</w:t>
                  </w:r>
                </w:p>
              </w:tc>
              <w:tc>
                <w:tcPr>
                  <w:tcW w:w="1627"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eastAsia" w:cs="Times New Roman"/>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3" w:hRule="atLeast"/>
              </w:trPr>
              <w:tc>
                <w:tcPr>
                  <w:tcW w:w="432"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702"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噪声</w:t>
                  </w:r>
                </w:p>
              </w:tc>
              <w:tc>
                <w:tcPr>
                  <w:tcW w:w="2871"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设备基础减震垫</w:t>
                  </w:r>
                </w:p>
              </w:tc>
              <w:tc>
                <w:tcPr>
                  <w:tcW w:w="1627"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eastAsia" w:cs="Times New Roman"/>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432" w:type="pct"/>
                  <w:vMerge w:val="continue"/>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rPr>
                  </w:pPr>
                </w:p>
              </w:tc>
              <w:tc>
                <w:tcPr>
                  <w:tcW w:w="702"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固体废物</w:t>
                  </w:r>
                </w:p>
              </w:tc>
              <w:tc>
                <w:tcPr>
                  <w:tcW w:w="2871"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设置生活垃圾桶</w:t>
                  </w:r>
                </w:p>
              </w:tc>
              <w:tc>
                <w:tcPr>
                  <w:tcW w:w="1627"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eastAsia" w:cs="Times New Roman"/>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34" w:type="pct"/>
                  <w:gridSpan w:val="2"/>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合计</w:t>
                  </w:r>
                </w:p>
              </w:tc>
              <w:tc>
                <w:tcPr>
                  <w:tcW w:w="2871" w:type="pct"/>
                  <w:noWrap w:val="0"/>
                  <w:vAlign w:val="center"/>
                </w:tcPr>
                <w:p>
                  <w:pPr>
                    <w:pStyle w:val="7"/>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627"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 sum(D2:D8) \* MERGEFORMAT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29</w:t>
                  </w:r>
                  <w:r>
                    <w:rPr>
                      <w:rFonts w:hint="default" w:ascii="Times New Roman" w:hAnsi="Times New Roman" w:cs="Times New Roman"/>
                      <w:highlight w:val="none"/>
                      <w:lang w:val="en-US" w:eastAsia="zh-CN"/>
                    </w:rPr>
                    <w:fldChar w:fldCharType="end"/>
                  </w:r>
                </w:p>
              </w:tc>
            </w:tr>
          </w:tbl>
          <w:p>
            <w:pPr>
              <w:pStyle w:val="32"/>
              <w:keepNext w:val="0"/>
              <w:keepLines w:val="0"/>
              <w:suppressLineNumbers w:val="0"/>
              <w:spacing w:before="0" w:beforeAutospacing="0" w:afterAutospacing="0"/>
              <w:ind w:left="0" w:leftChars="0" w:right="0" w:firstLine="0" w:firstLineChars="0"/>
              <w:rPr>
                <w:rFonts w:hint="default" w:ascii="Times New Roman" w:hAnsi="Times New Roman" w:cs="Times New Roman"/>
                <w:vertAlign w:val="baseline"/>
              </w:rPr>
            </w:pPr>
          </w:p>
        </w:tc>
      </w:tr>
    </w:tbl>
    <w:p>
      <w:pPr>
        <w:rPr>
          <w:rFonts w:hint="default" w:ascii="Times New Roman" w:hAnsi="Times New Roman" w:cs="Times New Roman"/>
        </w:rPr>
        <w:sectPr>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default" w:ascii="Times New Roman" w:hAnsi="Times New Roman" w:eastAsia="黑体" w:cs="Times New Roman"/>
          <w:snapToGrid w:val="0"/>
          <w:color w:val="000000"/>
          <w:sz w:val="30"/>
          <w:szCs w:val="30"/>
          <w:highlight w:val="none"/>
        </w:rPr>
      </w:pPr>
      <w:r>
        <w:rPr>
          <w:rFonts w:hint="default" w:ascii="Times New Roman" w:hAnsi="Times New Roman" w:eastAsia="黑体" w:cs="Times New Roman"/>
          <w:snapToGrid w:val="0"/>
          <w:color w:val="000000"/>
          <w:sz w:val="30"/>
          <w:szCs w:val="30"/>
          <w:highlight w:val="none"/>
        </w:rPr>
        <w:t>五、</w:t>
      </w:r>
      <w:bookmarkStart w:id="5" w:name="_Hlk54167917"/>
      <w:r>
        <w:rPr>
          <w:rFonts w:hint="default" w:ascii="Times New Roman" w:hAnsi="Times New Roman" w:eastAsia="黑体" w:cs="Times New Roman"/>
          <w:snapToGrid w:val="0"/>
          <w:color w:val="000000"/>
          <w:sz w:val="30"/>
          <w:szCs w:val="30"/>
          <w:highlight w:val="none"/>
        </w:rPr>
        <w:t>环境保护措施监督检查清单</w:t>
      </w:r>
      <w:bookmarkEnd w:id="5"/>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63"/>
        <w:gridCol w:w="2041"/>
        <w:gridCol w:w="1394"/>
        <w:gridCol w:w="2161"/>
        <w:gridCol w:w="234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863" w:type="dxa"/>
            <w:tcBorders>
              <w:bottom w:val="single" w:color="auto" w:sz="6" w:space="0"/>
              <w:tl2br w:val="single" w:color="auto" w:sz="4" w:space="0"/>
            </w:tcBorders>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 xml:space="preserve"> 内容</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要素</w:t>
            </w:r>
          </w:p>
        </w:tc>
        <w:tc>
          <w:tcPr>
            <w:tcW w:w="2041"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排放口(编号、名称)/污染源</w:t>
            </w:r>
          </w:p>
        </w:tc>
        <w:tc>
          <w:tcPr>
            <w:tcW w:w="1394"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污染物项目</w:t>
            </w:r>
          </w:p>
        </w:tc>
        <w:tc>
          <w:tcPr>
            <w:tcW w:w="2161"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环境保护措施</w:t>
            </w:r>
          </w:p>
        </w:tc>
        <w:tc>
          <w:tcPr>
            <w:tcW w:w="2341"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执行标准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89" w:hRule="atLeast"/>
          <w:jc w:val="center"/>
        </w:trPr>
        <w:tc>
          <w:tcPr>
            <w:tcW w:w="863" w:type="dxa"/>
            <w:vMerge w:val="restart"/>
            <w:tcBorders>
              <w:top w:val="single" w:color="auto" w:sz="6" w:space="0"/>
            </w:tcBorders>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大气环境</w:t>
            </w:r>
          </w:p>
        </w:tc>
        <w:tc>
          <w:tcPr>
            <w:tcW w:w="2041"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上料废气</w:t>
            </w:r>
            <w:r>
              <w:rPr>
                <w:rFonts w:hint="default" w:ascii="Times New Roman" w:hAnsi="Times New Roman" w:cs="Times New Roman"/>
              </w:rPr>
              <w:t>排气</w:t>
            </w:r>
            <w:r>
              <w:rPr>
                <w:rFonts w:hint="default" w:ascii="Times New Roman" w:hAnsi="Times New Roman" w:cs="Times New Roman"/>
                <w:lang w:val="en-US" w:eastAsia="zh-CN"/>
              </w:rPr>
              <w:t>口</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lang w:val="en-US"/>
              </w:rPr>
            </w:pPr>
            <w:r>
              <w:rPr>
                <w:rFonts w:hint="default" w:ascii="Times New Roman" w:hAnsi="Times New Roman" w:cs="Times New Roman"/>
                <w:lang w:val="en-US" w:eastAsia="zh-CN"/>
              </w:rPr>
              <w:t>(DA001)</w:t>
            </w:r>
          </w:p>
        </w:tc>
        <w:tc>
          <w:tcPr>
            <w:tcW w:w="1394"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颗粒物</w:t>
            </w:r>
          </w:p>
        </w:tc>
        <w:tc>
          <w:tcPr>
            <w:tcW w:w="2161"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lang w:eastAsia="zh-CN"/>
              </w:rPr>
            </w:pPr>
            <w:r>
              <w:rPr>
                <w:rFonts w:hint="default" w:ascii="Times New Roman" w:hAnsi="Times New Roman" w:cs="Times New Roman"/>
                <w:lang w:val="en-US" w:eastAsia="zh-CN"/>
              </w:rPr>
              <w:t>三面一顶围挡+软帘+集气罩+</w:t>
            </w:r>
            <w:r>
              <w:rPr>
                <w:rFonts w:hint="default" w:ascii="Times New Roman" w:hAnsi="Times New Roman" w:cs="Times New Roman"/>
              </w:rPr>
              <w:t>布袋除尘器+15m高排气筒</w:t>
            </w:r>
            <w:r>
              <w:rPr>
                <w:rFonts w:hint="default" w:ascii="Times New Roman" w:hAnsi="Times New Roman" w:cs="Times New Roman"/>
                <w:lang w:eastAsia="zh-CN"/>
              </w:rPr>
              <w:t>（</w:t>
            </w:r>
            <w:r>
              <w:rPr>
                <w:rFonts w:hint="default" w:ascii="Times New Roman" w:hAnsi="Times New Roman" w:cs="Times New Roman"/>
                <w:lang w:val="en-US" w:eastAsia="zh-CN"/>
              </w:rPr>
              <w:t>DA001</w:t>
            </w:r>
            <w:r>
              <w:rPr>
                <w:rFonts w:hint="default" w:ascii="Times New Roman" w:hAnsi="Times New Roman" w:cs="Times New Roman"/>
                <w:lang w:eastAsia="zh-CN"/>
              </w:rPr>
              <w:t>）</w:t>
            </w:r>
          </w:p>
        </w:tc>
        <w:tc>
          <w:tcPr>
            <w:tcW w:w="2341"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lang w:eastAsia="zh-CN"/>
              </w:rPr>
            </w:pPr>
            <w:r>
              <w:rPr>
                <w:rFonts w:hint="default" w:ascii="Times New Roman" w:hAnsi="Times New Roman" w:cs="Times New Roman"/>
              </w:rPr>
              <w:t>《水泥工业大气污染物排放标准》（含2025年修改单）（GB4915-2013）表</w:t>
            </w:r>
            <w:r>
              <w:rPr>
                <w:rFonts w:hint="default" w:ascii="Times New Roman" w:hAnsi="Times New Roman" w:cs="Times New Roman"/>
                <w:lang w:val="en-US" w:eastAsia="zh-CN"/>
              </w:rPr>
              <w:t>2大气污染物特别排放限值要求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89" w:hRule="atLeast"/>
          <w:jc w:val="center"/>
        </w:trPr>
        <w:tc>
          <w:tcPr>
            <w:tcW w:w="863" w:type="dxa"/>
            <w:vMerge w:val="continue"/>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p>
        </w:tc>
        <w:tc>
          <w:tcPr>
            <w:tcW w:w="2041" w:type="dxa"/>
            <w:noWrap w:val="0"/>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水性防腐涂料有机废气排放口（DA002）</w:t>
            </w:r>
          </w:p>
        </w:tc>
        <w:tc>
          <w:tcPr>
            <w:tcW w:w="1394" w:type="dxa"/>
            <w:noWrap w:val="0"/>
            <w:vAlign w:val="center"/>
          </w:tcPr>
          <w:p>
            <w:pPr>
              <w:pStyle w:val="6"/>
              <w:suppressLineNumbers w:val="0"/>
              <w:bidi w:val="0"/>
              <w:spacing w:before="0" w:beforeAutospacing="0" w:after="0" w:afterAutospacing="0"/>
              <w:ind w:left="0" w:right="0"/>
              <w:rPr>
                <w:rFonts w:hint="default"/>
              </w:rPr>
            </w:pPr>
            <w:r>
              <w:rPr>
                <w:rFonts w:hint="eastAsia"/>
                <w:lang w:val="en-US" w:eastAsia="zh-CN"/>
              </w:rPr>
              <w:t>非甲烷总烃</w:t>
            </w:r>
          </w:p>
        </w:tc>
        <w:tc>
          <w:tcPr>
            <w:tcW w:w="2161" w:type="dxa"/>
            <w:noWrap w:val="0"/>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二级活性炭吸附装置+15m排气筒</w:t>
            </w:r>
          </w:p>
        </w:tc>
        <w:tc>
          <w:tcPr>
            <w:tcW w:w="2341"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lang w:val="en-US" w:eastAsia="zh-CN"/>
              </w:rPr>
              <w:t>《大气污染物综合排放标准》（GB 16297-1996）表2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89" w:hRule="atLeast"/>
          <w:jc w:val="center"/>
        </w:trPr>
        <w:tc>
          <w:tcPr>
            <w:tcW w:w="863" w:type="dxa"/>
            <w:vMerge w:val="continue"/>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p>
        </w:tc>
        <w:tc>
          <w:tcPr>
            <w:tcW w:w="2041" w:type="dxa"/>
            <w:vMerge w:val="restart"/>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厂界</w:t>
            </w:r>
          </w:p>
        </w:tc>
        <w:tc>
          <w:tcPr>
            <w:tcW w:w="1394"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颗粒物</w:t>
            </w:r>
          </w:p>
        </w:tc>
        <w:tc>
          <w:tcPr>
            <w:tcW w:w="2161" w:type="dxa"/>
            <w:shd w:val="clear" w:color="auto" w:fill="auto"/>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lang w:val="en-US" w:eastAsia="zh-CN"/>
              </w:rPr>
              <w:t>原料堆场厂房</w:t>
            </w:r>
            <w:r>
              <w:rPr>
                <w:rFonts w:hint="default" w:ascii="Times New Roman" w:hAnsi="Times New Roman" w:cs="Times New Roman"/>
              </w:rPr>
              <w:t>采用全封闭式结构</w:t>
            </w:r>
            <w:r>
              <w:rPr>
                <w:rFonts w:hint="default" w:ascii="Times New Roman" w:hAnsi="Times New Roman" w:cs="Times New Roman"/>
                <w:lang w:val="en-US" w:eastAsia="zh-CN"/>
              </w:rPr>
              <w:t>+洒水，水泥</w:t>
            </w:r>
            <w:r>
              <w:rPr>
                <w:rFonts w:hint="default" w:ascii="Times New Roman" w:hAnsi="Times New Roman" w:cs="Times New Roman"/>
              </w:rPr>
              <w:t>筒仓顶部设置</w:t>
            </w:r>
            <w:r>
              <w:rPr>
                <w:rFonts w:hint="default" w:ascii="Times New Roman" w:hAnsi="Times New Roman" w:cs="Times New Roman"/>
                <w:lang w:val="en-US" w:eastAsia="zh-CN"/>
              </w:rPr>
              <w:t>滤筒式过滤器，物料搅拌采用全封闭设施，焊接烟尘采用移动式烟气净化器+密闭厂房</w:t>
            </w:r>
          </w:p>
        </w:tc>
        <w:tc>
          <w:tcPr>
            <w:tcW w:w="2341" w:type="dxa"/>
            <w:shd w:val="clear" w:color="auto" w:fill="auto"/>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rPr>
              <w:t>《水泥工业大气污染物排放标准》（含2025年修改单）（GB4915-2013）</w:t>
            </w:r>
            <w:r>
              <w:rPr>
                <w:rFonts w:hint="default" w:ascii="Times New Roman" w:hAnsi="Times New Roman" w:cs="Times New Roman"/>
                <w:lang w:eastAsia="zh-CN"/>
              </w:rPr>
              <w:t>中</w:t>
            </w:r>
            <w:r>
              <w:rPr>
                <w:rFonts w:hint="default" w:ascii="Times New Roman" w:hAnsi="Times New Roman" w:cs="Times New Roman"/>
              </w:rPr>
              <w:t>表</w:t>
            </w:r>
            <w:r>
              <w:rPr>
                <w:rFonts w:hint="default" w:ascii="Times New Roman" w:hAnsi="Times New Roman" w:cs="Times New Roman"/>
                <w:lang w:val="en-US" w:eastAsia="zh-CN"/>
              </w:rPr>
              <w:t>3大气污染物无组织排放限值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44" w:hRule="atLeast"/>
          <w:jc w:val="center"/>
        </w:trPr>
        <w:tc>
          <w:tcPr>
            <w:tcW w:w="863" w:type="dxa"/>
            <w:vMerge w:val="continue"/>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p>
        </w:tc>
        <w:tc>
          <w:tcPr>
            <w:tcW w:w="2041" w:type="dxa"/>
            <w:vMerge w:val="continue"/>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lang w:val="en-US" w:eastAsia="zh-CN"/>
              </w:rPr>
            </w:pPr>
          </w:p>
        </w:tc>
        <w:tc>
          <w:tcPr>
            <w:tcW w:w="1394" w:type="dxa"/>
            <w:tcBorders>
              <w:bottom w:val="single" w:color="auto" w:sz="4" w:space="0"/>
            </w:tcBorders>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非甲烷总烃</w:t>
            </w:r>
          </w:p>
        </w:tc>
        <w:tc>
          <w:tcPr>
            <w:tcW w:w="2161"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2341"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《大气污染物综合排放标准》（GB 16297-1996）表2无组织排放监控浓度限值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63" w:type="dxa"/>
            <w:vMerge w:val="restart"/>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地表水环境</w:t>
            </w:r>
          </w:p>
        </w:tc>
        <w:tc>
          <w:tcPr>
            <w:tcW w:w="2041"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生活污水</w:t>
            </w:r>
          </w:p>
        </w:tc>
        <w:tc>
          <w:tcPr>
            <w:tcW w:w="1394"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lang w:val="en-US" w:eastAsia="zh-CN"/>
              </w:rPr>
            </w:pPr>
            <w:r>
              <w:rPr>
                <w:rFonts w:hint="default" w:ascii="Times New Roman" w:hAnsi="Times New Roman" w:cs="Times New Roman"/>
              </w:rPr>
              <w:t>SS、COD、BOD</w:t>
            </w:r>
            <w:r>
              <w:rPr>
                <w:rFonts w:hint="eastAsia" w:cs="Times New Roman"/>
                <w:vertAlign w:val="subscript"/>
                <w:lang w:val="en-US" w:eastAsia="zh-CN"/>
              </w:rPr>
              <w:t>5</w:t>
            </w:r>
            <w:r>
              <w:rPr>
                <w:rFonts w:hint="default" w:ascii="Times New Roman" w:hAnsi="Times New Roman" w:cs="Times New Roman"/>
              </w:rPr>
              <w:t>、氨氮</w:t>
            </w:r>
            <w:r>
              <w:rPr>
                <w:rFonts w:hint="default" w:ascii="Times New Roman" w:hAnsi="Times New Roman" w:cs="Times New Roman"/>
                <w:lang w:val="en-US" w:eastAsia="zh-CN"/>
              </w:rPr>
              <w:t>等</w:t>
            </w:r>
          </w:p>
        </w:tc>
        <w:tc>
          <w:tcPr>
            <w:tcW w:w="2161"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lang w:val="en-US" w:eastAsia="zh-CN"/>
              </w:rPr>
              <w:t>生活污水经化粪池处理后排入污水管网最终进入铁门关污水处理厂</w:t>
            </w:r>
          </w:p>
        </w:tc>
        <w:tc>
          <w:tcPr>
            <w:tcW w:w="2341"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lang w:val="en-US" w:eastAsia="zh-CN"/>
              </w:rPr>
              <w:t>《污水综合排放标准》（GB8978-1996）三级标准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63" w:type="dxa"/>
            <w:vMerge w:val="continue"/>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p>
        </w:tc>
        <w:tc>
          <w:tcPr>
            <w:tcW w:w="2041"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生产废水</w:t>
            </w:r>
          </w:p>
        </w:tc>
        <w:tc>
          <w:tcPr>
            <w:tcW w:w="1394"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设备清洗废水、模具清洗废水</w:t>
            </w:r>
          </w:p>
        </w:tc>
        <w:tc>
          <w:tcPr>
            <w:tcW w:w="2161"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经沉淀收集后，用于成品养护，不外排</w:t>
            </w:r>
          </w:p>
        </w:tc>
        <w:tc>
          <w:tcPr>
            <w:tcW w:w="2341"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863"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声环境</w:t>
            </w:r>
          </w:p>
        </w:tc>
        <w:tc>
          <w:tcPr>
            <w:tcW w:w="2041"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lang w:val="en-US"/>
              </w:rPr>
            </w:pPr>
            <w:r>
              <w:rPr>
                <w:rFonts w:hint="default" w:ascii="Times New Roman" w:hAnsi="Times New Roman" w:cs="Times New Roman"/>
                <w:lang w:val="en-US" w:eastAsia="zh-CN"/>
              </w:rPr>
              <w:t>设备噪声</w:t>
            </w:r>
          </w:p>
        </w:tc>
        <w:tc>
          <w:tcPr>
            <w:tcW w:w="1394"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lang w:val="en-US" w:eastAsia="zh-CN"/>
              </w:rPr>
              <w:t>等效A声级</w:t>
            </w:r>
          </w:p>
        </w:tc>
        <w:tc>
          <w:tcPr>
            <w:tcW w:w="2161"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基础减振、消声器、隔声罩</w:t>
            </w:r>
          </w:p>
        </w:tc>
        <w:tc>
          <w:tcPr>
            <w:tcW w:w="2341"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《工业企业厂界环境噪声排放标准》（GB12348-2008）中的</w:t>
            </w:r>
            <w:r>
              <w:rPr>
                <w:rFonts w:hint="default" w:ascii="Times New Roman" w:hAnsi="Times New Roman" w:cs="Times New Roman"/>
                <w:lang w:val="en-US" w:eastAsia="zh-CN"/>
              </w:rPr>
              <w:t>3</w:t>
            </w:r>
            <w:r>
              <w:rPr>
                <w:rFonts w:hint="default" w:ascii="Times New Roman" w:hAnsi="Times New Roman" w:cs="Times New Roman"/>
              </w:rPr>
              <w:t>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63"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电磁辐射</w:t>
            </w:r>
          </w:p>
        </w:tc>
        <w:tc>
          <w:tcPr>
            <w:tcW w:w="2041"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w:t>
            </w:r>
          </w:p>
        </w:tc>
        <w:tc>
          <w:tcPr>
            <w:tcW w:w="1394"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w:t>
            </w:r>
          </w:p>
        </w:tc>
        <w:tc>
          <w:tcPr>
            <w:tcW w:w="2161"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w:t>
            </w:r>
          </w:p>
        </w:tc>
        <w:tc>
          <w:tcPr>
            <w:tcW w:w="2341"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863"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固体</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废物</w:t>
            </w:r>
          </w:p>
        </w:tc>
        <w:tc>
          <w:tcPr>
            <w:tcW w:w="7937" w:type="dxa"/>
            <w:gridSpan w:val="4"/>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rPr>
            </w:pPr>
            <w:r>
              <w:rPr>
                <w:rFonts w:hint="default" w:ascii="Times New Roman" w:hAnsi="Times New Roman" w:cs="Times New Roman"/>
                <w:highlight w:val="none"/>
              </w:rPr>
              <w:t>水泥筒仓滤筒式过滤器拦截的</w:t>
            </w:r>
            <w:r>
              <w:rPr>
                <w:rFonts w:hint="default" w:ascii="Times New Roman" w:hAnsi="Times New Roman" w:cs="Times New Roman"/>
                <w:highlight w:val="none"/>
                <w:lang w:val="en-US" w:eastAsia="zh-CN"/>
              </w:rPr>
              <w:t>粉</w:t>
            </w:r>
            <w:r>
              <w:rPr>
                <w:rFonts w:hint="default" w:ascii="Times New Roman" w:hAnsi="Times New Roman" w:cs="Times New Roman"/>
                <w:highlight w:val="none"/>
              </w:rPr>
              <w:t>尘</w:t>
            </w:r>
            <w:r>
              <w:rPr>
                <w:rFonts w:hint="default" w:ascii="Times New Roman" w:hAnsi="Times New Roman" w:cs="Times New Roman"/>
                <w:highlight w:val="none"/>
                <w:lang w:eastAsia="zh-CN"/>
              </w:rPr>
              <w:t>、</w:t>
            </w:r>
            <w:r>
              <w:rPr>
                <w:rFonts w:hint="default" w:ascii="Times New Roman" w:hAnsi="Times New Roman" w:cs="Times New Roman"/>
                <w:highlight w:val="none"/>
              </w:rPr>
              <w:t>上料口设置除尘器收集的粉尘、混凝土残渣沉淀池底泥回用于生产</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废钢筋、焊渣外售综合处理；</w:t>
            </w:r>
            <w:r>
              <w:rPr>
                <w:rFonts w:hint="default" w:ascii="Times New Roman" w:hAnsi="Times New Roman" w:cs="Times New Roman"/>
                <w:highlight w:val="none"/>
              </w:rPr>
              <w:t>废布袋</w:t>
            </w:r>
            <w:r>
              <w:rPr>
                <w:rFonts w:hint="eastAsia" w:cs="Times New Roman"/>
                <w:highlight w:val="none"/>
                <w:lang w:eastAsia="zh-CN"/>
              </w:rPr>
              <w:t>、</w:t>
            </w:r>
            <w:r>
              <w:rPr>
                <w:rFonts w:hint="eastAsia" w:cs="Times New Roman"/>
                <w:highlight w:val="none"/>
                <w:lang w:val="en-US" w:eastAsia="zh-CN"/>
              </w:rPr>
              <w:t>废滤芯</w:t>
            </w:r>
            <w:r>
              <w:rPr>
                <w:rFonts w:hint="default" w:ascii="Times New Roman" w:hAnsi="Times New Roman" w:cs="Times New Roman"/>
                <w:highlight w:val="none"/>
                <w:lang w:val="en-US" w:eastAsia="zh-CN"/>
              </w:rPr>
              <w:t>、水性防腐涂料包装桶</w:t>
            </w:r>
            <w:r>
              <w:rPr>
                <w:rFonts w:hint="default" w:ascii="Times New Roman" w:hAnsi="Times New Roman" w:cs="Times New Roman"/>
                <w:highlight w:val="none"/>
              </w:rPr>
              <w:t>交由厂家回收处理；</w:t>
            </w:r>
            <w:r>
              <w:rPr>
                <w:rFonts w:hint="default" w:ascii="Times New Roman" w:hAnsi="Times New Roman" w:cs="Times New Roman"/>
                <w:highlight w:val="none"/>
                <w:lang w:val="en-US" w:eastAsia="zh-CN"/>
              </w:rPr>
              <w:t>水性漆</w:t>
            </w:r>
            <w:r>
              <w:rPr>
                <w:rFonts w:hint="eastAsia" w:ascii="宋体" w:hAnsi="宋体" w:eastAsia="宋体" w:cs="宋体"/>
                <w:kern w:val="2"/>
                <w:sz w:val="21"/>
                <w:szCs w:val="21"/>
              </w:rPr>
              <w:t>漆渣交由</w:t>
            </w:r>
            <w:r>
              <w:rPr>
                <w:rFonts w:hint="eastAsia" w:ascii="宋体" w:hAnsi="宋体" w:cs="宋体"/>
                <w:kern w:val="2"/>
                <w:sz w:val="21"/>
                <w:szCs w:val="21"/>
                <w:lang w:eastAsia="zh-CN"/>
              </w:rPr>
              <w:t>一般工业固体废物填埋场</w:t>
            </w:r>
            <w:r>
              <w:rPr>
                <w:rFonts w:hint="eastAsia" w:ascii="宋体" w:hAnsi="宋体" w:eastAsia="宋体" w:cs="宋体"/>
                <w:kern w:val="2"/>
                <w:sz w:val="21"/>
                <w:szCs w:val="21"/>
              </w:rPr>
              <w:t>处置；</w:t>
            </w:r>
            <w:r>
              <w:rPr>
                <w:rFonts w:hint="default" w:ascii="Times New Roman" w:hAnsi="Times New Roman" w:cs="Times New Roman"/>
                <w:highlight w:val="none"/>
              </w:rPr>
              <w:t>生活垃圾分类收集后委托环卫部门及时清运</w:t>
            </w:r>
            <w:r>
              <w:rPr>
                <w:rFonts w:hint="default" w:ascii="Times New Roman" w:hAnsi="Times New Roman" w:cs="Times New Roman"/>
                <w:highlight w:val="none"/>
                <w:lang w:eastAsia="zh-CN"/>
              </w:rPr>
              <w:t>；</w:t>
            </w:r>
            <w:r>
              <w:rPr>
                <w:rFonts w:hint="eastAsia" w:cs="Times New Roman"/>
                <w:highlight w:val="none"/>
                <w:lang w:val="en-US" w:eastAsia="zh-CN"/>
              </w:rPr>
              <w:t>废活性炭、</w:t>
            </w:r>
            <w:r>
              <w:rPr>
                <w:rFonts w:hint="default" w:ascii="Times New Roman" w:hAnsi="Times New Roman" w:cs="Times New Roman"/>
                <w:highlight w:val="none"/>
                <w:lang w:val="en-US" w:eastAsia="zh-CN"/>
              </w:rPr>
              <w:t>废润滑油、废润滑油桶、废液压油和废液压油桶储</w:t>
            </w:r>
            <w:r>
              <w:rPr>
                <w:rFonts w:hint="default" w:ascii="Times New Roman" w:hAnsi="Times New Roman" w:cs="Times New Roman"/>
                <w:highlight w:val="none"/>
              </w:rPr>
              <w:t>存于危废贮存点后交由有资质单位处理。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2" w:hRule="atLeast"/>
          <w:jc w:val="center"/>
        </w:trPr>
        <w:tc>
          <w:tcPr>
            <w:tcW w:w="863"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土壤及地下水污染防治措施</w:t>
            </w:r>
          </w:p>
        </w:tc>
        <w:tc>
          <w:tcPr>
            <w:tcW w:w="7937" w:type="dxa"/>
            <w:gridSpan w:val="4"/>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①简单防渗：钢筋加工车间、水泥制品加工区域、原料堆场、成品堆场、水性防腐涂料刷涂车间进行一般地面硬化；</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②一般防渗：沉淀池，以混凝土浇筑底板，并设有防渗层，等效黏土防渗层Mb≥1.5m，渗透系数≤10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63"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生态保护措施</w:t>
            </w:r>
          </w:p>
        </w:tc>
        <w:tc>
          <w:tcPr>
            <w:tcW w:w="7937" w:type="dxa"/>
            <w:gridSpan w:val="4"/>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lang w:eastAsia="zh-CN"/>
              </w:rPr>
            </w:pPr>
            <w:r>
              <w:rPr>
                <w:rFonts w:hint="default" w:ascii="Times New Roman" w:hAnsi="Times New Roman" w:cs="Times New Roman"/>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63"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环境风险防范措施</w:t>
            </w:r>
          </w:p>
        </w:tc>
        <w:tc>
          <w:tcPr>
            <w:tcW w:w="7937" w:type="dxa"/>
            <w:gridSpan w:val="4"/>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rPr>
            </w:pPr>
            <w:r>
              <w:rPr>
                <w:rFonts w:hint="default" w:ascii="Times New Roman" w:hAnsi="Times New Roman" w:cs="Times New Roman"/>
              </w:rPr>
              <w:t>为减少项目事故对周边环境的影响，本次评价建议单位做好如下防范措施：</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rPr>
            </w:pPr>
            <w:r>
              <w:rPr>
                <w:rFonts w:hint="default" w:ascii="Times New Roman" w:hAnsi="Times New Roman" w:cs="Times New Roman"/>
              </w:rPr>
              <w:t>（1）成立专门的责任机构，保证事故发生时组织相关力量及时控制事故的危害，在第一时间，有序有效地控制事故污染，把事故危害减小到</w:t>
            </w:r>
            <w:r>
              <w:rPr>
                <w:rFonts w:hint="default" w:ascii="Times New Roman" w:hAnsi="Times New Roman" w:cs="Times New Roman"/>
                <w:lang w:eastAsia="zh-CN"/>
              </w:rPr>
              <w:t>最小</w:t>
            </w:r>
            <w:r>
              <w:rPr>
                <w:rFonts w:hint="default" w:ascii="Times New Roman" w:hAnsi="Times New Roman" w:cs="Times New Roman"/>
              </w:rPr>
              <w:t>。</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rPr>
            </w:pPr>
            <w:r>
              <w:rPr>
                <w:rFonts w:hint="default" w:ascii="Times New Roman" w:hAnsi="Times New Roman" w:cs="Times New Roman"/>
              </w:rPr>
              <w:t>（2）健全各项制度，强化安全管理意识，加强用电设备及线路的检修和管理。</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rPr>
            </w:pPr>
            <w:r>
              <w:rPr>
                <w:rFonts w:hint="default" w:ascii="Times New Roman" w:hAnsi="Times New Roman" w:cs="Times New Roman"/>
              </w:rPr>
              <w:t>（3）严格按照消防安全部门要求，配置消防设施。</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rPr>
            </w:pPr>
            <w:r>
              <w:rPr>
                <w:rFonts w:hint="default" w:ascii="Times New Roman" w:hAnsi="Times New Roman" w:cs="Times New Roman"/>
              </w:rPr>
              <w:t>（4）油类物质等易燃易爆物品存储远离火源。</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rPr>
            </w:pPr>
            <w:r>
              <w:rPr>
                <w:rFonts w:hint="default" w:ascii="Times New Roman" w:hAnsi="Times New Roman" w:cs="Times New Roman"/>
              </w:rPr>
              <w:t>（5）制定环保设备运行维护制度，并派专人进行管理，定期对环保设备进行点检维护。</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rPr>
            </w:pPr>
            <w:r>
              <w:rPr>
                <w:rFonts w:hint="default" w:ascii="Times New Roman" w:hAnsi="Times New Roman" w:cs="Times New Roman"/>
              </w:rPr>
              <w:t>（6）定期对风机的运行情况进行检查记录，一旦发现运行异常，立即对相应的生产设备进行停产，并对风机设备进行维修。</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rPr>
            </w:pPr>
            <w:r>
              <w:rPr>
                <w:rFonts w:hint="default" w:ascii="Times New Roman" w:hAnsi="Times New Roman" w:cs="Times New Roman"/>
              </w:rPr>
              <w:t>（7）对布袋除尘器装置进行定期检查，确保废气处理效率，若发现破损、损坏或堵塞严重，应立即进行更换，确保其处理效率。</w:t>
            </w:r>
          </w:p>
          <w:p>
            <w:pPr>
              <w:pStyle w:val="8"/>
              <w:keepNext w:val="0"/>
              <w:keepLines w:val="0"/>
              <w:suppressLineNumbers w:val="0"/>
              <w:spacing w:before="0" w:beforeAutospacing="0" w:after="0" w:afterAutospacing="0"/>
              <w:ind w:left="0" w:right="0"/>
              <w:rPr>
                <w:rFonts w:hint="eastAsia" w:eastAsia="宋体"/>
                <w:lang w:eastAsia="zh-CN"/>
              </w:rPr>
            </w:pPr>
            <w:r>
              <w:rPr>
                <w:rFonts w:hint="eastAsia" w:hAnsi="Times New Roman" w:cs="Times New Roman"/>
                <w:lang w:eastAsia="zh-CN"/>
              </w:rPr>
              <w:t>（</w:t>
            </w:r>
            <w:r>
              <w:rPr>
                <w:rFonts w:hint="eastAsia" w:ascii="Times New Roman" w:hAnsi="Times New Roman" w:eastAsia="宋体" w:cs="Times New Roman"/>
                <w:spacing w:val="0"/>
                <w:kern w:val="2"/>
                <w:sz w:val="21"/>
                <w:szCs w:val="20"/>
                <w:lang w:val="en-US" w:eastAsia="zh-CN" w:bidi="ar-SA"/>
              </w:rPr>
              <w:t>8）项目建成投产后，需按《企业事业单位突发环境事件应急预案备案管理办法（试行）》要求，编制环境风险应急预案并报生态环境主管部门备案；根据法律法规更新、工艺调整或事故演练情况，每3年至少修订一次预案，并定期开展应急演练，持续完善应急处置流程。</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eastAsia="宋体"/>
                <w:lang w:val="en-US" w:eastAsia="zh-CN"/>
              </w:rPr>
            </w:pPr>
            <w:r>
              <w:rPr>
                <w:rFonts w:hint="default" w:ascii="Times New Roman" w:hAnsi="Times New Roman" w:cs="Times New Roman"/>
              </w:rPr>
              <w:t>采取以上措施后，可有效降低事故发生的概率。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863" w:type="dxa"/>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其他环境管理要求</w:t>
            </w:r>
          </w:p>
        </w:tc>
        <w:tc>
          <w:tcPr>
            <w:tcW w:w="7937" w:type="dxa"/>
            <w:gridSpan w:val="4"/>
            <w:noWrap w:val="0"/>
            <w:vAlign w:val="center"/>
          </w:tcPr>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1.管理制度</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为了缓解建设项目生产运行期对环境构成的不良影响，在采取环保治理工程措施解决建设项目环境影响的同时，必须制定全面的企业环境管理计划，配备专职环保人员1-2名，负责环境监督管理工作，同时要加强对管理人员的环保培训，不断提高管理水平。企业排污发生重大变化、污染治理设施改变或生产运行计划改变等都必须向当地生态环境主管部门申报，经审批同意后方可实施。对污染治理设施和管理必须与生产经营活动一起纳入企业的日常管理中，要建立岗位责任制，制定操作规程，建立管理台账。</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2.排放口信息化、规范化</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建设项目排气筒采样平台、采样口等内容须按照《排污单位污染物排放口监测点位设置技术规范》（HJ1405-2024）要求设置。</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3.排污申报</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对照《固定污染源排污许可分类管理名录（20</w:t>
            </w:r>
            <w:r>
              <w:rPr>
                <w:rFonts w:hint="default" w:ascii="Times New Roman" w:hAnsi="Times New Roman" w:cs="Times New Roman"/>
                <w:lang w:val="en-US" w:eastAsia="zh-CN"/>
              </w:rPr>
              <w:t>21</w:t>
            </w:r>
            <w:r>
              <w:rPr>
                <w:rFonts w:hint="default" w:ascii="Times New Roman" w:hAnsi="Times New Roman" w:eastAsia="宋体" w:cs="Times New Roman"/>
                <w:lang w:val="en-US" w:eastAsia="zh-CN"/>
              </w:rPr>
              <w:t>年版）》，本项目属于</w:t>
            </w:r>
            <w:r>
              <w:rPr>
                <w:rFonts w:hint="eastAsia" w:ascii="宋体" w:hAnsi="宋体" w:eastAsia="宋体" w:cs="宋体"/>
                <w:lang w:val="en-US" w:eastAsia="zh-CN"/>
              </w:rPr>
              <w:t>“二十五、非金属矿物制品业</w:t>
            </w:r>
            <w:r>
              <w:rPr>
                <w:rFonts w:hint="default" w:ascii="Times New Roman" w:hAnsi="Times New Roman" w:eastAsia="宋体" w:cs="Times New Roman"/>
                <w:lang w:val="en-US" w:eastAsia="zh-CN"/>
              </w:rPr>
              <w:t>-77石膏、水泥制品及类似制品制造-水泥制品制造3021</w:t>
            </w:r>
            <w:r>
              <w:rPr>
                <w:rFonts w:hint="eastAsia" w:ascii="宋体" w:hAnsi="宋体" w:eastAsia="宋体" w:cs="宋体"/>
                <w:lang w:val="en-US" w:eastAsia="zh-CN"/>
              </w:rPr>
              <w:t>”</w:t>
            </w:r>
            <w:r>
              <w:rPr>
                <w:rFonts w:hint="default" w:ascii="Times New Roman" w:hAnsi="Times New Roman" w:eastAsia="宋体" w:cs="Times New Roman"/>
                <w:lang w:val="en-US" w:eastAsia="zh-CN"/>
              </w:rPr>
              <w:t>，实施登记管理，应当在全国排污许可证管理信息平台填报排污登记表，登记基本信息、污染物排放去向、执行的污染物排放标准以及采取的污染防治措施等信息。</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4.环境管理台账</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企业应按照行业排污许可管理要求制</w:t>
            </w:r>
            <w:r>
              <w:rPr>
                <w:rFonts w:hint="default" w:ascii="Times New Roman" w:hAnsi="Times New Roman" w:cs="Times New Roman"/>
                <w:lang w:val="en-US" w:eastAsia="zh-CN"/>
              </w:rPr>
              <w:t>定</w:t>
            </w:r>
            <w:r>
              <w:rPr>
                <w:rFonts w:hint="default" w:ascii="Times New Roman" w:hAnsi="Times New Roman" w:eastAsia="宋体" w:cs="Times New Roman"/>
                <w:lang w:val="en-US" w:eastAsia="zh-CN"/>
              </w:rPr>
              <w:t>管理台账，落实环境管理台账记录的责任部门和责任人，明确工作职责，包括台账的记录、整理、维护和管理等，并对台账记录结果的真实性、完整性和规范性负责，台账保存期限不得少于5年。</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5.环保信息公开</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要求根据《企业事业单位环境信息公开办法》（环境保护部令第31号），企业事业单位应当按照强制公开和自愿公开相结合的原则，及时、如实地公开其环境信息。企业事业单位应当建立健全本单位环境信息公开制度，指定机构负责本单位环境信息公开日常工作，排污单位应当公开以下信息：</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（1）基础信息，包括单位名称、组织机构代码、法定代表人、生产地址、联系方式以及生产经营和管理服务的主要内容、产品及规模。</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（2）排污信息，包括主要污染物及其他污染物的名称、排放方式、排放口数量和分布情况、排放浓度和总量、超标情况以及执行的污染物排放标准、核定的排放总量。</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（3）防治污染设施的建设和运行情况。</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（4）建设项目环境影响评价及其他环境保护行政许可情况。</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（5）其他应当公开的环境信息。</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6.竣工环境保护验收要求</w:t>
            </w:r>
          </w:p>
          <w:p>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根据《建设项目竣工环境保护验收暂行办法》，本项目竣工后，建设单位应及时组织竣工环境保护验收，经验收合格后，本项目方可投入正式运行。</w:t>
            </w:r>
          </w:p>
          <w:p>
            <w:pPr>
              <w:keepNext w:val="0"/>
              <w:keepLines w:val="0"/>
              <w:suppressLineNumbers w:val="0"/>
              <w:bidi w:val="0"/>
              <w:spacing w:before="0" w:beforeAutospacing="0" w:after="0" w:afterAutospacing="0"/>
              <w:ind w:left="0" w:right="0"/>
              <w:rPr>
                <w:rFonts w:hint="default"/>
              </w:rPr>
            </w:pPr>
          </w:p>
          <w:p>
            <w:pPr>
              <w:keepNext w:val="0"/>
              <w:keepLines w:val="0"/>
              <w:suppressLineNumbers w:val="0"/>
              <w:bidi w:val="0"/>
              <w:spacing w:before="0" w:beforeAutospacing="0" w:after="0" w:afterAutospacing="0"/>
              <w:ind w:left="0" w:right="0"/>
              <w:rPr>
                <w:rFonts w:hint="default"/>
              </w:rPr>
            </w:pPr>
          </w:p>
          <w:p>
            <w:pPr>
              <w:keepNext w:val="0"/>
              <w:keepLines w:val="0"/>
              <w:suppressLineNumbers w:val="0"/>
              <w:bidi w:val="0"/>
              <w:spacing w:before="0" w:beforeAutospacing="0" w:after="0" w:afterAutospacing="0"/>
              <w:ind w:left="0" w:right="0"/>
              <w:rPr>
                <w:rFonts w:hint="default"/>
              </w:rPr>
            </w:pPr>
          </w:p>
          <w:p>
            <w:pPr>
              <w:keepNext w:val="0"/>
              <w:keepLines w:val="0"/>
              <w:suppressLineNumbers w:val="0"/>
              <w:bidi w:val="0"/>
              <w:spacing w:before="0" w:beforeAutospacing="0" w:after="0" w:afterAutospacing="0"/>
              <w:ind w:left="0" w:right="0"/>
              <w:rPr>
                <w:rFonts w:hint="default"/>
              </w:rPr>
            </w:pPr>
          </w:p>
          <w:p>
            <w:pPr>
              <w:keepNext w:val="0"/>
              <w:keepLines w:val="0"/>
              <w:suppressLineNumbers w:val="0"/>
              <w:bidi w:val="0"/>
              <w:spacing w:before="0" w:beforeAutospacing="0" w:after="0" w:afterAutospacing="0"/>
              <w:ind w:left="0" w:right="0"/>
              <w:rPr>
                <w:rFonts w:hint="default"/>
              </w:rPr>
            </w:pPr>
          </w:p>
          <w:p>
            <w:pPr>
              <w:keepNext w:val="0"/>
              <w:keepLines w:val="0"/>
              <w:suppressLineNumbers w:val="0"/>
              <w:bidi w:val="0"/>
              <w:spacing w:before="0" w:beforeAutospacing="0" w:after="0" w:afterAutospacing="0"/>
              <w:ind w:left="0" w:leftChars="0" w:right="0" w:firstLine="0" w:firstLineChars="0"/>
              <w:rPr>
                <w:rFonts w:hint="default"/>
              </w:rPr>
            </w:pPr>
          </w:p>
        </w:tc>
      </w:tr>
    </w:tbl>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default" w:ascii="Times New Roman" w:hAnsi="Times New Roman" w:eastAsia="黑体" w:cs="Times New Roman"/>
          <w:snapToGrid w:val="0"/>
          <w:color w:val="000000"/>
          <w:sz w:val="30"/>
          <w:szCs w:val="30"/>
          <w:highlight w:val="none"/>
        </w:rPr>
      </w:pPr>
      <w:r>
        <w:rPr>
          <w:rFonts w:hint="default" w:ascii="Times New Roman" w:hAnsi="Times New Roman" w:cs="Times New Roman"/>
          <w:snapToGrid w:val="0"/>
          <w:color w:val="000000"/>
          <w:highlight w:val="none"/>
        </w:rPr>
        <w:br w:type="page"/>
      </w:r>
      <w:r>
        <w:rPr>
          <w:rFonts w:hint="default" w:ascii="Times New Roman" w:hAnsi="Times New Roman" w:eastAsia="黑体" w:cs="Times New Roman"/>
          <w:snapToGrid w:val="0"/>
          <w:color w:val="000000"/>
          <w:sz w:val="30"/>
          <w:szCs w:val="30"/>
          <w:highlight w:val="none"/>
        </w:rPr>
        <w:t>六、结论</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1991" w:hRule="atLeast"/>
          <w:jc w:val="center"/>
        </w:trPr>
        <w:tc>
          <w:tcPr>
            <w:tcW w:w="886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bidi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rPr>
              <w:t>根据上述分析，本项目建成后对周围环境造成废水、废气、噪声污染较小，建设单位若能在建成后切实落实本环评提出的各项环境污染防治措施，</w:t>
            </w:r>
            <w:r>
              <w:rPr>
                <w:rFonts w:hint="eastAsia" w:ascii="宋体" w:hAnsi="宋体" w:eastAsia="宋体" w:cs="宋体"/>
              </w:rPr>
              <w:t>落实“三同时”制度，加强环境管理，确保污染物达标排放，则本项目建成投入使用后，对环境的影响是可以接受的。建设单位须严格遵守环保“三同时”制度，各项</w:t>
            </w:r>
            <w:r>
              <w:rPr>
                <w:rFonts w:hint="default" w:ascii="Times New Roman" w:hAnsi="Times New Roman" w:cs="Times New Roman"/>
              </w:rPr>
              <w:t>治理措施需</w:t>
            </w:r>
            <w:r>
              <w:rPr>
                <w:rFonts w:hint="default" w:ascii="Times New Roman" w:hAnsi="Times New Roman" w:cs="Times New Roman"/>
                <w:lang w:val="en-US" w:eastAsia="zh-CN"/>
              </w:rPr>
              <w:t>验收</w:t>
            </w:r>
            <w:r>
              <w:rPr>
                <w:rFonts w:hint="default" w:ascii="Times New Roman" w:hAnsi="Times New Roman" w:cs="Times New Roman"/>
              </w:rPr>
              <w:t>合格后方可正式投入使用，在此前提下，本项目是可行的。</w:t>
            </w:r>
          </w:p>
        </w:tc>
      </w:tr>
    </w:tbl>
    <w:p>
      <w:pPr>
        <w:rPr>
          <w:rFonts w:hint="default" w:ascii="Times New Roman" w:hAnsi="Times New Roman" w:cs="Times New Roman"/>
          <w:color w:val="000000"/>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30"/>
        <w:bidi w:val="0"/>
        <w:adjustRightInd w:val="0"/>
        <w:snapToGrid w:val="0"/>
        <w:spacing w:before="0" w:beforeAutospacing="0" w:after="0" w:afterAutospacing="0" w:line="360" w:lineRule="auto"/>
        <w:ind w:firstLine="0" w:firstLineChars="0"/>
        <w:jc w:val="left"/>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附表</w:t>
      </w:r>
    </w:p>
    <w:p>
      <w:pPr>
        <w:pStyle w:val="30"/>
        <w:bidi w:val="0"/>
        <w:adjustRightInd w:val="0"/>
        <w:snapToGrid w:val="0"/>
        <w:spacing w:before="0" w:beforeAutospacing="0" w:after="0" w:afterAutospacing="0" w:line="360" w:lineRule="auto"/>
        <w:ind w:firstLine="0" w:firstLineChars="0"/>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建设项</w:t>
      </w:r>
      <w:r>
        <w:rPr>
          <w:rFonts w:hint="default" w:ascii="Times New Roman" w:hAnsi="Times New Roman" w:eastAsia="黑体" w:cs="Times New Roman"/>
          <w:snapToGrid w:val="0"/>
          <w:sz w:val="30"/>
          <w:szCs w:val="30"/>
          <w:lang w:val="en-US" w:eastAsia="zh-CN"/>
        </w:rPr>
        <w:t>目</w:t>
      </w:r>
      <w:r>
        <w:rPr>
          <w:rFonts w:hint="default" w:ascii="Times New Roman" w:hAnsi="Times New Roman" w:eastAsia="黑体" w:cs="Times New Roman"/>
          <w:snapToGrid w:val="0"/>
          <w:sz w:val="30"/>
          <w:szCs w:val="30"/>
        </w:rPr>
        <w:t>污染物排放量汇总表</w:t>
      </w:r>
    </w:p>
    <w:tbl>
      <w:tblPr>
        <w:tblStyle w:val="3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936"/>
        <w:gridCol w:w="1600"/>
        <w:gridCol w:w="1276"/>
        <w:gridCol w:w="1401"/>
        <w:gridCol w:w="1538"/>
        <w:gridCol w:w="1256"/>
        <w:gridCol w:w="1875"/>
        <w:gridCol w:w="17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4" w:hRule="atLeast"/>
        </w:trPr>
        <w:tc>
          <w:tcPr>
            <w:tcW w:w="1170" w:type="dxa"/>
            <w:tcBorders>
              <w:tl2br w:val="single" w:color="auto" w:sz="4" w:space="0"/>
            </w:tcBorders>
            <w:noWrap w:val="0"/>
            <w:tcMar>
              <w:left w:w="28" w:type="dxa"/>
              <w:right w:w="28" w:type="dxa"/>
            </w:tcMar>
            <w:vAlign w:val="center"/>
          </w:tcPr>
          <w:p>
            <w:pPr>
              <w:pStyle w:val="6"/>
              <w:suppressLineNumbers w:val="0"/>
              <w:bidi w:val="0"/>
              <w:spacing w:before="0" w:beforeAutospacing="0" w:after="0" w:afterAutospacing="0"/>
              <w:ind w:left="0" w:right="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项目</w:t>
            </w:r>
          </w:p>
          <w:p>
            <w:pPr>
              <w:pStyle w:val="6"/>
              <w:suppressLineNumbers w:val="0"/>
              <w:bidi w:val="0"/>
              <w:spacing w:before="0" w:beforeAutospacing="0" w:after="0" w:afterAutospacing="0"/>
              <w:ind w:left="0" w:right="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分类</w:t>
            </w:r>
          </w:p>
        </w:tc>
        <w:tc>
          <w:tcPr>
            <w:tcW w:w="1936" w:type="dxa"/>
            <w:noWrap w:val="0"/>
            <w:tcMar>
              <w:left w:w="28" w:type="dxa"/>
              <w:right w:w="28" w:type="dxa"/>
            </w:tcMar>
            <w:vAlign w:val="center"/>
          </w:tcPr>
          <w:p>
            <w:pPr>
              <w:pStyle w:val="6"/>
              <w:suppressLineNumbers w:val="0"/>
              <w:bidi w:val="0"/>
              <w:spacing w:before="0" w:beforeAutospacing="0" w:after="0" w:afterAutospacing="0"/>
              <w:ind w:left="0" w:right="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污染物名称</w:t>
            </w:r>
          </w:p>
        </w:tc>
        <w:tc>
          <w:tcPr>
            <w:tcW w:w="1600" w:type="dxa"/>
            <w:noWrap w:val="0"/>
            <w:tcMar>
              <w:left w:w="28" w:type="dxa"/>
              <w:right w:w="28" w:type="dxa"/>
            </w:tcMar>
            <w:vAlign w:val="center"/>
          </w:tcPr>
          <w:p>
            <w:pPr>
              <w:pStyle w:val="6"/>
              <w:suppressLineNumbers w:val="0"/>
              <w:bidi w:val="0"/>
              <w:spacing w:before="0" w:beforeAutospacing="0" w:after="0" w:afterAutospacing="0"/>
              <w:ind w:left="0" w:right="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现有工程</w:t>
            </w:r>
          </w:p>
          <w:p>
            <w:pPr>
              <w:pStyle w:val="6"/>
              <w:suppressLineNumbers w:val="0"/>
              <w:bidi w:val="0"/>
              <w:spacing w:before="0" w:beforeAutospacing="0" w:after="0" w:afterAutospacing="0"/>
              <w:ind w:left="0" w:right="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排放量（固体废物产生量）</w:t>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 1 \* GB3 \* MERGEFORMAT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①</w:t>
            </w:r>
            <w:r>
              <w:rPr>
                <w:rFonts w:hint="default" w:ascii="Times New Roman" w:hAnsi="Times New Roman" w:cs="Times New Roman"/>
                <w:b w:val="0"/>
                <w:bCs w:val="0"/>
                <w:sz w:val="21"/>
                <w:szCs w:val="21"/>
              </w:rPr>
              <w:fldChar w:fldCharType="end"/>
            </w:r>
          </w:p>
        </w:tc>
        <w:tc>
          <w:tcPr>
            <w:tcW w:w="1276" w:type="dxa"/>
            <w:noWrap w:val="0"/>
            <w:tcMar>
              <w:left w:w="28" w:type="dxa"/>
              <w:right w:w="28" w:type="dxa"/>
            </w:tcMar>
            <w:vAlign w:val="center"/>
          </w:tcPr>
          <w:p>
            <w:pPr>
              <w:pStyle w:val="6"/>
              <w:suppressLineNumbers w:val="0"/>
              <w:bidi w:val="0"/>
              <w:spacing w:before="0" w:beforeAutospacing="0" w:after="0" w:afterAutospacing="0"/>
              <w:ind w:left="0" w:right="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现有工程</w:t>
            </w:r>
          </w:p>
          <w:p>
            <w:pPr>
              <w:pStyle w:val="6"/>
              <w:suppressLineNumbers w:val="0"/>
              <w:bidi w:val="0"/>
              <w:spacing w:before="0" w:beforeAutospacing="0" w:after="0" w:afterAutospacing="0"/>
              <w:ind w:left="0" w:right="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许可排放量</w:t>
            </w:r>
          </w:p>
          <w:p>
            <w:pPr>
              <w:pStyle w:val="6"/>
              <w:suppressLineNumbers w:val="0"/>
              <w:bidi w:val="0"/>
              <w:spacing w:before="0" w:beforeAutospacing="0" w:after="0" w:afterAutospacing="0"/>
              <w:ind w:left="0" w:right="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 2 \* GB3 \* MERGEFORMAT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②</w:t>
            </w:r>
            <w:r>
              <w:rPr>
                <w:rFonts w:hint="default" w:ascii="Times New Roman" w:hAnsi="Times New Roman" w:cs="Times New Roman"/>
                <w:b w:val="0"/>
                <w:bCs w:val="0"/>
                <w:sz w:val="21"/>
                <w:szCs w:val="21"/>
              </w:rPr>
              <w:fldChar w:fldCharType="end"/>
            </w:r>
          </w:p>
        </w:tc>
        <w:tc>
          <w:tcPr>
            <w:tcW w:w="1401" w:type="dxa"/>
            <w:noWrap w:val="0"/>
            <w:tcMar>
              <w:left w:w="28" w:type="dxa"/>
              <w:right w:w="28" w:type="dxa"/>
            </w:tcMar>
            <w:vAlign w:val="center"/>
          </w:tcPr>
          <w:p>
            <w:pPr>
              <w:pStyle w:val="6"/>
              <w:suppressLineNumbers w:val="0"/>
              <w:bidi w:val="0"/>
              <w:spacing w:before="0" w:beforeAutospacing="0" w:after="0" w:afterAutospacing="0"/>
              <w:ind w:left="0" w:right="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在建工程</w:t>
            </w:r>
          </w:p>
          <w:p>
            <w:pPr>
              <w:pStyle w:val="6"/>
              <w:suppressLineNumbers w:val="0"/>
              <w:bidi w:val="0"/>
              <w:spacing w:before="0" w:beforeAutospacing="0" w:after="0" w:afterAutospacing="0"/>
              <w:ind w:left="0" w:right="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排放量（固体废物产生量）</w:t>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 3 \* GB3 \* MERGEFORMAT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③</w:t>
            </w:r>
            <w:r>
              <w:rPr>
                <w:rFonts w:hint="default" w:ascii="Times New Roman" w:hAnsi="Times New Roman" w:cs="Times New Roman"/>
                <w:b w:val="0"/>
                <w:bCs w:val="0"/>
                <w:sz w:val="21"/>
                <w:szCs w:val="21"/>
              </w:rPr>
              <w:fldChar w:fldCharType="end"/>
            </w:r>
          </w:p>
        </w:tc>
        <w:tc>
          <w:tcPr>
            <w:tcW w:w="1538" w:type="dxa"/>
            <w:noWrap w:val="0"/>
            <w:tcMar>
              <w:left w:w="28" w:type="dxa"/>
              <w:right w:w="28" w:type="dxa"/>
            </w:tcMar>
            <w:vAlign w:val="center"/>
          </w:tcPr>
          <w:p>
            <w:pPr>
              <w:pStyle w:val="6"/>
              <w:suppressLineNumbers w:val="0"/>
              <w:bidi w:val="0"/>
              <w:spacing w:before="0" w:beforeAutospacing="0" w:after="0" w:afterAutospacing="0"/>
              <w:ind w:left="0" w:right="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本项目排放量（固体废物产生量）</w:t>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 4 \* GB3 \* MERGEFORMAT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④</w:t>
            </w:r>
            <w:r>
              <w:rPr>
                <w:rFonts w:hint="default" w:ascii="Times New Roman" w:hAnsi="Times New Roman" w:cs="Times New Roman"/>
                <w:b w:val="0"/>
                <w:bCs w:val="0"/>
                <w:sz w:val="21"/>
                <w:szCs w:val="21"/>
              </w:rPr>
              <w:fldChar w:fldCharType="end"/>
            </w:r>
          </w:p>
        </w:tc>
        <w:tc>
          <w:tcPr>
            <w:tcW w:w="1256" w:type="dxa"/>
            <w:noWrap w:val="0"/>
            <w:tcMar>
              <w:left w:w="28" w:type="dxa"/>
              <w:right w:w="28" w:type="dxa"/>
            </w:tcMar>
            <w:vAlign w:val="center"/>
          </w:tcPr>
          <w:p>
            <w:pPr>
              <w:pStyle w:val="6"/>
              <w:suppressLineNumbers w:val="0"/>
              <w:bidi w:val="0"/>
              <w:spacing w:before="0" w:beforeAutospacing="0" w:after="0" w:afterAutospacing="0"/>
              <w:ind w:left="0" w:right="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以新带老削减量（新建项目不填）</w:t>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 5 \* GB3 \* MERGEFORMAT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⑤</w:t>
            </w:r>
            <w:r>
              <w:rPr>
                <w:rFonts w:hint="default" w:ascii="Times New Roman" w:hAnsi="Times New Roman" w:cs="Times New Roman"/>
                <w:b w:val="0"/>
                <w:bCs w:val="0"/>
                <w:sz w:val="21"/>
                <w:szCs w:val="21"/>
              </w:rPr>
              <w:fldChar w:fldCharType="end"/>
            </w:r>
          </w:p>
        </w:tc>
        <w:tc>
          <w:tcPr>
            <w:tcW w:w="1875" w:type="dxa"/>
            <w:noWrap w:val="0"/>
            <w:tcMar>
              <w:left w:w="28" w:type="dxa"/>
              <w:right w:w="28" w:type="dxa"/>
            </w:tcMar>
            <w:vAlign w:val="center"/>
          </w:tcPr>
          <w:p>
            <w:pPr>
              <w:pStyle w:val="6"/>
              <w:suppressLineNumbers w:val="0"/>
              <w:bidi w:val="0"/>
              <w:spacing w:before="0" w:beforeAutospacing="0" w:after="0" w:afterAutospacing="0"/>
              <w:ind w:left="0" w:right="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本项目建成后全厂排放量（固体废物产生量）</w:t>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 6 \* GB3 \* MERGEFORMAT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⑥</w:t>
            </w:r>
            <w:r>
              <w:rPr>
                <w:rFonts w:hint="default" w:ascii="Times New Roman" w:hAnsi="Times New Roman" w:cs="Times New Roman"/>
                <w:b w:val="0"/>
                <w:bCs w:val="0"/>
                <w:sz w:val="21"/>
                <w:szCs w:val="21"/>
              </w:rPr>
              <w:fldChar w:fldCharType="end"/>
            </w:r>
          </w:p>
        </w:tc>
        <w:tc>
          <w:tcPr>
            <w:tcW w:w="1736" w:type="dxa"/>
            <w:noWrap w:val="0"/>
            <w:tcMar>
              <w:left w:w="28" w:type="dxa"/>
              <w:right w:w="28" w:type="dxa"/>
            </w:tcMar>
            <w:vAlign w:val="center"/>
          </w:tcPr>
          <w:p>
            <w:pPr>
              <w:pStyle w:val="6"/>
              <w:suppressLineNumbers w:val="0"/>
              <w:bidi w:val="0"/>
              <w:spacing w:before="0" w:beforeAutospacing="0" w:after="0" w:afterAutospacing="0"/>
              <w:ind w:left="0" w:right="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变化量</w:t>
            </w:r>
          </w:p>
          <w:p>
            <w:pPr>
              <w:pStyle w:val="6"/>
              <w:suppressLineNumbers w:val="0"/>
              <w:bidi w:val="0"/>
              <w:spacing w:before="0" w:beforeAutospacing="0" w:after="0" w:afterAutospacing="0"/>
              <w:ind w:left="0" w:right="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 7 \* GB3 \* MERGEFORMAT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⑦</w:t>
            </w:r>
            <w:r>
              <w:rPr>
                <w:rFonts w:hint="default" w:ascii="Times New Roman" w:hAnsi="Times New Roman" w:cs="Times New Roman"/>
                <w:b w:val="0"/>
                <w:bCs w:val="0"/>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170" w:type="dxa"/>
            <w:vMerge w:val="restart"/>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rPr>
              <w:t>废气</w:t>
            </w:r>
          </w:p>
        </w:tc>
        <w:tc>
          <w:tcPr>
            <w:tcW w:w="1936"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sz w:val="21"/>
                <w:szCs w:val="21"/>
              </w:rPr>
              <w:t>颗粒物</w:t>
            </w:r>
          </w:p>
        </w:tc>
        <w:tc>
          <w:tcPr>
            <w:tcW w:w="1600"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lang w:val="en-US" w:eastAsia="zh-CN"/>
              </w:rPr>
            </w:pPr>
            <w:r>
              <w:rPr>
                <w:rFonts w:hint="eastAsia" w:cs="Times New Roman"/>
                <w:sz w:val="21"/>
                <w:szCs w:val="21"/>
                <w:lang w:val="en-US" w:eastAsia="zh-CN"/>
              </w:rPr>
              <w:t>15.77</w:t>
            </w:r>
            <w:r>
              <w:rPr>
                <w:rFonts w:hint="default" w:ascii="Times New Roman" w:hAnsi="Times New Roman" w:cs="Times New Roman"/>
                <w:sz w:val="21"/>
                <w:szCs w:val="21"/>
                <w:lang w:val="en-US" w:eastAsia="zh-CN"/>
              </w:rPr>
              <w:t>t/a</w:t>
            </w:r>
          </w:p>
        </w:tc>
        <w:tc>
          <w:tcPr>
            <w:tcW w:w="1276"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401"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538" w:type="dxa"/>
            <w:shd w:val="clear" w:color="auto" w:fill="auto"/>
            <w:noWrap w:val="0"/>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1.1203t/a</w:t>
            </w:r>
          </w:p>
        </w:tc>
        <w:tc>
          <w:tcPr>
            <w:tcW w:w="1256"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875" w:type="dxa"/>
            <w:shd w:val="clear" w:color="auto" w:fill="auto"/>
            <w:noWrap w:val="0"/>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16.8903t/a</w:t>
            </w:r>
          </w:p>
        </w:tc>
        <w:tc>
          <w:tcPr>
            <w:tcW w:w="1736" w:type="dxa"/>
            <w:noWrap w:val="0"/>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+1.1203t/a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170" w:type="dxa"/>
            <w:vMerge w:val="continue"/>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sz w:val="21"/>
                <w:szCs w:val="21"/>
              </w:rPr>
            </w:pPr>
          </w:p>
        </w:tc>
        <w:tc>
          <w:tcPr>
            <w:tcW w:w="1936" w:type="dxa"/>
            <w:shd w:val="clear" w:color="auto" w:fill="auto"/>
            <w:noWrap w:val="0"/>
            <w:vAlign w:val="center"/>
          </w:tcPr>
          <w:p>
            <w:pPr>
              <w:pStyle w:val="6"/>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eastAsia" w:cs="Times New Roman"/>
                <w:lang w:val="en-US" w:eastAsia="zh-CN"/>
              </w:rPr>
              <w:t>VOC</w:t>
            </w:r>
            <w:r>
              <w:rPr>
                <w:rFonts w:hint="eastAsia" w:cs="Times New Roman"/>
                <w:vertAlign w:val="subscript"/>
                <w:lang w:val="en-US" w:eastAsia="zh-CN"/>
              </w:rPr>
              <w:t>S</w:t>
            </w:r>
          </w:p>
        </w:tc>
        <w:tc>
          <w:tcPr>
            <w:tcW w:w="1600" w:type="dxa"/>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1276" w:type="dxa"/>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1401" w:type="dxa"/>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1538" w:type="dxa"/>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lang w:val="en-US" w:eastAsia="zh-CN"/>
              </w:rPr>
              <w:t>0.</w:t>
            </w:r>
            <w:r>
              <w:rPr>
                <w:rFonts w:hint="eastAsia" w:cs="Times New Roman"/>
                <w:sz w:val="21"/>
                <w:szCs w:val="21"/>
                <w:lang w:val="en-US" w:eastAsia="zh-CN"/>
              </w:rPr>
              <w:t>26</w:t>
            </w:r>
            <w:r>
              <w:rPr>
                <w:rFonts w:hint="default" w:ascii="Times New Roman" w:hAnsi="Times New Roman" w:cs="Times New Roman"/>
                <w:sz w:val="21"/>
                <w:szCs w:val="21"/>
                <w:lang w:val="en-US" w:eastAsia="zh-CN"/>
              </w:rPr>
              <w:t>t/a</w:t>
            </w:r>
          </w:p>
        </w:tc>
        <w:tc>
          <w:tcPr>
            <w:tcW w:w="1256" w:type="dxa"/>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sz w:val="21"/>
                <w:szCs w:val="21"/>
                <w:lang w:val="en-US" w:eastAsia="zh-CN"/>
              </w:rPr>
              <w:t>/</w:t>
            </w:r>
          </w:p>
        </w:tc>
        <w:tc>
          <w:tcPr>
            <w:tcW w:w="1875" w:type="dxa"/>
            <w:shd w:val="clear" w:color="auto" w:fill="auto"/>
            <w:noWrap w:val="0"/>
            <w:vAlign w:val="center"/>
          </w:tcPr>
          <w:p>
            <w:pPr>
              <w:pStyle w:val="6"/>
              <w:suppressLineNumbers w:val="0"/>
              <w:bidi w:val="0"/>
              <w:spacing w:before="0" w:beforeAutospacing="0" w:after="0" w:afterAutospacing="0"/>
              <w:ind w:left="0" w:right="0"/>
              <w:rPr>
                <w:rFonts w:hint="default"/>
                <w:lang w:val="en-US" w:eastAsia="zh-CN"/>
              </w:rPr>
            </w:pPr>
            <w:r>
              <w:rPr>
                <w:rFonts w:hint="default"/>
                <w:lang w:val="en-US" w:eastAsia="zh-CN"/>
              </w:rPr>
              <w:t>0.</w:t>
            </w:r>
            <w:r>
              <w:rPr>
                <w:rFonts w:hint="eastAsia"/>
                <w:lang w:val="en-US" w:eastAsia="zh-CN"/>
              </w:rPr>
              <w:t>26</w:t>
            </w:r>
            <w:r>
              <w:rPr>
                <w:rFonts w:hint="default"/>
                <w:lang w:val="en-US" w:eastAsia="zh-CN"/>
              </w:rPr>
              <w:t>t/a</w:t>
            </w:r>
          </w:p>
        </w:tc>
        <w:tc>
          <w:tcPr>
            <w:tcW w:w="1736" w:type="dxa"/>
            <w:shd w:val="clear" w:color="auto" w:fill="auto"/>
            <w:noWrap w:val="0"/>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w:t>
            </w:r>
            <w:r>
              <w:rPr>
                <w:rFonts w:hint="default"/>
                <w:lang w:val="en-US" w:eastAsia="zh-CN"/>
              </w:rPr>
              <w:t>0.</w:t>
            </w:r>
            <w:r>
              <w:rPr>
                <w:rFonts w:hint="eastAsia"/>
                <w:lang w:val="en-US" w:eastAsia="zh-CN"/>
              </w:rPr>
              <w:t>26</w:t>
            </w:r>
            <w:r>
              <w:rPr>
                <w:rFonts w:hint="default"/>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170" w:type="dxa"/>
            <w:vMerge w:val="restart"/>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废水</w:t>
            </w:r>
          </w:p>
        </w:tc>
        <w:tc>
          <w:tcPr>
            <w:tcW w:w="1936"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sz w:val="21"/>
                <w:szCs w:val="21"/>
                <w:lang w:val="en-US" w:eastAsia="zh-CN"/>
              </w:rPr>
              <w:t>COD</w:t>
            </w:r>
          </w:p>
        </w:tc>
        <w:tc>
          <w:tcPr>
            <w:tcW w:w="1600" w:type="dxa"/>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eastAsia" w:cs="Times New Roman"/>
                <w:lang w:val="en-US" w:eastAsia="zh-CN"/>
              </w:rPr>
              <w:t>0.04</w:t>
            </w:r>
            <w:r>
              <w:rPr>
                <w:rFonts w:hint="default" w:ascii="Times New Roman" w:hAnsi="Times New Roman" w:cs="Times New Roman"/>
                <w:lang w:val="en-US" w:eastAsia="zh-CN"/>
              </w:rPr>
              <w:t>t/a</w:t>
            </w:r>
          </w:p>
        </w:tc>
        <w:tc>
          <w:tcPr>
            <w:tcW w:w="1276"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401"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538" w:type="dxa"/>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val="0"/>
                <w:sz w:val="21"/>
                <w:szCs w:val="21"/>
                <w:lang w:val="en-US" w:eastAsia="zh-CN"/>
              </w:rPr>
            </w:pPr>
            <w:r>
              <w:rPr>
                <w:rFonts w:hint="eastAsia"/>
                <w:lang w:val="en-US" w:eastAsia="zh-CN"/>
              </w:rPr>
              <w:t>0.03264t/a</w:t>
            </w:r>
          </w:p>
        </w:tc>
        <w:tc>
          <w:tcPr>
            <w:tcW w:w="1256"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875" w:type="dxa"/>
            <w:noWrap w:val="0"/>
            <w:vAlign w:val="center"/>
          </w:tcPr>
          <w:p>
            <w:pPr>
              <w:pStyle w:val="6"/>
              <w:suppressLineNumbers w:val="0"/>
              <w:bidi w:val="0"/>
              <w:spacing w:before="0" w:beforeAutospacing="0" w:after="0" w:afterAutospacing="0"/>
              <w:ind w:left="0" w:leftChars="0" w:right="0" w:rightChars="0" w:firstLine="0" w:firstLineChars="0"/>
              <w:rPr>
                <w:rFonts w:hint="default"/>
                <w:lang w:val="en-US" w:eastAsia="zh-CN"/>
              </w:rPr>
            </w:pPr>
            <w:r>
              <w:rPr>
                <w:rFonts w:hint="eastAsia"/>
                <w:lang w:val="en-US" w:eastAsia="zh-CN"/>
              </w:rPr>
              <w:t>0.07264t/a</w:t>
            </w:r>
          </w:p>
        </w:tc>
        <w:tc>
          <w:tcPr>
            <w:tcW w:w="1736" w:type="dxa"/>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val="0"/>
                <w:kern w:val="2"/>
                <w:sz w:val="21"/>
                <w:szCs w:val="21"/>
                <w:lang w:val="en-US" w:eastAsia="zh-CN" w:bidi="ar-SA"/>
              </w:rPr>
            </w:pPr>
            <w:r>
              <w:rPr>
                <w:rFonts w:hint="eastAsia"/>
                <w:lang w:val="en-US" w:eastAsia="zh-CN"/>
              </w:rPr>
              <w:t>+0.03264t/a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170" w:type="dxa"/>
            <w:vMerge w:val="continue"/>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p>
        </w:tc>
        <w:tc>
          <w:tcPr>
            <w:tcW w:w="1936"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sz w:val="21"/>
                <w:szCs w:val="21"/>
                <w:lang w:val="en-US" w:eastAsia="zh-CN"/>
              </w:rPr>
              <w:t>BOD</w:t>
            </w:r>
            <w:r>
              <w:rPr>
                <w:rFonts w:hint="default" w:ascii="Times New Roman" w:hAnsi="Times New Roman" w:cs="Times New Roman"/>
                <w:sz w:val="21"/>
                <w:szCs w:val="21"/>
                <w:vertAlign w:val="subscript"/>
                <w:lang w:val="en-US" w:eastAsia="zh-CN"/>
              </w:rPr>
              <w:t>5</w:t>
            </w:r>
          </w:p>
        </w:tc>
        <w:tc>
          <w:tcPr>
            <w:tcW w:w="1600" w:type="dxa"/>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eastAsia" w:cs="Times New Roman"/>
                <w:lang w:val="en-US" w:eastAsia="zh-CN"/>
              </w:rPr>
              <w:t>0.008</w:t>
            </w:r>
            <w:r>
              <w:rPr>
                <w:rFonts w:hint="default" w:ascii="Times New Roman" w:hAnsi="Times New Roman" w:cs="Times New Roman"/>
                <w:lang w:val="en-US" w:eastAsia="zh-CN"/>
              </w:rPr>
              <w:t>t/a</w:t>
            </w:r>
          </w:p>
        </w:tc>
        <w:tc>
          <w:tcPr>
            <w:tcW w:w="1276"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401"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538" w:type="dxa"/>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val="0"/>
                <w:sz w:val="21"/>
                <w:szCs w:val="21"/>
                <w:lang w:val="en-US" w:eastAsia="zh-CN"/>
              </w:rPr>
            </w:pPr>
            <w:r>
              <w:rPr>
                <w:rFonts w:hint="eastAsia"/>
                <w:lang w:val="en-US" w:eastAsia="zh-CN"/>
              </w:rPr>
              <w:t>0.02074t/a</w:t>
            </w:r>
          </w:p>
        </w:tc>
        <w:tc>
          <w:tcPr>
            <w:tcW w:w="1256"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875" w:type="dxa"/>
            <w:noWrap w:val="0"/>
            <w:vAlign w:val="center"/>
          </w:tcPr>
          <w:p>
            <w:pPr>
              <w:pStyle w:val="6"/>
              <w:suppressLineNumbers w:val="0"/>
              <w:bidi w:val="0"/>
              <w:spacing w:before="0" w:beforeAutospacing="0" w:after="0" w:afterAutospacing="0"/>
              <w:ind w:left="0" w:leftChars="0" w:right="0" w:rightChars="0" w:firstLine="0" w:firstLineChars="0"/>
              <w:rPr>
                <w:rFonts w:hint="default"/>
                <w:lang w:val="en-US" w:eastAsia="zh-CN"/>
              </w:rPr>
            </w:pPr>
            <w:r>
              <w:rPr>
                <w:rFonts w:hint="eastAsia"/>
                <w:lang w:val="en-US" w:eastAsia="zh-CN"/>
              </w:rPr>
              <w:t>0.02874t/a</w:t>
            </w:r>
          </w:p>
        </w:tc>
        <w:tc>
          <w:tcPr>
            <w:tcW w:w="1736" w:type="dxa"/>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val="0"/>
                <w:kern w:val="2"/>
                <w:sz w:val="21"/>
                <w:szCs w:val="21"/>
                <w:lang w:val="en-US" w:eastAsia="zh-CN" w:bidi="ar-SA"/>
              </w:rPr>
            </w:pPr>
            <w:r>
              <w:rPr>
                <w:rFonts w:hint="eastAsia"/>
                <w:lang w:val="en-US" w:eastAsia="zh-CN"/>
              </w:rPr>
              <w:t>+0.02074t/a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170" w:type="dxa"/>
            <w:vMerge w:val="continue"/>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p>
        </w:tc>
        <w:tc>
          <w:tcPr>
            <w:tcW w:w="1936"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sz w:val="21"/>
                <w:szCs w:val="21"/>
                <w:lang w:val="en-US" w:eastAsia="zh-CN"/>
              </w:rPr>
              <w:t>SS</w:t>
            </w:r>
          </w:p>
        </w:tc>
        <w:tc>
          <w:tcPr>
            <w:tcW w:w="1600" w:type="dxa"/>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eastAsia" w:cs="Times New Roman"/>
                <w:lang w:val="en-US" w:eastAsia="zh-CN"/>
              </w:rPr>
              <w:t>0.026</w:t>
            </w:r>
            <w:r>
              <w:rPr>
                <w:rFonts w:hint="default" w:ascii="Times New Roman" w:hAnsi="Times New Roman" w:cs="Times New Roman"/>
                <w:lang w:val="en-US" w:eastAsia="zh-CN"/>
              </w:rPr>
              <w:t>t/a</w:t>
            </w:r>
          </w:p>
        </w:tc>
        <w:tc>
          <w:tcPr>
            <w:tcW w:w="1276"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401"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538" w:type="dxa"/>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val="0"/>
                <w:sz w:val="21"/>
                <w:szCs w:val="21"/>
                <w:lang w:val="en-US" w:eastAsia="zh-CN"/>
              </w:rPr>
            </w:pPr>
            <w:r>
              <w:rPr>
                <w:rFonts w:hint="eastAsia"/>
                <w:lang w:val="en-US" w:eastAsia="zh-CN"/>
              </w:rPr>
              <w:t>0.01382t/a</w:t>
            </w:r>
          </w:p>
        </w:tc>
        <w:tc>
          <w:tcPr>
            <w:tcW w:w="1256"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875" w:type="dxa"/>
            <w:noWrap w:val="0"/>
            <w:vAlign w:val="center"/>
          </w:tcPr>
          <w:p>
            <w:pPr>
              <w:pStyle w:val="6"/>
              <w:suppressLineNumbers w:val="0"/>
              <w:bidi w:val="0"/>
              <w:spacing w:before="0" w:beforeAutospacing="0" w:after="0" w:afterAutospacing="0"/>
              <w:ind w:left="0" w:leftChars="0" w:right="0" w:rightChars="0" w:firstLine="0" w:firstLineChars="0"/>
              <w:rPr>
                <w:rFonts w:hint="default"/>
                <w:lang w:val="en-US" w:eastAsia="zh-CN"/>
              </w:rPr>
            </w:pPr>
            <w:r>
              <w:rPr>
                <w:rFonts w:hint="eastAsia"/>
                <w:lang w:val="en-US" w:eastAsia="zh-CN"/>
              </w:rPr>
              <w:t>0.03982t/a</w:t>
            </w:r>
          </w:p>
        </w:tc>
        <w:tc>
          <w:tcPr>
            <w:tcW w:w="1736" w:type="dxa"/>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val="0"/>
                <w:kern w:val="2"/>
                <w:sz w:val="21"/>
                <w:szCs w:val="21"/>
                <w:lang w:val="en-US" w:eastAsia="zh-CN" w:bidi="ar-SA"/>
              </w:rPr>
            </w:pPr>
            <w:r>
              <w:rPr>
                <w:rFonts w:hint="eastAsia"/>
                <w:lang w:val="en-US" w:eastAsia="zh-CN"/>
              </w:rPr>
              <w:t>+0.01382t/a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70" w:type="dxa"/>
            <w:vMerge w:val="continue"/>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p>
        </w:tc>
        <w:tc>
          <w:tcPr>
            <w:tcW w:w="1936"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sz w:val="21"/>
                <w:szCs w:val="21"/>
                <w:lang w:val="en-US" w:eastAsia="zh-CN"/>
              </w:rPr>
              <w:t>氨氮</w:t>
            </w:r>
          </w:p>
        </w:tc>
        <w:tc>
          <w:tcPr>
            <w:tcW w:w="1600" w:type="dxa"/>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vertAlign w:val="baseline"/>
                <w:lang w:val="en-US" w:eastAsia="zh-CN" w:bidi="ar-SA"/>
              </w:rPr>
            </w:pPr>
            <w:r>
              <w:rPr>
                <w:rFonts w:hint="eastAsia" w:cs="Times New Roman"/>
                <w:lang w:val="en-US" w:eastAsia="zh-CN"/>
              </w:rPr>
              <w:t>0.0066</w:t>
            </w:r>
            <w:r>
              <w:rPr>
                <w:rFonts w:hint="default" w:ascii="Times New Roman" w:hAnsi="Times New Roman" w:cs="Times New Roman"/>
                <w:vertAlign w:val="baseline"/>
                <w:lang w:val="en-US" w:eastAsia="zh-CN"/>
              </w:rPr>
              <w:t>t/a</w:t>
            </w:r>
          </w:p>
        </w:tc>
        <w:tc>
          <w:tcPr>
            <w:tcW w:w="1276"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401"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538" w:type="dxa"/>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val="0"/>
                <w:sz w:val="21"/>
                <w:szCs w:val="21"/>
                <w:lang w:val="en-US" w:eastAsia="zh-CN"/>
              </w:rPr>
            </w:pPr>
            <w:r>
              <w:rPr>
                <w:rFonts w:hint="eastAsia"/>
                <w:lang w:val="en-US" w:eastAsia="zh-CN"/>
              </w:rPr>
              <w:t>0.00292t/a</w:t>
            </w:r>
          </w:p>
        </w:tc>
        <w:tc>
          <w:tcPr>
            <w:tcW w:w="1256"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875" w:type="dxa"/>
            <w:noWrap w:val="0"/>
            <w:vAlign w:val="center"/>
          </w:tcPr>
          <w:p>
            <w:pPr>
              <w:pStyle w:val="6"/>
              <w:suppressLineNumbers w:val="0"/>
              <w:bidi w:val="0"/>
              <w:spacing w:before="0" w:beforeAutospacing="0" w:after="0" w:afterAutospacing="0"/>
              <w:ind w:left="0" w:leftChars="0" w:right="0" w:rightChars="0" w:firstLine="0" w:firstLineChars="0"/>
              <w:rPr>
                <w:rFonts w:hint="default"/>
                <w:lang w:val="en-US" w:eastAsia="zh-CN"/>
              </w:rPr>
            </w:pPr>
            <w:r>
              <w:rPr>
                <w:rFonts w:hint="eastAsia"/>
                <w:lang w:val="en-US" w:eastAsia="zh-CN"/>
              </w:rPr>
              <w:t>0.00952t/a</w:t>
            </w:r>
          </w:p>
        </w:tc>
        <w:tc>
          <w:tcPr>
            <w:tcW w:w="1736" w:type="dxa"/>
            <w:shd w:val="clear" w:color="auto" w:fill="auto"/>
            <w:noWrap w:val="0"/>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val="0"/>
                <w:kern w:val="2"/>
                <w:sz w:val="21"/>
                <w:szCs w:val="21"/>
                <w:lang w:val="en-US" w:eastAsia="zh-CN" w:bidi="ar-SA"/>
              </w:rPr>
            </w:pPr>
            <w:r>
              <w:rPr>
                <w:rFonts w:hint="eastAsia"/>
                <w:lang w:val="en-US" w:eastAsia="zh-CN"/>
              </w:rPr>
              <w:t>+0.00292t/a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170" w:type="dxa"/>
            <w:vMerge w:val="restart"/>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一般</w:t>
            </w:r>
            <w:r>
              <w:rPr>
                <w:rFonts w:hint="default" w:ascii="Times New Roman" w:hAnsi="Times New Roman" w:cs="Times New Roman"/>
                <w:sz w:val="21"/>
                <w:szCs w:val="21"/>
              </w:rPr>
              <w:t>固体废物</w:t>
            </w:r>
          </w:p>
        </w:tc>
        <w:tc>
          <w:tcPr>
            <w:tcW w:w="1936" w:type="dxa"/>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kern w:val="2"/>
                <w:sz w:val="21"/>
                <w:szCs w:val="20"/>
                <w:lang w:val="en-US" w:eastAsia="zh-CN" w:bidi="ar-SA"/>
              </w:rPr>
            </w:pPr>
            <w:r>
              <w:rPr>
                <w:rFonts w:hint="default" w:ascii="Times New Roman" w:hAnsi="Times New Roman" w:cs="Times New Roman"/>
                <w:lang w:val="en-US" w:eastAsia="zh-CN"/>
              </w:rPr>
              <w:t>各除尘器收集的粉尘</w:t>
            </w:r>
          </w:p>
        </w:tc>
        <w:tc>
          <w:tcPr>
            <w:tcW w:w="1600"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276"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401"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538" w:type="dxa"/>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eastAsia" w:cs="Times New Roman"/>
                <w:lang w:val="en-US" w:eastAsia="zh-CN"/>
              </w:rPr>
              <w:t>28.1177</w:t>
            </w:r>
            <w:r>
              <w:rPr>
                <w:rFonts w:hint="default" w:ascii="Times New Roman" w:hAnsi="Times New Roman" w:cs="Times New Roman"/>
                <w:lang w:val="en-US" w:eastAsia="zh-CN"/>
              </w:rPr>
              <w:t>t/a</w:t>
            </w:r>
          </w:p>
        </w:tc>
        <w:tc>
          <w:tcPr>
            <w:tcW w:w="1256"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875" w:type="dxa"/>
            <w:shd w:val="clear" w:color="auto" w:fill="auto"/>
            <w:noWrap w:val="0"/>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eastAsia" w:cs="Times New Roman"/>
                <w:lang w:val="en-US" w:eastAsia="zh-CN"/>
              </w:rPr>
              <w:t>28.1177</w:t>
            </w:r>
            <w:r>
              <w:rPr>
                <w:rFonts w:hint="default" w:ascii="Times New Roman" w:hAnsi="Times New Roman" w:cs="Times New Roman"/>
                <w:lang w:val="en-US" w:eastAsia="zh-CN"/>
              </w:rPr>
              <w:t>t/a</w:t>
            </w:r>
          </w:p>
        </w:tc>
        <w:tc>
          <w:tcPr>
            <w:tcW w:w="1736" w:type="dxa"/>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eastAsia" w:cs="Times New Roman"/>
                <w:lang w:val="en-US" w:eastAsia="zh-CN"/>
              </w:rPr>
              <w:t>28.1177</w:t>
            </w:r>
            <w:r>
              <w:rPr>
                <w:rFonts w:hint="default" w:ascii="Times New Roman" w:hAnsi="Times New Roman" w:cs="Times New Roman"/>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170" w:type="dxa"/>
            <w:vMerge w:val="continue"/>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p>
        </w:tc>
        <w:tc>
          <w:tcPr>
            <w:tcW w:w="1936" w:type="dxa"/>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rPr>
              <w:t>混凝土残渣</w:t>
            </w:r>
          </w:p>
        </w:tc>
        <w:tc>
          <w:tcPr>
            <w:tcW w:w="1600"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lang w:val="en-US" w:eastAsia="zh-CN"/>
              </w:rPr>
            </w:pPr>
            <w:r>
              <w:rPr>
                <w:rFonts w:hint="eastAsia" w:cs="Times New Roman"/>
                <w:sz w:val="21"/>
                <w:szCs w:val="21"/>
                <w:lang w:val="en-US" w:eastAsia="zh-CN"/>
              </w:rPr>
              <w:t>733t/a</w:t>
            </w:r>
          </w:p>
        </w:tc>
        <w:tc>
          <w:tcPr>
            <w:tcW w:w="1276"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sz w:val="21"/>
                <w:szCs w:val="21"/>
                <w:lang w:val="en-US" w:eastAsia="zh-CN"/>
              </w:rPr>
              <w:t>/</w:t>
            </w:r>
          </w:p>
        </w:tc>
        <w:tc>
          <w:tcPr>
            <w:tcW w:w="1401"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sz w:val="21"/>
                <w:szCs w:val="21"/>
                <w:lang w:val="en-US" w:eastAsia="zh-CN"/>
              </w:rPr>
              <w:t>/</w:t>
            </w:r>
          </w:p>
        </w:tc>
        <w:tc>
          <w:tcPr>
            <w:tcW w:w="1538" w:type="dxa"/>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eastAsia" w:cs="Times New Roman"/>
                <w:lang w:val="en-US" w:eastAsia="zh-CN"/>
              </w:rPr>
              <w:t>1t/a</w:t>
            </w:r>
          </w:p>
        </w:tc>
        <w:tc>
          <w:tcPr>
            <w:tcW w:w="1256"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sz w:val="21"/>
                <w:szCs w:val="21"/>
                <w:lang w:val="en-US" w:eastAsia="zh-CN"/>
              </w:rPr>
              <w:t>/</w:t>
            </w:r>
          </w:p>
        </w:tc>
        <w:tc>
          <w:tcPr>
            <w:tcW w:w="1875" w:type="dxa"/>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val="0"/>
                <w:kern w:val="2"/>
                <w:sz w:val="21"/>
                <w:szCs w:val="21"/>
                <w:lang w:val="en-US" w:eastAsia="zh-CN" w:bidi="ar-SA"/>
              </w:rPr>
            </w:pPr>
            <w:r>
              <w:rPr>
                <w:rFonts w:hint="eastAsia" w:cs="Times New Roman"/>
                <w:lang w:val="en-US" w:eastAsia="zh-CN"/>
              </w:rPr>
              <w:t>734</w:t>
            </w:r>
            <w:r>
              <w:rPr>
                <w:rFonts w:hint="default" w:ascii="Times New Roman" w:hAnsi="Times New Roman" w:cs="Times New Roman"/>
                <w:lang w:val="en-US" w:eastAsia="zh-CN"/>
              </w:rPr>
              <w:t>t/a</w:t>
            </w:r>
          </w:p>
        </w:tc>
        <w:tc>
          <w:tcPr>
            <w:tcW w:w="1736" w:type="dxa"/>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eastAsia" w:cs="Times New Roman"/>
                <w:lang w:val="en-US" w:eastAsia="zh-CN"/>
              </w:rPr>
              <w:t>+1t/a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0" w:type="dxa"/>
            <w:vMerge w:val="continue"/>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p>
        </w:tc>
        <w:tc>
          <w:tcPr>
            <w:tcW w:w="1936" w:type="dxa"/>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lang w:val="en-US" w:eastAsia="zh-CN"/>
              </w:rPr>
              <w:t>沉淀池底泥</w:t>
            </w:r>
          </w:p>
        </w:tc>
        <w:tc>
          <w:tcPr>
            <w:tcW w:w="1600"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276"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401"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538" w:type="dxa"/>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eastAsia" w:cs="Times New Roman"/>
                <w:lang w:val="en-US" w:eastAsia="zh-CN"/>
              </w:rPr>
              <w:t>1t/a</w:t>
            </w:r>
          </w:p>
        </w:tc>
        <w:tc>
          <w:tcPr>
            <w:tcW w:w="1256" w:type="dxa"/>
            <w:noWrap w:val="0"/>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875" w:type="dxa"/>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val="0"/>
                <w:kern w:val="2"/>
                <w:sz w:val="21"/>
                <w:szCs w:val="21"/>
                <w:lang w:val="en-US" w:eastAsia="zh-CN" w:bidi="ar-SA"/>
              </w:rPr>
            </w:pPr>
            <w:r>
              <w:rPr>
                <w:rFonts w:hint="eastAsia" w:cs="Times New Roman"/>
                <w:lang w:val="en-US" w:eastAsia="zh-CN"/>
              </w:rPr>
              <w:t>1</w:t>
            </w:r>
            <w:r>
              <w:rPr>
                <w:rFonts w:hint="default" w:ascii="Times New Roman" w:hAnsi="Times New Roman" w:cs="Times New Roman"/>
                <w:lang w:val="en-US" w:eastAsia="zh-CN"/>
              </w:rPr>
              <w:t>t/a</w:t>
            </w:r>
          </w:p>
        </w:tc>
        <w:tc>
          <w:tcPr>
            <w:tcW w:w="1736" w:type="dxa"/>
            <w:shd w:val="clear" w:color="auto" w:fill="auto"/>
            <w:noWrap w:val="0"/>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eastAsia" w:cs="Times New Roman"/>
                <w:lang w:val="en-US" w:eastAsia="zh-CN"/>
              </w:rPr>
              <w:t>+1t/a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0" w:type="dxa"/>
            <w:vMerge w:val="continue"/>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p>
        </w:tc>
        <w:tc>
          <w:tcPr>
            <w:tcW w:w="19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lang w:val="en-US" w:eastAsia="zh-CN"/>
              </w:rPr>
              <w:t>废布袋</w:t>
            </w:r>
          </w:p>
        </w:tc>
        <w:tc>
          <w:tcPr>
            <w:tcW w:w="1600" w:type="dxa"/>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276" w:type="dxa"/>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401" w:type="dxa"/>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538"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lang w:val="en-US" w:eastAsia="zh-CN"/>
              </w:rPr>
              <w:t>0.</w:t>
            </w:r>
            <w:r>
              <w:rPr>
                <w:rFonts w:hint="eastAsia" w:cs="Times New Roman"/>
                <w:lang w:val="en-US" w:eastAsia="zh-CN"/>
              </w:rPr>
              <w:t>2t/a</w:t>
            </w:r>
          </w:p>
        </w:tc>
        <w:tc>
          <w:tcPr>
            <w:tcW w:w="1256" w:type="dxa"/>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w:t>
            </w:r>
          </w:p>
        </w:tc>
        <w:tc>
          <w:tcPr>
            <w:tcW w:w="1875"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lang w:val="en-US" w:eastAsia="zh-CN"/>
              </w:rPr>
              <w:t>0.</w:t>
            </w:r>
            <w:r>
              <w:rPr>
                <w:rFonts w:hint="eastAsia" w:cs="Times New Roman"/>
                <w:lang w:val="en-US" w:eastAsia="zh-CN"/>
              </w:rPr>
              <w:t>2t/a</w:t>
            </w:r>
          </w:p>
        </w:tc>
        <w:tc>
          <w:tcPr>
            <w:tcW w:w="17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eastAsia" w:cs="Times New Roman"/>
                <w:lang w:val="en-US" w:eastAsia="zh-CN"/>
              </w:rPr>
              <w:t>+</w:t>
            </w:r>
            <w:r>
              <w:rPr>
                <w:rFonts w:hint="default" w:ascii="Times New Roman" w:hAnsi="Times New Roman" w:cs="Times New Roman"/>
                <w:lang w:val="en-US" w:eastAsia="zh-CN"/>
              </w:rPr>
              <w:t>0.</w:t>
            </w:r>
            <w:r>
              <w:rPr>
                <w:rFonts w:hint="eastAsia" w:cs="Times New Roman"/>
                <w:lang w:val="en-US" w:eastAsia="zh-CN"/>
              </w:rPr>
              <w:t>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0" w:type="dxa"/>
            <w:vMerge w:val="continue"/>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p>
        </w:tc>
        <w:tc>
          <w:tcPr>
            <w:tcW w:w="19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lang w:val="en-US" w:eastAsia="zh-CN"/>
              </w:rPr>
              <w:t>废钢筋</w:t>
            </w:r>
          </w:p>
        </w:tc>
        <w:tc>
          <w:tcPr>
            <w:tcW w:w="1600" w:type="dxa"/>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276" w:type="dxa"/>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401" w:type="dxa"/>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538"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eastAsia" w:cs="Times New Roman"/>
                <w:lang w:val="en-US" w:eastAsia="zh-CN"/>
              </w:rPr>
              <w:t>1t/a</w:t>
            </w:r>
          </w:p>
        </w:tc>
        <w:tc>
          <w:tcPr>
            <w:tcW w:w="1256" w:type="dxa"/>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w:t>
            </w:r>
          </w:p>
        </w:tc>
        <w:tc>
          <w:tcPr>
            <w:tcW w:w="1875"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eastAsia" w:cs="Times New Roman"/>
                <w:lang w:val="en-US" w:eastAsia="zh-CN"/>
              </w:rPr>
              <w:t>1t/a</w:t>
            </w:r>
          </w:p>
        </w:tc>
        <w:tc>
          <w:tcPr>
            <w:tcW w:w="17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eastAsia" w:cs="Times New Roman"/>
                <w:lang w:val="en-US" w:eastAsia="zh-CN"/>
              </w:rPr>
              <w:t>+1t/a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0" w:type="dxa"/>
            <w:vMerge w:val="continue"/>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p>
        </w:tc>
        <w:tc>
          <w:tcPr>
            <w:tcW w:w="19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焊渣</w:t>
            </w:r>
          </w:p>
        </w:tc>
        <w:tc>
          <w:tcPr>
            <w:tcW w:w="1600" w:type="dxa"/>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276" w:type="dxa"/>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401" w:type="dxa"/>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538"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0.0</w:t>
            </w:r>
            <w:r>
              <w:rPr>
                <w:rFonts w:hint="eastAsia" w:cs="Times New Roman"/>
                <w:lang w:val="en-US" w:eastAsia="zh-CN"/>
              </w:rPr>
              <w:t>2t/a</w:t>
            </w:r>
          </w:p>
        </w:tc>
        <w:tc>
          <w:tcPr>
            <w:tcW w:w="1256" w:type="dxa"/>
            <w:vAlign w:val="center"/>
          </w:tcPr>
          <w:p>
            <w:pPr>
              <w:pStyle w:val="6"/>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875"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0.0</w:t>
            </w:r>
            <w:r>
              <w:rPr>
                <w:rFonts w:hint="eastAsia" w:cs="Times New Roman"/>
                <w:lang w:val="en-US" w:eastAsia="zh-CN"/>
              </w:rPr>
              <w:t>2t/a</w:t>
            </w:r>
          </w:p>
        </w:tc>
        <w:tc>
          <w:tcPr>
            <w:tcW w:w="17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eastAsia" w:cs="Times New Roman"/>
                <w:lang w:val="en-US" w:eastAsia="zh-CN"/>
              </w:rPr>
              <w:t>+</w:t>
            </w:r>
            <w:r>
              <w:rPr>
                <w:rFonts w:hint="default" w:ascii="Times New Roman" w:hAnsi="Times New Roman" w:cs="Times New Roman"/>
                <w:lang w:val="en-US" w:eastAsia="zh-CN"/>
              </w:rPr>
              <w:t>0.0</w:t>
            </w:r>
            <w:r>
              <w:rPr>
                <w:rFonts w:hint="eastAsia" w:cs="Times New Roman"/>
                <w:lang w:val="en-US" w:eastAsia="zh-CN"/>
              </w:rPr>
              <w:t>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0" w:type="dxa"/>
            <w:vMerge w:val="continue"/>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p>
        </w:tc>
        <w:tc>
          <w:tcPr>
            <w:tcW w:w="19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水性防腐涂料包装桶</w:t>
            </w:r>
          </w:p>
        </w:tc>
        <w:tc>
          <w:tcPr>
            <w:tcW w:w="1600" w:type="dxa"/>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276" w:type="dxa"/>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401" w:type="dxa"/>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538"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0.</w:t>
            </w:r>
            <w:r>
              <w:rPr>
                <w:rFonts w:hint="eastAsia" w:cs="Times New Roman"/>
                <w:lang w:val="en-US" w:eastAsia="zh-CN"/>
              </w:rPr>
              <w:t>2t/a</w:t>
            </w:r>
          </w:p>
        </w:tc>
        <w:tc>
          <w:tcPr>
            <w:tcW w:w="1256" w:type="dxa"/>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875"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0.</w:t>
            </w:r>
            <w:r>
              <w:rPr>
                <w:rFonts w:hint="eastAsia" w:cs="Times New Roman"/>
                <w:lang w:val="en-US" w:eastAsia="zh-CN"/>
              </w:rPr>
              <w:t>2t/a</w:t>
            </w:r>
          </w:p>
        </w:tc>
        <w:tc>
          <w:tcPr>
            <w:tcW w:w="17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eastAsia" w:cs="Times New Roman"/>
                <w:lang w:val="en-US" w:eastAsia="zh-CN"/>
              </w:rPr>
              <w:t>+</w:t>
            </w:r>
            <w:r>
              <w:rPr>
                <w:rFonts w:hint="default" w:ascii="Times New Roman" w:hAnsi="Times New Roman" w:cs="Times New Roman"/>
                <w:lang w:val="en-US" w:eastAsia="zh-CN"/>
              </w:rPr>
              <w:t>0.</w:t>
            </w:r>
            <w:r>
              <w:rPr>
                <w:rFonts w:hint="eastAsia" w:cs="Times New Roman"/>
                <w:lang w:val="en-US" w:eastAsia="zh-CN"/>
              </w:rPr>
              <w:t>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0" w:type="dxa"/>
            <w:vMerge w:val="continue"/>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p>
        </w:tc>
        <w:tc>
          <w:tcPr>
            <w:tcW w:w="19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default" w:ascii="Times New Roman" w:hAnsi="Times New Roman" w:cs="Times New Roman"/>
                <w:b w:val="0"/>
                <w:bCs w:val="0"/>
                <w:sz w:val="21"/>
                <w:szCs w:val="21"/>
                <w:lang w:val="en-US" w:eastAsia="zh-CN"/>
              </w:rPr>
              <w:t>水性漆</w:t>
            </w:r>
            <w:r>
              <w:rPr>
                <w:rFonts w:hint="eastAsia" w:cs="Times New Roman"/>
                <w:lang w:val="en-US" w:eastAsia="zh-CN"/>
              </w:rPr>
              <w:t>漆渣</w:t>
            </w:r>
          </w:p>
        </w:tc>
        <w:tc>
          <w:tcPr>
            <w:tcW w:w="1600" w:type="dxa"/>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eastAsia" w:cs="Times New Roman"/>
                <w:lang w:val="en-US" w:eastAsia="zh-CN"/>
              </w:rPr>
              <w:t>/</w:t>
            </w:r>
          </w:p>
        </w:tc>
        <w:tc>
          <w:tcPr>
            <w:tcW w:w="1276" w:type="dxa"/>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eastAsia" w:cs="Times New Roman"/>
                <w:lang w:val="en-US" w:eastAsia="zh-CN"/>
              </w:rPr>
              <w:t>/</w:t>
            </w:r>
          </w:p>
        </w:tc>
        <w:tc>
          <w:tcPr>
            <w:tcW w:w="1401" w:type="dxa"/>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eastAsia" w:cs="Times New Roman"/>
                <w:lang w:val="en-US" w:eastAsia="zh-CN"/>
              </w:rPr>
              <w:t>/</w:t>
            </w:r>
          </w:p>
        </w:tc>
        <w:tc>
          <w:tcPr>
            <w:tcW w:w="1538"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eastAsia" w:cs="Times New Roman"/>
                <w:lang w:val="en-US" w:eastAsia="zh-CN"/>
              </w:rPr>
              <w:t>0.05t/a</w:t>
            </w:r>
          </w:p>
        </w:tc>
        <w:tc>
          <w:tcPr>
            <w:tcW w:w="1256" w:type="dxa"/>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eastAsia" w:cs="Times New Roman"/>
                <w:lang w:val="en-US" w:eastAsia="zh-CN"/>
              </w:rPr>
              <w:t>/</w:t>
            </w:r>
          </w:p>
        </w:tc>
        <w:tc>
          <w:tcPr>
            <w:tcW w:w="1875" w:type="dxa"/>
            <w:shd w:val="clear" w:color="auto" w:fill="auto"/>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0.05t/a</w:t>
            </w:r>
          </w:p>
        </w:tc>
        <w:tc>
          <w:tcPr>
            <w:tcW w:w="1736" w:type="dxa"/>
            <w:shd w:val="clear" w:color="auto" w:fill="auto"/>
            <w:vAlign w:val="center"/>
          </w:tcPr>
          <w:p>
            <w:pPr>
              <w:pStyle w:val="6"/>
              <w:suppressLineNumbers w:val="0"/>
              <w:bidi w:val="0"/>
              <w:spacing w:before="0" w:beforeAutospacing="0" w:after="0" w:afterAutospacing="0"/>
              <w:ind w:left="0" w:right="0"/>
              <w:rPr>
                <w:rFonts w:hint="eastAsia"/>
                <w:lang w:val="en-US" w:eastAsia="zh-CN"/>
              </w:rPr>
            </w:pPr>
            <w:r>
              <w:rPr>
                <w:rFonts w:hint="eastAsia"/>
                <w:lang w:val="en-US" w:eastAsia="zh-CN"/>
              </w:rPr>
              <w:t>+0.05t/a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0" w:type="dxa"/>
            <w:vMerge w:val="continue"/>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p>
        </w:tc>
        <w:tc>
          <w:tcPr>
            <w:tcW w:w="19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lang w:val="en-US" w:eastAsia="zh-CN"/>
              </w:rPr>
            </w:pPr>
            <w:r>
              <w:rPr>
                <w:rFonts w:hint="eastAsia" w:cs="Times New Roman"/>
                <w:b w:val="0"/>
                <w:bCs w:val="0"/>
                <w:sz w:val="21"/>
                <w:szCs w:val="21"/>
                <w:lang w:val="en-US" w:eastAsia="zh-CN"/>
              </w:rPr>
              <w:t>废滤芯</w:t>
            </w:r>
          </w:p>
        </w:tc>
        <w:tc>
          <w:tcPr>
            <w:tcW w:w="1600" w:type="dxa"/>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eastAsia" w:cs="Times New Roman"/>
                <w:lang w:val="en-US" w:eastAsia="zh-CN"/>
              </w:rPr>
            </w:pPr>
            <w:r>
              <w:rPr>
                <w:rFonts w:hint="default" w:ascii="Times New Roman" w:hAnsi="Times New Roman" w:cs="Times New Roman"/>
                <w:b w:val="0"/>
                <w:bCs w:val="0"/>
                <w:sz w:val="21"/>
                <w:szCs w:val="21"/>
                <w:lang w:val="en-US" w:eastAsia="zh-CN"/>
              </w:rPr>
              <w:t>/</w:t>
            </w:r>
          </w:p>
        </w:tc>
        <w:tc>
          <w:tcPr>
            <w:tcW w:w="1276" w:type="dxa"/>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eastAsia" w:cs="Times New Roman"/>
                <w:lang w:val="en-US" w:eastAsia="zh-CN"/>
              </w:rPr>
            </w:pPr>
            <w:r>
              <w:rPr>
                <w:rFonts w:hint="default" w:ascii="Times New Roman" w:hAnsi="Times New Roman" w:cs="Times New Roman"/>
                <w:sz w:val="21"/>
                <w:szCs w:val="21"/>
                <w:lang w:val="en-US" w:eastAsia="zh-CN"/>
              </w:rPr>
              <w:t>/</w:t>
            </w:r>
          </w:p>
        </w:tc>
        <w:tc>
          <w:tcPr>
            <w:tcW w:w="1401" w:type="dxa"/>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eastAsia" w:cs="Times New Roman"/>
                <w:lang w:val="en-US" w:eastAsia="zh-CN"/>
              </w:rPr>
            </w:pPr>
            <w:r>
              <w:rPr>
                <w:rFonts w:hint="default" w:ascii="Times New Roman" w:hAnsi="Times New Roman" w:cs="Times New Roman"/>
                <w:sz w:val="21"/>
                <w:szCs w:val="21"/>
                <w:lang w:val="en-US" w:eastAsia="zh-CN"/>
              </w:rPr>
              <w:t>/</w:t>
            </w:r>
          </w:p>
        </w:tc>
        <w:tc>
          <w:tcPr>
            <w:tcW w:w="1538"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eastAsia" w:cs="Times New Roman"/>
                <w:lang w:val="en-US" w:eastAsia="zh-CN"/>
              </w:rPr>
            </w:pPr>
            <w:r>
              <w:rPr>
                <w:rFonts w:hint="default" w:ascii="Times New Roman" w:hAnsi="Times New Roman" w:cs="Times New Roman"/>
                <w:lang w:val="en-US" w:eastAsia="zh-CN"/>
              </w:rPr>
              <w:t>0.</w:t>
            </w:r>
            <w:r>
              <w:rPr>
                <w:rFonts w:hint="eastAsia" w:cs="Times New Roman"/>
                <w:lang w:val="en-US" w:eastAsia="zh-CN"/>
              </w:rPr>
              <w:t>2t/a</w:t>
            </w:r>
          </w:p>
        </w:tc>
        <w:tc>
          <w:tcPr>
            <w:tcW w:w="1256" w:type="dxa"/>
            <w:vAlign w:val="center"/>
          </w:tcPr>
          <w:p>
            <w:pPr>
              <w:pStyle w:val="6"/>
              <w:suppressLineNumbers w:val="0"/>
              <w:bidi w:val="0"/>
              <w:spacing w:before="0" w:beforeAutospacing="0" w:after="0" w:afterAutospacing="0"/>
              <w:ind w:left="0" w:leftChars="0" w:right="0" w:rightChars="0" w:firstLine="0" w:firstLineChars="0"/>
              <w:rPr>
                <w:rFonts w:hint="eastAsia" w:cs="Times New Roman"/>
                <w:lang w:val="en-US" w:eastAsia="zh-CN"/>
              </w:rPr>
            </w:pPr>
            <w:r>
              <w:rPr>
                <w:rFonts w:hint="default" w:ascii="Times New Roman" w:hAnsi="Times New Roman" w:cs="Times New Roman"/>
                <w:lang w:val="en-US" w:eastAsia="zh-CN"/>
              </w:rPr>
              <w:t>/</w:t>
            </w:r>
          </w:p>
        </w:tc>
        <w:tc>
          <w:tcPr>
            <w:tcW w:w="1875"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eastAsia"/>
                <w:lang w:val="en-US" w:eastAsia="zh-CN"/>
              </w:rPr>
            </w:pPr>
            <w:r>
              <w:rPr>
                <w:rFonts w:hint="default" w:ascii="Times New Roman" w:hAnsi="Times New Roman" w:cs="Times New Roman"/>
                <w:lang w:val="en-US" w:eastAsia="zh-CN"/>
              </w:rPr>
              <w:t>0.</w:t>
            </w:r>
            <w:r>
              <w:rPr>
                <w:rFonts w:hint="eastAsia" w:cs="Times New Roman"/>
                <w:lang w:val="en-US" w:eastAsia="zh-CN"/>
              </w:rPr>
              <w:t>2t/a</w:t>
            </w:r>
          </w:p>
        </w:tc>
        <w:tc>
          <w:tcPr>
            <w:tcW w:w="17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eastAsia"/>
                <w:lang w:val="en-US" w:eastAsia="zh-CN"/>
              </w:rPr>
            </w:pPr>
            <w:r>
              <w:rPr>
                <w:rFonts w:hint="eastAsia" w:cs="Times New Roman"/>
                <w:lang w:val="en-US" w:eastAsia="zh-CN"/>
              </w:rPr>
              <w:t>+</w:t>
            </w:r>
            <w:r>
              <w:rPr>
                <w:rFonts w:hint="default" w:ascii="Times New Roman" w:hAnsi="Times New Roman" w:cs="Times New Roman"/>
                <w:lang w:val="en-US" w:eastAsia="zh-CN"/>
              </w:rPr>
              <w:t>0.</w:t>
            </w:r>
            <w:r>
              <w:rPr>
                <w:rFonts w:hint="eastAsia" w:cs="Times New Roman"/>
                <w:lang w:val="en-US" w:eastAsia="zh-CN"/>
              </w:rPr>
              <w:t>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0" w:type="dxa"/>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生活垃圾</w:t>
            </w:r>
          </w:p>
        </w:tc>
        <w:tc>
          <w:tcPr>
            <w:tcW w:w="19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lang w:val="en-US" w:eastAsia="zh-CN"/>
              </w:rPr>
              <w:t>生活垃圾</w:t>
            </w:r>
          </w:p>
        </w:tc>
        <w:tc>
          <w:tcPr>
            <w:tcW w:w="1600" w:type="dxa"/>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3.84</w:t>
            </w:r>
            <w:r>
              <w:rPr>
                <w:rFonts w:hint="default" w:ascii="Times New Roman" w:hAnsi="Times New Roman" w:cs="Times New Roman"/>
                <w:b w:val="0"/>
                <w:bCs w:val="0"/>
                <w:sz w:val="21"/>
                <w:szCs w:val="21"/>
                <w:lang w:val="en-US" w:eastAsia="zh-CN"/>
              </w:rPr>
              <w:t>t/a</w:t>
            </w:r>
          </w:p>
        </w:tc>
        <w:tc>
          <w:tcPr>
            <w:tcW w:w="1276" w:type="dxa"/>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401" w:type="dxa"/>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538"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lang w:val="en-US" w:eastAsia="zh-CN"/>
              </w:rPr>
              <w:t>1.</w:t>
            </w:r>
            <w:r>
              <w:rPr>
                <w:rFonts w:hint="eastAsia" w:cs="Times New Roman"/>
                <w:lang w:val="en-US" w:eastAsia="zh-CN"/>
              </w:rPr>
              <w:t>2t/a</w:t>
            </w:r>
          </w:p>
        </w:tc>
        <w:tc>
          <w:tcPr>
            <w:tcW w:w="1256" w:type="dxa"/>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w:t>
            </w:r>
          </w:p>
        </w:tc>
        <w:tc>
          <w:tcPr>
            <w:tcW w:w="1875" w:type="dxa"/>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lang w:val="en-US" w:eastAsia="zh-CN"/>
              </w:rPr>
            </w:pPr>
            <w:r>
              <w:rPr>
                <w:rFonts w:hint="eastAsia" w:cs="Times New Roman"/>
                <w:b w:val="0"/>
                <w:bCs w:val="0"/>
                <w:sz w:val="21"/>
                <w:szCs w:val="21"/>
                <w:lang w:val="en-US" w:eastAsia="zh-CN"/>
              </w:rPr>
              <w:t>5.04</w:t>
            </w:r>
            <w:r>
              <w:rPr>
                <w:rFonts w:hint="default" w:ascii="Times New Roman" w:hAnsi="Times New Roman" w:cs="Times New Roman"/>
                <w:b w:val="0"/>
                <w:bCs w:val="0"/>
                <w:sz w:val="21"/>
                <w:szCs w:val="21"/>
                <w:lang w:val="en-US" w:eastAsia="zh-CN"/>
              </w:rPr>
              <w:t>t/a</w:t>
            </w:r>
          </w:p>
        </w:tc>
        <w:tc>
          <w:tcPr>
            <w:tcW w:w="17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eastAsia" w:cs="Times New Roman"/>
                <w:lang w:val="en-US" w:eastAsia="zh-CN"/>
              </w:rPr>
              <w:t>+</w:t>
            </w:r>
            <w:r>
              <w:rPr>
                <w:rFonts w:hint="default" w:ascii="Times New Roman" w:hAnsi="Times New Roman" w:cs="Times New Roman"/>
                <w:lang w:val="en-US" w:eastAsia="zh-CN"/>
              </w:rPr>
              <w:t>1.</w:t>
            </w:r>
            <w:r>
              <w:rPr>
                <w:rFonts w:hint="eastAsia" w:cs="Times New Roman"/>
                <w:lang w:val="en-US" w:eastAsia="zh-CN"/>
              </w:rPr>
              <w:t>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0" w:type="dxa"/>
            <w:vMerge w:val="restart"/>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危险废物</w:t>
            </w:r>
          </w:p>
        </w:tc>
        <w:tc>
          <w:tcPr>
            <w:tcW w:w="19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lang w:val="en-US" w:eastAsia="zh-CN"/>
              </w:rPr>
              <w:t>废润滑油</w:t>
            </w:r>
          </w:p>
        </w:tc>
        <w:tc>
          <w:tcPr>
            <w:tcW w:w="1600"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sz w:val="21"/>
                <w:szCs w:val="21"/>
                <w:lang w:val="en-US" w:eastAsia="zh-CN"/>
              </w:rPr>
              <w:t>/</w:t>
            </w:r>
          </w:p>
        </w:tc>
        <w:tc>
          <w:tcPr>
            <w:tcW w:w="1276" w:type="dxa"/>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401" w:type="dxa"/>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538"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rPr>
              <w:t>0.2t/a</w:t>
            </w:r>
          </w:p>
        </w:tc>
        <w:tc>
          <w:tcPr>
            <w:tcW w:w="1256" w:type="dxa"/>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w:t>
            </w:r>
          </w:p>
        </w:tc>
        <w:tc>
          <w:tcPr>
            <w:tcW w:w="1875" w:type="dxa"/>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val="0"/>
                <w:sz w:val="21"/>
                <w:szCs w:val="21"/>
                <w:lang w:val="en-US" w:eastAsia="zh-CN"/>
              </w:rPr>
            </w:pPr>
            <w:r>
              <w:rPr>
                <w:rFonts w:hint="default" w:ascii="Times New Roman" w:hAnsi="Times New Roman" w:cs="Times New Roman"/>
              </w:rPr>
              <w:t>0.2t/a</w:t>
            </w:r>
          </w:p>
        </w:tc>
        <w:tc>
          <w:tcPr>
            <w:tcW w:w="17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eastAsia" w:cs="Times New Roman"/>
                <w:lang w:val="en-US" w:eastAsia="zh-CN"/>
              </w:rPr>
              <w:t>+</w:t>
            </w:r>
            <w:r>
              <w:rPr>
                <w:rFonts w:hint="default" w:ascii="Times New Roman" w:hAnsi="Times New Roman" w:cs="Times New Roman"/>
              </w:rPr>
              <w:t>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0" w:type="dxa"/>
            <w:vMerge w:val="continue"/>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p>
        </w:tc>
        <w:tc>
          <w:tcPr>
            <w:tcW w:w="19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lang w:val="en-US" w:eastAsia="zh-CN"/>
              </w:rPr>
              <w:t>废润滑油桶</w:t>
            </w:r>
          </w:p>
        </w:tc>
        <w:tc>
          <w:tcPr>
            <w:tcW w:w="1600"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sz w:val="21"/>
                <w:szCs w:val="21"/>
                <w:lang w:val="en-US" w:eastAsia="zh-CN"/>
              </w:rPr>
              <w:t>/</w:t>
            </w:r>
          </w:p>
        </w:tc>
        <w:tc>
          <w:tcPr>
            <w:tcW w:w="1276" w:type="dxa"/>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401" w:type="dxa"/>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sz w:val="21"/>
                <w:szCs w:val="21"/>
                <w:lang w:val="en-US" w:eastAsia="zh-CN"/>
              </w:rPr>
              <w:t>/</w:t>
            </w:r>
          </w:p>
        </w:tc>
        <w:tc>
          <w:tcPr>
            <w:tcW w:w="1538"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default" w:ascii="Times New Roman" w:hAnsi="Times New Roman" w:cs="Times New Roman"/>
                <w:lang w:val="en-US" w:eastAsia="zh-CN"/>
              </w:rPr>
              <w:t>0.02t/a</w:t>
            </w:r>
          </w:p>
        </w:tc>
        <w:tc>
          <w:tcPr>
            <w:tcW w:w="1256" w:type="dxa"/>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rPr>
            </w:pPr>
            <w:r>
              <w:rPr>
                <w:rFonts w:hint="default" w:ascii="Times New Roman" w:hAnsi="Times New Roman" w:cs="Times New Roman"/>
                <w:lang w:val="en-US" w:eastAsia="zh-CN"/>
              </w:rPr>
              <w:t>/</w:t>
            </w:r>
          </w:p>
        </w:tc>
        <w:tc>
          <w:tcPr>
            <w:tcW w:w="1875" w:type="dxa"/>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val="0"/>
                <w:sz w:val="21"/>
                <w:szCs w:val="21"/>
                <w:lang w:val="en-US" w:eastAsia="zh-CN"/>
              </w:rPr>
            </w:pPr>
            <w:r>
              <w:rPr>
                <w:rFonts w:hint="default" w:ascii="Times New Roman" w:hAnsi="Times New Roman" w:cs="Times New Roman"/>
                <w:lang w:val="en-US" w:eastAsia="zh-CN"/>
              </w:rPr>
              <w:t>0.02t/a</w:t>
            </w:r>
          </w:p>
        </w:tc>
        <w:tc>
          <w:tcPr>
            <w:tcW w:w="17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eastAsia" w:cs="Times New Roman"/>
                <w:lang w:val="en-US" w:eastAsia="zh-CN"/>
              </w:rPr>
              <w:t>+</w:t>
            </w:r>
            <w:r>
              <w:rPr>
                <w:rFonts w:hint="default" w:ascii="Times New Roman" w:hAnsi="Times New Roman" w:cs="Times New Roman"/>
                <w:lang w:val="en-US" w:eastAsia="zh-CN"/>
              </w:rPr>
              <w:t>0.02t/a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0" w:type="dxa"/>
            <w:vMerge w:val="continue"/>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p>
        </w:tc>
        <w:tc>
          <w:tcPr>
            <w:tcW w:w="19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废液压油</w:t>
            </w:r>
          </w:p>
        </w:tc>
        <w:tc>
          <w:tcPr>
            <w:tcW w:w="1600" w:type="dxa"/>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sz w:val="21"/>
                <w:szCs w:val="21"/>
                <w:lang w:val="en-US" w:eastAsia="zh-CN"/>
              </w:rPr>
              <w:t>/</w:t>
            </w:r>
          </w:p>
        </w:tc>
        <w:tc>
          <w:tcPr>
            <w:tcW w:w="127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sz w:val="21"/>
                <w:szCs w:val="21"/>
                <w:lang w:val="en-US" w:eastAsia="zh-CN"/>
              </w:rPr>
              <w:t>/</w:t>
            </w:r>
          </w:p>
        </w:tc>
        <w:tc>
          <w:tcPr>
            <w:tcW w:w="1401"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sz w:val="21"/>
                <w:szCs w:val="21"/>
                <w:lang w:val="en-US" w:eastAsia="zh-CN"/>
              </w:rPr>
              <w:t>/</w:t>
            </w:r>
          </w:p>
        </w:tc>
        <w:tc>
          <w:tcPr>
            <w:tcW w:w="1538"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0.5t/a</w:t>
            </w:r>
          </w:p>
        </w:tc>
        <w:tc>
          <w:tcPr>
            <w:tcW w:w="1256" w:type="dxa"/>
            <w:vAlign w:val="center"/>
          </w:tcPr>
          <w:p>
            <w:pPr>
              <w:pStyle w:val="6"/>
              <w:suppressLineNumbers w:val="0"/>
              <w:bidi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val="en-US" w:eastAsia="zh-CN"/>
              </w:rPr>
              <w:t>/</w:t>
            </w:r>
          </w:p>
        </w:tc>
        <w:tc>
          <w:tcPr>
            <w:tcW w:w="1875" w:type="dxa"/>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val="0"/>
                <w:sz w:val="21"/>
                <w:szCs w:val="21"/>
                <w:lang w:val="en-US" w:eastAsia="zh-CN"/>
              </w:rPr>
            </w:pPr>
            <w:r>
              <w:rPr>
                <w:rFonts w:hint="default" w:ascii="Times New Roman" w:hAnsi="Times New Roman" w:cs="Times New Roman"/>
                <w:lang w:val="en-US" w:eastAsia="zh-CN"/>
              </w:rPr>
              <w:t>0.5t/a</w:t>
            </w:r>
          </w:p>
        </w:tc>
        <w:tc>
          <w:tcPr>
            <w:tcW w:w="17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0"/>
                <w:lang w:val="en-US" w:eastAsia="zh-CN" w:bidi="ar-SA"/>
              </w:rPr>
            </w:pPr>
            <w:r>
              <w:rPr>
                <w:rFonts w:hint="eastAsia" w:cs="Times New Roman"/>
                <w:lang w:val="en-US" w:eastAsia="zh-CN"/>
              </w:rPr>
              <w:t>+</w:t>
            </w:r>
            <w:r>
              <w:rPr>
                <w:rFonts w:hint="default" w:ascii="Times New Roman" w:hAnsi="Times New Roman" w:cs="Times New Roman"/>
                <w:lang w:val="en-US" w:eastAsia="zh-CN"/>
              </w:rPr>
              <w:t>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0" w:type="dxa"/>
            <w:vMerge w:val="continue"/>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p>
        </w:tc>
        <w:tc>
          <w:tcPr>
            <w:tcW w:w="19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废液压油桶</w:t>
            </w:r>
          </w:p>
        </w:tc>
        <w:tc>
          <w:tcPr>
            <w:tcW w:w="1600" w:type="dxa"/>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7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1401"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1538"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0.05t/a</w:t>
            </w:r>
          </w:p>
        </w:tc>
        <w:tc>
          <w:tcPr>
            <w:tcW w:w="1256" w:type="dxa"/>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875" w:type="dxa"/>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0.05t/a</w:t>
            </w:r>
          </w:p>
        </w:tc>
        <w:tc>
          <w:tcPr>
            <w:tcW w:w="17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eastAsia" w:cs="Times New Roman"/>
                <w:lang w:val="en-US" w:eastAsia="zh-CN"/>
              </w:rPr>
              <w:t>+</w:t>
            </w:r>
            <w:r>
              <w:rPr>
                <w:rFonts w:hint="default" w:ascii="Times New Roman" w:hAnsi="Times New Roman" w:cs="Times New Roman"/>
                <w:lang w:val="en-US" w:eastAsia="zh-CN"/>
              </w:rPr>
              <w:t>0.05t/a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0" w:type="dxa"/>
            <w:vMerge w:val="continue"/>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rPr>
            </w:pPr>
          </w:p>
        </w:tc>
        <w:tc>
          <w:tcPr>
            <w:tcW w:w="193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eastAsia" w:cs="Times New Roman"/>
                <w:lang w:val="en-US" w:eastAsia="zh-CN"/>
              </w:rPr>
              <w:t>废活性炭</w:t>
            </w:r>
          </w:p>
        </w:tc>
        <w:tc>
          <w:tcPr>
            <w:tcW w:w="1600" w:type="dxa"/>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76"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1401"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1538" w:type="dxa"/>
            <w:shd w:val="clear" w:color="auto" w:fill="auto"/>
            <w:vAlign w:val="center"/>
          </w:tcPr>
          <w:p>
            <w:pPr>
              <w:pStyle w:val="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eastAsia" w:cs="Times New Roman"/>
                <w:lang w:val="en-US" w:eastAsia="zh-CN"/>
              </w:rPr>
              <w:t>2.16t/a</w:t>
            </w:r>
          </w:p>
        </w:tc>
        <w:tc>
          <w:tcPr>
            <w:tcW w:w="1256" w:type="dxa"/>
            <w:vAlign w:val="center"/>
          </w:tcPr>
          <w:p>
            <w:pPr>
              <w:pStyle w:val="6"/>
              <w:suppressLineNumbers w:val="0"/>
              <w:bidi w:val="0"/>
              <w:spacing w:before="0" w:beforeAutospacing="0" w:after="0" w:afterAutospacing="0"/>
              <w:ind w:left="0" w:leftChars="0" w:right="0" w:righ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875" w:type="dxa"/>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2.16t/a</w:t>
            </w:r>
          </w:p>
        </w:tc>
        <w:tc>
          <w:tcPr>
            <w:tcW w:w="1736" w:type="dxa"/>
            <w:shd w:val="clear" w:color="auto" w:fill="auto"/>
            <w:vAlign w:val="center"/>
          </w:tcPr>
          <w:p>
            <w:pPr>
              <w:pStyle w:val="6"/>
              <w:suppressLineNumbers w:val="0"/>
              <w:bidi w:val="0"/>
              <w:spacing w:before="0" w:beforeAutospacing="0" w:after="0" w:afterAutospacing="0"/>
              <w:ind w:left="0" w:right="0"/>
              <w:rPr>
                <w:rFonts w:hint="default"/>
                <w:lang w:val="en-US" w:eastAsia="zh-CN"/>
              </w:rPr>
            </w:pPr>
            <w:r>
              <w:rPr>
                <w:rFonts w:hint="eastAsia"/>
                <w:lang w:val="en-US" w:eastAsia="zh-CN"/>
              </w:rPr>
              <w:t>+2.16t/a</w:t>
            </w:r>
          </w:p>
        </w:tc>
      </w:tr>
    </w:tbl>
    <w:p>
      <w:pPr>
        <w:pStyle w:val="81"/>
        <w:spacing w:before="192" w:beforeLines="80" w:after="24"/>
        <w:jc w:val="left"/>
        <w:rPr>
          <w:rFonts w:hint="default" w:ascii="Times New Roman" w:hAnsi="Times New Roman" w:cs="Times New Roman"/>
        </w:rPr>
      </w:pPr>
      <w:r>
        <w:rPr>
          <w:rFonts w:hint="default" w:ascii="Times New Roman" w:hAnsi="Times New Roman" w:cs="Times New Roman"/>
          <w:snapToGrid w:val="0"/>
          <w:color w:val="000000"/>
          <w:kern w:val="21"/>
          <w:szCs w:val="21"/>
          <w:highlight w:val="none"/>
        </w:rPr>
        <w:t>注：</w:t>
      </w:r>
      <w:r>
        <w:rPr>
          <w:rFonts w:hint="default" w:ascii="Times New Roman" w:hAnsi="Times New Roman" w:cs="Times New Roman"/>
          <w:snapToGrid w:val="0"/>
          <w:color w:val="000000"/>
          <w:spacing w:val="-16"/>
          <w:kern w:val="21"/>
          <w:szCs w:val="21"/>
          <w:highlight w:val="none"/>
        </w:rPr>
        <w:fldChar w:fldCharType="begin"/>
      </w:r>
      <w:r>
        <w:rPr>
          <w:rFonts w:hint="default" w:ascii="Times New Roman" w:hAnsi="Times New Roman" w:cs="Times New Roman"/>
          <w:snapToGrid w:val="0"/>
          <w:color w:val="000000"/>
          <w:spacing w:val="-16"/>
          <w:kern w:val="21"/>
          <w:szCs w:val="21"/>
          <w:highlight w:val="none"/>
        </w:rPr>
        <w:instrText xml:space="preserve"> = 6 \* GB3 \* MERGEFORMAT </w:instrText>
      </w:r>
      <w:r>
        <w:rPr>
          <w:rFonts w:hint="default" w:ascii="Times New Roman" w:hAnsi="Times New Roman" w:cs="Times New Roman"/>
          <w:snapToGrid w:val="0"/>
          <w:color w:val="000000"/>
          <w:spacing w:val="-16"/>
          <w:kern w:val="21"/>
          <w:szCs w:val="21"/>
          <w:highlight w:val="none"/>
        </w:rPr>
        <w:fldChar w:fldCharType="separate"/>
      </w:r>
      <w:r>
        <w:rPr>
          <w:rFonts w:hint="default" w:ascii="Times New Roman" w:hAnsi="Times New Roman" w:cs="Times New Roman"/>
          <w:color w:val="000000"/>
          <w:szCs w:val="21"/>
          <w:highlight w:val="none"/>
        </w:rPr>
        <w:t>⑥</w:t>
      </w:r>
      <w:r>
        <w:rPr>
          <w:rFonts w:hint="default" w:ascii="Times New Roman" w:hAnsi="Times New Roman" w:cs="Times New Roman"/>
          <w:snapToGrid w:val="0"/>
          <w:color w:val="000000"/>
          <w:spacing w:val="-16"/>
          <w:kern w:val="21"/>
          <w:szCs w:val="21"/>
          <w:highlight w:val="none"/>
        </w:rPr>
        <w:fldChar w:fldCharType="end"/>
      </w:r>
      <w:r>
        <w:rPr>
          <w:rFonts w:hint="default" w:ascii="Times New Roman" w:hAnsi="Times New Roman" w:cs="Times New Roman"/>
          <w:snapToGrid w:val="0"/>
          <w:color w:val="000000"/>
          <w:spacing w:val="-16"/>
          <w:kern w:val="21"/>
          <w:szCs w:val="21"/>
          <w:highlight w:val="none"/>
        </w:rPr>
        <w:t>=</w:t>
      </w:r>
      <w:r>
        <w:rPr>
          <w:rFonts w:hint="default" w:ascii="Times New Roman" w:hAnsi="Times New Roman" w:cs="Times New Roman"/>
          <w:snapToGrid w:val="0"/>
          <w:color w:val="000000"/>
          <w:spacing w:val="-6"/>
          <w:kern w:val="21"/>
          <w:szCs w:val="21"/>
          <w:highlight w:val="none"/>
        </w:rPr>
        <w:fldChar w:fldCharType="begin"/>
      </w:r>
      <w:r>
        <w:rPr>
          <w:rFonts w:hint="default" w:ascii="Times New Roman" w:hAnsi="Times New Roman" w:cs="Times New Roman"/>
          <w:snapToGrid w:val="0"/>
          <w:color w:val="000000"/>
          <w:spacing w:val="-6"/>
          <w:kern w:val="21"/>
          <w:szCs w:val="21"/>
          <w:highlight w:val="none"/>
        </w:rPr>
        <w:instrText xml:space="preserve"> = 1 \* GB3 \* MERGEFORMAT </w:instrText>
      </w:r>
      <w:r>
        <w:rPr>
          <w:rFonts w:hint="default" w:ascii="Times New Roman" w:hAnsi="Times New Roman" w:cs="Times New Roman"/>
          <w:snapToGrid w:val="0"/>
          <w:color w:val="000000"/>
          <w:spacing w:val="-6"/>
          <w:kern w:val="21"/>
          <w:szCs w:val="21"/>
          <w:highlight w:val="none"/>
        </w:rPr>
        <w:fldChar w:fldCharType="separate"/>
      </w:r>
      <w:r>
        <w:rPr>
          <w:rFonts w:hint="default" w:ascii="Times New Roman" w:hAnsi="Times New Roman" w:cs="Times New Roman"/>
          <w:color w:val="000000"/>
          <w:szCs w:val="21"/>
          <w:highlight w:val="none"/>
        </w:rPr>
        <w:t>①</w:t>
      </w:r>
      <w:r>
        <w:rPr>
          <w:rFonts w:hint="default" w:ascii="Times New Roman" w:hAnsi="Times New Roman" w:cs="Times New Roman"/>
          <w:snapToGrid w:val="0"/>
          <w:color w:val="000000"/>
          <w:spacing w:val="-6"/>
          <w:kern w:val="21"/>
          <w:szCs w:val="21"/>
          <w:highlight w:val="none"/>
        </w:rPr>
        <w:fldChar w:fldCharType="end"/>
      </w:r>
      <w:r>
        <w:rPr>
          <w:rFonts w:hint="default" w:ascii="Times New Roman" w:hAnsi="Times New Roman" w:cs="Times New Roman"/>
          <w:snapToGrid w:val="0"/>
          <w:color w:val="000000"/>
          <w:spacing w:val="-6"/>
          <w:kern w:val="21"/>
          <w:szCs w:val="21"/>
          <w:highlight w:val="none"/>
        </w:rPr>
        <w:t>+</w:t>
      </w:r>
      <w:r>
        <w:rPr>
          <w:rFonts w:hint="default" w:ascii="Times New Roman" w:hAnsi="Times New Roman" w:cs="Times New Roman"/>
          <w:snapToGrid w:val="0"/>
          <w:color w:val="000000"/>
          <w:spacing w:val="-6"/>
          <w:kern w:val="21"/>
          <w:szCs w:val="21"/>
          <w:highlight w:val="none"/>
        </w:rPr>
        <w:fldChar w:fldCharType="begin"/>
      </w:r>
      <w:r>
        <w:rPr>
          <w:rFonts w:hint="default" w:ascii="Times New Roman" w:hAnsi="Times New Roman" w:cs="Times New Roman"/>
          <w:snapToGrid w:val="0"/>
          <w:color w:val="000000"/>
          <w:spacing w:val="-6"/>
          <w:kern w:val="21"/>
          <w:szCs w:val="21"/>
          <w:highlight w:val="none"/>
        </w:rPr>
        <w:instrText xml:space="preserve"> = 3 \* GB3 \* MERGEFORMAT </w:instrText>
      </w:r>
      <w:r>
        <w:rPr>
          <w:rFonts w:hint="default" w:ascii="Times New Roman" w:hAnsi="Times New Roman" w:cs="Times New Roman"/>
          <w:snapToGrid w:val="0"/>
          <w:color w:val="000000"/>
          <w:spacing w:val="-6"/>
          <w:kern w:val="21"/>
          <w:szCs w:val="21"/>
          <w:highlight w:val="none"/>
        </w:rPr>
        <w:fldChar w:fldCharType="separate"/>
      </w:r>
      <w:r>
        <w:rPr>
          <w:rFonts w:hint="default" w:ascii="Times New Roman" w:hAnsi="Times New Roman" w:cs="Times New Roman"/>
          <w:color w:val="000000"/>
          <w:szCs w:val="21"/>
          <w:highlight w:val="none"/>
        </w:rPr>
        <w:t>③</w:t>
      </w:r>
      <w:r>
        <w:rPr>
          <w:rFonts w:hint="default" w:ascii="Times New Roman" w:hAnsi="Times New Roman" w:cs="Times New Roman"/>
          <w:snapToGrid w:val="0"/>
          <w:color w:val="000000"/>
          <w:spacing w:val="-6"/>
          <w:kern w:val="21"/>
          <w:szCs w:val="21"/>
          <w:highlight w:val="none"/>
        </w:rPr>
        <w:fldChar w:fldCharType="end"/>
      </w:r>
      <w:r>
        <w:rPr>
          <w:rFonts w:hint="default" w:ascii="Times New Roman" w:hAnsi="Times New Roman" w:cs="Times New Roman"/>
          <w:snapToGrid w:val="0"/>
          <w:color w:val="000000"/>
          <w:spacing w:val="-6"/>
          <w:kern w:val="21"/>
          <w:szCs w:val="21"/>
          <w:highlight w:val="none"/>
        </w:rPr>
        <w:t>+</w:t>
      </w:r>
      <w:r>
        <w:rPr>
          <w:rFonts w:hint="default" w:ascii="Times New Roman" w:hAnsi="Times New Roman" w:cs="Times New Roman"/>
          <w:snapToGrid w:val="0"/>
          <w:color w:val="000000"/>
          <w:spacing w:val="-6"/>
          <w:kern w:val="21"/>
          <w:szCs w:val="21"/>
          <w:highlight w:val="none"/>
        </w:rPr>
        <w:fldChar w:fldCharType="begin"/>
      </w:r>
      <w:r>
        <w:rPr>
          <w:rFonts w:hint="default" w:ascii="Times New Roman" w:hAnsi="Times New Roman" w:cs="Times New Roman"/>
          <w:snapToGrid w:val="0"/>
          <w:color w:val="000000"/>
          <w:spacing w:val="-6"/>
          <w:kern w:val="21"/>
          <w:szCs w:val="21"/>
          <w:highlight w:val="none"/>
        </w:rPr>
        <w:instrText xml:space="preserve"> = 4 \* GB3 \* MERGEFORMAT </w:instrText>
      </w:r>
      <w:r>
        <w:rPr>
          <w:rFonts w:hint="default" w:ascii="Times New Roman" w:hAnsi="Times New Roman" w:cs="Times New Roman"/>
          <w:snapToGrid w:val="0"/>
          <w:color w:val="000000"/>
          <w:spacing w:val="-6"/>
          <w:kern w:val="21"/>
          <w:szCs w:val="21"/>
          <w:highlight w:val="none"/>
        </w:rPr>
        <w:fldChar w:fldCharType="separate"/>
      </w:r>
      <w:r>
        <w:rPr>
          <w:rFonts w:hint="default" w:ascii="Times New Roman" w:hAnsi="Times New Roman" w:cs="Times New Roman"/>
          <w:color w:val="000000"/>
          <w:szCs w:val="21"/>
          <w:highlight w:val="none"/>
        </w:rPr>
        <w:t>④</w:t>
      </w:r>
      <w:r>
        <w:rPr>
          <w:rFonts w:hint="default" w:ascii="Times New Roman" w:hAnsi="Times New Roman" w:cs="Times New Roman"/>
          <w:snapToGrid w:val="0"/>
          <w:color w:val="000000"/>
          <w:spacing w:val="-6"/>
          <w:kern w:val="21"/>
          <w:szCs w:val="21"/>
          <w:highlight w:val="none"/>
        </w:rPr>
        <w:fldChar w:fldCharType="end"/>
      </w:r>
      <w:r>
        <w:rPr>
          <w:rFonts w:hint="default" w:ascii="Times New Roman" w:hAnsi="Times New Roman" w:cs="Times New Roman"/>
          <w:snapToGrid w:val="0"/>
          <w:color w:val="000000"/>
          <w:spacing w:val="-6"/>
          <w:kern w:val="21"/>
          <w:szCs w:val="21"/>
          <w:highlight w:val="none"/>
        </w:rPr>
        <w:t>-</w:t>
      </w:r>
      <w:r>
        <w:rPr>
          <w:rFonts w:hint="default" w:ascii="Times New Roman" w:hAnsi="Times New Roman" w:cs="Times New Roman"/>
          <w:snapToGrid w:val="0"/>
          <w:color w:val="000000"/>
          <w:spacing w:val="-16"/>
          <w:kern w:val="21"/>
          <w:szCs w:val="21"/>
          <w:highlight w:val="none"/>
        </w:rPr>
        <w:fldChar w:fldCharType="begin"/>
      </w:r>
      <w:r>
        <w:rPr>
          <w:rFonts w:hint="default" w:ascii="Times New Roman" w:hAnsi="Times New Roman" w:cs="Times New Roman"/>
          <w:snapToGrid w:val="0"/>
          <w:color w:val="000000"/>
          <w:spacing w:val="-16"/>
          <w:kern w:val="21"/>
          <w:szCs w:val="21"/>
          <w:highlight w:val="none"/>
        </w:rPr>
        <w:instrText xml:space="preserve"> = 5 \* GB3 \* MERGEFORMAT </w:instrText>
      </w:r>
      <w:r>
        <w:rPr>
          <w:rFonts w:hint="default" w:ascii="Times New Roman" w:hAnsi="Times New Roman" w:cs="Times New Roman"/>
          <w:snapToGrid w:val="0"/>
          <w:color w:val="000000"/>
          <w:spacing w:val="-16"/>
          <w:kern w:val="21"/>
          <w:szCs w:val="21"/>
          <w:highlight w:val="none"/>
        </w:rPr>
        <w:fldChar w:fldCharType="separate"/>
      </w:r>
      <w:r>
        <w:rPr>
          <w:rFonts w:hint="default" w:ascii="Times New Roman" w:hAnsi="Times New Roman" w:cs="Times New Roman"/>
          <w:color w:val="000000"/>
          <w:szCs w:val="21"/>
          <w:highlight w:val="none"/>
        </w:rPr>
        <w:t>⑤</w:t>
      </w:r>
      <w:r>
        <w:rPr>
          <w:rFonts w:hint="default" w:ascii="Times New Roman" w:hAnsi="Times New Roman" w:cs="Times New Roman"/>
          <w:snapToGrid w:val="0"/>
          <w:color w:val="000000"/>
          <w:spacing w:val="-16"/>
          <w:kern w:val="21"/>
          <w:szCs w:val="21"/>
          <w:highlight w:val="none"/>
        </w:rPr>
        <w:fldChar w:fldCharType="end"/>
      </w:r>
      <w:r>
        <w:rPr>
          <w:rFonts w:hint="default" w:ascii="Times New Roman" w:hAnsi="Times New Roman" w:cs="Times New Roman"/>
          <w:snapToGrid w:val="0"/>
          <w:color w:val="000000"/>
          <w:spacing w:val="-16"/>
          <w:kern w:val="21"/>
          <w:szCs w:val="21"/>
          <w:highlight w:val="none"/>
        </w:rPr>
        <w:t>；</w:t>
      </w:r>
      <w:r>
        <w:rPr>
          <w:rFonts w:hint="default" w:ascii="Times New Roman" w:hAnsi="Times New Roman" w:cs="Times New Roman"/>
          <w:snapToGrid w:val="0"/>
          <w:color w:val="000000"/>
          <w:spacing w:val="-6"/>
          <w:kern w:val="21"/>
          <w:szCs w:val="21"/>
          <w:highlight w:val="none"/>
        </w:rPr>
        <w:fldChar w:fldCharType="begin"/>
      </w:r>
      <w:r>
        <w:rPr>
          <w:rFonts w:hint="default" w:ascii="Times New Roman" w:hAnsi="Times New Roman" w:cs="Times New Roman"/>
          <w:snapToGrid w:val="0"/>
          <w:color w:val="000000"/>
          <w:spacing w:val="-6"/>
          <w:kern w:val="21"/>
          <w:szCs w:val="21"/>
          <w:highlight w:val="none"/>
        </w:rPr>
        <w:instrText xml:space="preserve"> = 7 \* GB3 \* MERGEFORMAT </w:instrText>
      </w:r>
      <w:r>
        <w:rPr>
          <w:rFonts w:hint="default" w:ascii="Times New Roman" w:hAnsi="Times New Roman" w:cs="Times New Roman"/>
          <w:snapToGrid w:val="0"/>
          <w:color w:val="000000"/>
          <w:spacing w:val="-6"/>
          <w:kern w:val="21"/>
          <w:szCs w:val="21"/>
          <w:highlight w:val="none"/>
        </w:rPr>
        <w:fldChar w:fldCharType="separate"/>
      </w:r>
      <w:r>
        <w:rPr>
          <w:rFonts w:hint="default" w:ascii="Times New Roman" w:hAnsi="Times New Roman" w:cs="Times New Roman"/>
          <w:color w:val="000000"/>
          <w:szCs w:val="21"/>
          <w:highlight w:val="none"/>
        </w:rPr>
        <w:t>⑦</w:t>
      </w:r>
      <w:r>
        <w:rPr>
          <w:rFonts w:hint="default" w:ascii="Times New Roman" w:hAnsi="Times New Roman" w:cs="Times New Roman"/>
          <w:snapToGrid w:val="0"/>
          <w:color w:val="000000"/>
          <w:spacing w:val="-6"/>
          <w:kern w:val="21"/>
          <w:szCs w:val="21"/>
          <w:highlight w:val="none"/>
        </w:rPr>
        <w:fldChar w:fldCharType="end"/>
      </w:r>
      <w:r>
        <w:rPr>
          <w:rFonts w:hint="default" w:ascii="Times New Roman" w:hAnsi="Times New Roman" w:cs="Times New Roman"/>
          <w:snapToGrid w:val="0"/>
          <w:color w:val="000000"/>
          <w:spacing w:val="-6"/>
          <w:kern w:val="21"/>
          <w:szCs w:val="21"/>
          <w:highlight w:val="none"/>
        </w:rPr>
        <w:t>=</w:t>
      </w:r>
      <w:r>
        <w:rPr>
          <w:rFonts w:hint="default" w:ascii="Times New Roman" w:hAnsi="Times New Roman" w:cs="Times New Roman"/>
          <w:snapToGrid w:val="0"/>
          <w:color w:val="000000"/>
          <w:spacing w:val="-16"/>
          <w:kern w:val="21"/>
          <w:szCs w:val="21"/>
          <w:highlight w:val="none"/>
        </w:rPr>
        <w:fldChar w:fldCharType="begin"/>
      </w:r>
      <w:r>
        <w:rPr>
          <w:rFonts w:hint="default" w:ascii="Times New Roman" w:hAnsi="Times New Roman" w:cs="Times New Roman"/>
          <w:snapToGrid w:val="0"/>
          <w:color w:val="000000"/>
          <w:spacing w:val="-16"/>
          <w:kern w:val="21"/>
          <w:szCs w:val="21"/>
          <w:highlight w:val="none"/>
        </w:rPr>
        <w:instrText xml:space="preserve"> = 6 \* GB3 \* MERGEFORMAT </w:instrText>
      </w:r>
      <w:r>
        <w:rPr>
          <w:rFonts w:hint="default" w:ascii="Times New Roman" w:hAnsi="Times New Roman" w:cs="Times New Roman"/>
          <w:snapToGrid w:val="0"/>
          <w:color w:val="000000"/>
          <w:spacing w:val="-16"/>
          <w:kern w:val="21"/>
          <w:szCs w:val="21"/>
          <w:highlight w:val="none"/>
        </w:rPr>
        <w:fldChar w:fldCharType="separate"/>
      </w:r>
      <w:r>
        <w:rPr>
          <w:rFonts w:hint="default" w:ascii="Times New Roman" w:hAnsi="Times New Roman" w:cs="Times New Roman"/>
          <w:color w:val="000000"/>
          <w:szCs w:val="21"/>
          <w:highlight w:val="none"/>
        </w:rPr>
        <w:t>⑥</w:t>
      </w:r>
      <w:r>
        <w:rPr>
          <w:rFonts w:hint="default" w:ascii="Times New Roman" w:hAnsi="Times New Roman" w:cs="Times New Roman"/>
          <w:snapToGrid w:val="0"/>
          <w:color w:val="000000"/>
          <w:spacing w:val="-16"/>
          <w:kern w:val="21"/>
          <w:szCs w:val="21"/>
          <w:highlight w:val="none"/>
        </w:rPr>
        <w:fldChar w:fldCharType="end"/>
      </w:r>
      <w:r>
        <w:rPr>
          <w:rFonts w:hint="default" w:ascii="Times New Roman" w:hAnsi="Times New Roman" w:cs="Times New Roman"/>
          <w:snapToGrid w:val="0"/>
          <w:color w:val="000000"/>
          <w:spacing w:val="-16"/>
          <w:kern w:val="21"/>
          <w:szCs w:val="21"/>
          <w:highlight w:val="none"/>
        </w:rPr>
        <w:t>-</w:t>
      </w:r>
      <w:r>
        <w:rPr>
          <w:rFonts w:hint="default" w:ascii="Times New Roman" w:hAnsi="Times New Roman" w:cs="Times New Roman"/>
          <w:snapToGrid w:val="0"/>
          <w:color w:val="000000"/>
          <w:spacing w:val="-6"/>
          <w:kern w:val="21"/>
          <w:szCs w:val="21"/>
          <w:highlight w:val="none"/>
        </w:rPr>
        <w:fldChar w:fldCharType="begin"/>
      </w:r>
      <w:r>
        <w:rPr>
          <w:rFonts w:hint="default" w:ascii="Times New Roman" w:hAnsi="Times New Roman" w:cs="Times New Roman"/>
          <w:snapToGrid w:val="0"/>
          <w:color w:val="000000"/>
          <w:spacing w:val="-6"/>
          <w:kern w:val="21"/>
          <w:szCs w:val="21"/>
          <w:highlight w:val="none"/>
        </w:rPr>
        <w:instrText xml:space="preserve"> = 1 \* GB3 \* MERGEFORMAT </w:instrText>
      </w:r>
      <w:r>
        <w:rPr>
          <w:rFonts w:hint="default" w:ascii="Times New Roman" w:hAnsi="Times New Roman" w:cs="Times New Roman"/>
          <w:snapToGrid w:val="0"/>
          <w:color w:val="000000"/>
          <w:spacing w:val="-6"/>
          <w:kern w:val="21"/>
          <w:szCs w:val="21"/>
          <w:highlight w:val="none"/>
        </w:rPr>
        <w:fldChar w:fldCharType="separate"/>
      </w:r>
      <w:r>
        <w:rPr>
          <w:rFonts w:hint="default" w:ascii="Times New Roman" w:hAnsi="Times New Roman" w:cs="Times New Roman"/>
          <w:color w:val="000000"/>
          <w:szCs w:val="21"/>
          <w:highlight w:val="none"/>
        </w:rPr>
        <w:t>①</w:t>
      </w:r>
      <w:r>
        <w:rPr>
          <w:rFonts w:hint="default" w:ascii="Times New Roman" w:hAnsi="Times New Roman" w:cs="Times New Roman"/>
          <w:snapToGrid w:val="0"/>
          <w:color w:val="000000"/>
          <w:spacing w:val="-6"/>
          <w:kern w:val="21"/>
          <w:szCs w:val="21"/>
          <w:highlight w:val="none"/>
        </w:rPr>
        <w:fldChar w:fldCharType="end"/>
      </w:r>
    </w:p>
    <w:sectPr>
      <w:headerReference r:id="rId8" w:type="default"/>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numberInDash"/>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6B0D475-C274-4FBB-8ACD-0639A21EC9E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标宋体">
    <w:altName w:val="黑体"/>
    <w:panose1 w:val="00000000000000000000"/>
    <w:charset w:val="86"/>
    <w:family w:val="modern"/>
    <w:pitch w:val="default"/>
    <w:sig w:usb0="00000000" w:usb1="00000000" w:usb2="0000001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2" w:fontKey="{787E4A91-E802-4410-87EB-D619536FC792}"/>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PAGE   \* MERGEFORMAT</w:instrText>
    </w:r>
    <w:r>
      <w:fldChar w:fldCharType="separate"/>
    </w:r>
    <w:r>
      <w:rPr>
        <w:lang w:val="zh-CN"/>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tabs>
        <w:tab w:val="clear" w:pos="4153"/>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F7A473"/>
    <w:multiLevelType w:val="singleLevel"/>
    <w:tmpl w:val="3CF7A473"/>
    <w:lvl w:ilvl="0" w:tentative="0">
      <w:start w:val="1"/>
      <w:numFmt w:val="bullet"/>
      <w:pStyle w:val="18"/>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5NDAxZmVkNWY3ZGQ0N2FjNDM2ODMxODRkZThlYmQifQ=="/>
  </w:docVars>
  <w:rsids>
    <w:rsidRoot w:val="00A14947"/>
    <w:rsid w:val="00004855"/>
    <w:rsid w:val="000060B3"/>
    <w:rsid w:val="000145DC"/>
    <w:rsid w:val="00015065"/>
    <w:rsid w:val="000152AE"/>
    <w:rsid w:val="00023176"/>
    <w:rsid w:val="00023EFC"/>
    <w:rsid w:val="00034E2C"/>
    <w:rsid w:val="00037AAE"/>
    <w:rsid w:val="000421A9"/>
    <w:rsid w:val="00042319"/>
    <w:rsid w:val="0004364B"/>
    <w:rsid w:val="00047136"/>
    <w:rsid w:val="000472B4"/>
    <w:rsid w:val="00061B1F"/>
    <w:rsid w:val="00071987"/>
    <w:rsid w:val="000733C4"/>
    <w:rsid w:val="00074783"/>
    <w:rsid w:val="00076FE1"/>
    <w:rsid w:val="0008070B"/>
    <w:rsid w:val="000810AC"/>
    <w:rsid w:val="00081A02"/>
    <w:rsid w:val="00082231"/>
    <w:rsid w:val="00086718"/>
    <w:rsid w:val="00087070"/>
    <w:rsid w:val="00087C6B"/>
    <w:rsid w:val="00091A31"/>
    <w:rsid w:val="00092D38"/>
    <w:rsid w:val="0009377B"/>
    <w:rsid w:val="000A14BB"/>
    <w:rsid w:val="000A20C9"/>
    <w:rsid w:val="000A34EC"/>
    <w:rsid w:val="000A5706"/>
    <w:rsid w:val="000B058F"/>
    <w:rsid w:val="000B4271"/>
    <w:rsid w:val="000B4467"/>
    <w:rsid w:val="000B4DB9"/>
    <w:rsid w:val="000C09AC"/>
    <w:rsid w:val="000C3449"/>
    <w:rsid w:val="000C4D7F"/>
    <w:rsid w:val="000C767F"/>
    <w:rsid w:val="000C799C"/>
    <w:rsid w:val="000D432B"/>
    <w:rsid w:val="000D496E"/>
    <w:rsid w:val="000D5A44"/>
    <w:rsid w:val="000D6914"/>
    <w:rsid w:val="000D7805"/>
    <w:rsid w:val="000E3ED2"/>
    <w:rsid w:val="000F3D43"/>
    <w:rsid w:val="000F40C8"/>
    <w:rsid w:val="000F4591"/>
    <w:rsid w:val="000F518D"/>
    <w:rsid w:val="000F6179"/>
    <w:rsid w:val="0010136C"/>
    <w:rsid w:val="001024DB"/>
    <w:rsid w:val="00107686"/>
    <w:rsid w:val="0011545F"/>
    <w:rsid w:val="001155E1"/>
    <w:rsid w:val="00117177"/>
    <w:rsid w:val="00120F14"/>
    <w:rsid w:val="00122FFE"/>
    <w:rsid w:val="00124A6A"/>
    <w:rsid w:val="00131803"/>
    <w:rsid w:val="00131F42"/>
    <w:rsid w:val="001340CC"/>
    <w:rsid w:val="00134ABA"/>
    <w:rsid w:val="001357F1"/>
    <w:rsid w:val="00140FA8"/>
    <w:rsid w:val="00142FEB"/>
    <w:rsid w:val="00143A2D"/>
    <w:rsid w:val="001442A4"/>
    <w:rsid w:val="00145A41"/>
    <w:rsid w:val="00151675"/>
    <w:rsid w:val="00151A04"/>
    <w:rsid w:val="0015265A"/>
    <w:rsid w:val="0015597A"/>
    <w:rsid w:val="00156594"/>
    <w:rsid w:val="00157435"/>
    <w:rsid w:val="00174B90"/>
    <w:rsid w:val="0017504D"/>
    <w:rsid w:val="00175E47"/>
    <w:rsid w:val="0017671A"/>
    <w:rsid w:val="00177422"/>
    <w:rsid w:val="00184590"/>
    <w:rsid w:val="00184E83"/>
    <w:rsid w:val="001865C7"/>
    <w:rsid w:val="001870D1"/>
    <w:rsid w:val="0018781E"/>
    <w:rsid w:val="0019262D"/>
    <w:rsid w:val="00194BFB"/>
    <w:rsid w:val="00195546"/>
    <w:rsid w:val="001967C8"/>
    <w:rsid w:val="001A103E"/>
    <w:rsid w:val="001A1430"/>
    <w:rsid w:val="001A18CD"/>
    <w:rsid w:val="001A1B35"/>
    <w:rsid w:val="001A48A2"/>
    <w:rsid w:val="001A4AC3"/>
    <w:rsid w:val="001A6F61"/>
    <w:rsid w:val="001B1003"/>
    <w:rsid w:val="001B314F"/>
    <w:rsid w:val="001B3A8D"/>
    <w:rsid w:val="001B72B8"/>
    <w:rsid w:val="001C132C"/>
    <w:rsid w:val="001C22C8"/>
    <w:rsid w:val="001C48A5"/>
    <w:rsid w:val="001C6428"/>
    <w:rsid w:val="001C69B3"/>
    <w:rsid w:val="001C6DE6"/>
    <w:rsid w:val="001D21B3"/>
    <w:rsid w:val="001D243A"/>
    <w:rsid w:val="001D5595"/>
    <w:rsid w:val="001D5C1B"/>
    <w:rsid w:val="001D7874"/>
    <w:rsid w:val="001D7F22"/>
    <w:rsid w:val="001E1A94"/>
    <w:rsid w:val="001E2D73"/>
    <w:rsid w:val="001E51EF"/>
    <w:rsid w:val="001E6925"/>
    <w:rsid w:val="001F0F17"/>
    <w:rsid w:val="001F1147"/>
    <w:rsid w:val="001F3347"/>
    <w:rsid w:val="001F3E6F"/>
    <w:rsid w:val="001F585C"/>
    <w:rsid w:val="001F6170"/>
    <w:rsid w:val="001F69E4"/>
    <w:rsid w:val="001F6EB0"/>
    <w:rsid w:val="00200B10"/>
    <w:rsid w:val="002043D3"/>
    <w:rsid w:val="002112B7"/>
    <w:rsid w:val="002125B4"/>
    <w:rsid w:val="00212C06"/>
    <w:rsid w:val="002155B8"/>
    <w:rsid w:val="00216C50"/>
    <w:rsid w:val="00221277"/>
    <w:rsid w:val="00223644"/>
    <w:rsid w:val="00223F11"/>
    <w:rsid w:val="00224839"/>
    <w:rsid w:val="002249B2"/>
    <w:rsid w:val="002262B7"/>
    <w:rsid w:val="00226574"/>
    <w:rsid w:val="002278EC"/>
    <w:rsid w:val="0023280E"/>
    <w:rsid w:val="002350A4"/>
    <w:rsid w:val="0023590A"/>
    <w:rsid w:val="002377D1"/>
    <w:rsid w:val="00242A8E"/>
    <w:rsid w:val="00243B90"/>
    <w:rsid w:val="00244F5E"/>
    <w:rsid w:val="00247807"/>
    <w:rsid w:val="002506BC"/>
    <w:rsid w:val="00254345"/>
    <w:rsid w:val="00257D21"/>
    <w:rsid w:val="002604E1"/>
    <w:rsid w:val="00261CA9"/>
    <w:rsid w:val="00261DA1"/>
    <w:rsid w:val="00264557"/>
    <w:rsid w:val="00271646"/>
    <w:rsid w:val="00271D79"/>
    <w:rsid w:val="002747A9"/>
    <w:rsid w:val="00275EAA"/>
    <w:rsid w:val="002805AB"/>
    <w:rsid w:val="00280EA0"/>
    <w:rsid w:val="002821AE"/>
    <w:rsid w:val="00283E55"/>
    <w:rsid w:val="00284204"/>
    <w:rsid w:val="00285EDB"/>
    <w:rsid w:val="00287865"/>
    <w:rsid w:val="00291773"/>
    <w:rsid w:val="0029324B"/>
    <w:rsid w:val="00294C31"/>
    <w:rsid w:val="002A07A2"/>
    <w:rsid w:val="002A168C"/>
    <w:rsid w:val="002A2FEE"/>
    <w:rsid w:val="002A3DC7"/>
    <w:rsid w:val="002B251D"/>
    <w:rsid w:val="002B39B9"/>
    <w:rsid w:val="002B49E2"/>
    <w:rsid w:val="002B56DA"/>
    <w:rsid w:val="002B6699"/>
    <w:rsid w:val="002B6D95"/>
    <w:rsid w:val="002B7B00"/>
    <w:rsid w:val="002B7C44"/>
    <w:rsid w:val="002C0BDD"/>
    <w:rsid w:val="002C2B17"/>
    <w:rsid w:val="002C30D3"/>
    <w:rsid w:val="002D1A9F"/>
    <w:rsid w:val="002D3912"/>
    <w:rsid w:val="002D3DD0"/>
    <w:rsid w:val="002D7674"/>
    <w:rsid w:val="002E1F3A"/>
    <w:rsid w:val="002E298A"/>
    <w:rsid w:val="002E4D5A"/>
    <w:rsid w:val="002E532B"/>
    <w:rsid w:val="002F58EB"/>
    <w:rsid w:val="00301978"/>
    <w:rsid w:val="00302909"/>
    <w:rsid w:val="0030332C"/>
    <w:rsid w:val="003051C2"/>
    <w:rsid w:val="00306FAB"/>
    <w:rsid w:val="00311764"/>
    <w:rsid w:val="00311AAE"/>
    <w:rsid w:val="00312296"/>
    <w:rsid w:val="00313440"/>
    <w:rsid w:val="00314CB4"/>
    <w:rsid w:val="00314F0E"/>
    <w:rsid w:val="00317C70"/>
    <w:rsid w:val="003213EB"/>
    <w:rsid w:val="00321AE8"/>
    <w:rsid w:val="00321D8E"/>
    <w:rsid w:val="00322817"/>
    <w:rsid w:val="00322D79"/>
    <w:rsid w:val="00323550"/>
    <w:rsid w:val="00325928"/>
    <w:rsid w:val="00326B51"/>
    <w:rsid w:val="00331569"/>
    <w:rsid w:val="00332863"/>
    <w:rsid w:val="00332A28"/>
    <w:rsid w:val="00335044"/>
    <w:rsid w:val="0033684D"/>
    <w:rsid w:val="00337B42"/>
    <w:rsid w:val="0034133F"/>
    <w:rsid w:val="00341B42"/>
    <w:rsid w:val="0034348F"/>
    <w:rsid w:val="003436B3"/>
    <w:rsid w:val="00345433"/>
    <w:rsid w:val="0034677B"/>
    <w:rsid w:val="003512DB"/>
    <w:rsid w:val="00356653"/>
    <w:rsid w:val="0035743F"/>
    <w:rsid w:val="00357BE2"/>
    <w:rsid w:val="0036170C"/>
    <w:rsid w:val="003623FC"/>
    <w:rsid w:val="00364F8D"/>
    <w:rsid w:val="003652B8"/>
    <w:rsid w:val="003662BD"/>
    <w:rsid w:val="00366D8D"/>
    <w:rsid w:val="00366E0F"/>
    <w:rsid w:val="00370A8A"/>
    <w:rsid w:val="00371408"/>
    <w:rsid w:val="003735DF"/>
    <w:rsid w:val="00373F20"/>
    <w:rsid w:val="00373FC2"/>
    <w:rsid w:val="00375917"/>
    <w:rsid w:val="00375AB4"/>
    <w:rsid w:val="00381A72"/>
    <w:rsid w:val="00384676"/>
    <w:rsid w:val="00384A31"/>
    <w:rsid w:val="00385558"/>
    <w:rsid w:val="003867F7"/>
    <w:rsid w:val="00390857"/>
    <w:rsid w:val="003969A8"/>
    <w:rsid w:val="003A4BF3"/>
    <w:rsid w:val="003B18CA"/>
    <w:rsid w:val="003B365E"/>
    <w:rsid w:val="003B420D"/>
    <w:rsid w:val="003B6917"/>
    <w:rsid w:val="003C2B62"/>
    <w:rsid w:val="003C3B06"/>
    <w:rsid w:val="003C6665"/>
    <w:rsid w:val="003C6A8C"/>
    <w:rsid w:val="003C6C16"/>
    <w:rsid w:val="003D794D"/>
    <w:rsid w:val="003E1B6E"/>
    <w:rsid w:val="003E1BD9"/>
    <w:rsid w:val="003E29A3"/>
    <w:rsid w:val="003E2F68"/>
    <w:rsid w:val="003E3058"/>
    <w:rsid w:val="003E4330"/>
    <w:rsid w:val="003E622A"/>
    <w:rsid w:val="003E76A9"/>
    <w:rsid w:val="003F0809"/>
    <w:rsid w:val="003F31D4"/>
    <w:rsid w:val="003F58D4"/>
    <w:rsid w:val="003F6A8C"/>
    <w:rsid w:val="003F7170"/>
    <w:rsid w:val="003F755C"/>
    <w:rsid w:val="00402B6C"/>
    <w:rsid w:val="00406F01"/>
    <w:rsid w:val="00411038"/>
    <w:rsid w:val="004131AA"/>
    <w:rsid w:val="00416D50"/>
    <w:rsid w:val="00416FD5"/>
    <w:rsid w:val="00417772"/>
    <w:rsid w:val="004208DC"/>
    <w:rsid w:val="00420E6A"/>
    <w:rsid w:val="00425A9E"/>
    <w:rsid w:val="00426730"/>
    <w:rsid w:val="00426D6B"/>
    <w:rsid w:val="004308D3"/>
    <w:rsid w:val="00431E6C"/>
    <w:rsid w:val="004324F2"/>
    <w:rsid w:val="0043338E"/>
    <w:rsid w:val="00433CE7"/>
    <w:rsid w:val="00435D6A"/>
    <w:rsid w:val="0043689D"/>
    <w:rsid w:val="004369E2"/>
    <w:rsid w:val="00452738"/>
    <w:rsid w:val="00454A2B"/>
    <w:rsid w:val="00456091"/>
    <w:rsid w:val="00456EFD"/>
    <w:rsid w:val="004577E4"/>
    <w:rsid w:val="00460D78"/>
    <w:rsid w:val="00462320"/>
    <w:rsid w:val="00465335"/>
    <w:rsid w:val="00466321"/>
    <w:rsid w:val="0046677F"/>
    <w:rsid w:val="004747B5"/>
    <w:rsid w:val="0047673A"/>
    <w:rsid w:val="0048378F"/>
    <w:rsid w:val="00484B9B"/>
    <w:rsid w:val="004855F6"/>
    <w:rsid w:val="0048661E"/>
    <w:rsid w:val="004868E4"/>
    <w:rsid w:val="0048776F"/>
    <w:rsid w:val="004923B5"/>
    <w:rsid w:val="0049288F"/>
    <w:rsid w:val="00493D0D"/>
    <w:rsid w:val="00494670"/>
    <w:rsid w:val="00496349"/>
    <w:rsid w:val="004A2660"/>
    <w:rsid w:val="004A30B7"/>
    <w:rsid w:val="004A3823"/>
    <w:rsid w:val="004B0FF6"/>
    <w:rsid w:val="004B1B21"/>
    <w:rsid w:val="004B1E38"/>
    <w:rsid w:val="004C3E8E"/>
    <w:rsid w:val="004C3F72"/>
    <w:rsid w:val="004C5BDD"/>
    <w:rsid w:val="004D5490"/>
    <w:rsid w:val="004D56A5"/>
    <w:rsid w:val="004D77B1"/>
    <w:rsid w:val="004E36A1"/>
    <w:rsid w:val="004E5314"/>
    <w:rsid w:val="004E6946"/>
    <w:rsid w:val="004E6997"/>
    <w:rsid w:val="004E71A2"/>
    <w:rsid w:val="004E7D2C"/>
    <w:rsid w:val="004E7DE9"/>
    <w:rsid w:val="004F0D31"/>
    <w:rsid w:val="004F1AD8"/>
    <w:rsid w:val="004F3506"/>
    <w:rsid w:val="004F6477"/>
    <w:rsid w:val="004F7927"/>
    <w:rsid w:val="005039CB"/>
    <w:rsid w:val="005044F3"/>
    <w:rsid w:val="005052C2"/>
    <w:rsid w:val="0050558F"/>
    <w:rsid w:val="00505EAE"/>
    <w:rsid w:val="00506286"/>
    <w:rsid w:val="005072AC"/>
    <w:rsid w:val="00510082"/>
    <w:rsid w:val="00510813"/>
    <w:rsid w:val="00510864"/>
    <w:rsid w:val="00511990"/>
    <w:rsid w:val="00511DE0"/>
    <w:rsid w:val="00512377"/>
    <w:rsid w:val="00514870"/>
    <w:rsid w:val="00514B9B"/>
    <w:rsid w:val="00517F02"/>
    <w:rsid w:val="0052135B"/>
    <w:rsid w:val="00524303"/>
    <w:rsid w:val="005258A2"/>
    <w:rsid w:val="00527271"/>
    <w:rsid w:val="005314C8"/>
    <w:rsid w:val="005335F1"/>
    <w:rsid w:val="00534994"/>
    <w:rsid w:val="00535DC7"/>
    <w:rsid w:val="005401AE"/>
    <w:rsid w:val="005420F5"/>
    <w:rsid w:val="0054278B"/>
    <w:rsid w:val="00542E07"/>
    <w:rsid w:val="00545424"/>
    <w:rsid w:val="0054734B"/>
    <w:rsid w:val="005534DB"/>
    <w:rsid w:val="00554A7B"/>
    <w:rsid w:val="0055572C"/>
    <w:rsid w:val="0056106A"/>
    <w:rsid w:val="00561F7B"/>
    <w:rsid w:val="00563246"/>
    <w:rsid w:val="0056337A"/>
    <w:rsid w:val="00563870"/>
    <w:rsid w:val="00570FE4"/>
    <w:rsid w:val="00571389"/>
    <w:rsid w:val="005720AE"/>
    <w:rsid w:val="00574413"/>
    <w:rsid w:val="00577966"/>
    <w:rsid w:val="00584B0D"/>
    <w:rsid w:val="0058603A"/>
    <w:rsid w:val="005873FA"/>
    <w:rsid w:val="00591846"/>
    <w:rsid w:val="00593F60"/>
    <w:rsid w:val="00594687"/>
    <w:rsid w:val="00594D77"/>
    <w:rsid w:val="005969E4"/>
    <w:rsid w:val="005A06B7"/>
    <w:rsid w:val="005A1178"/>
    <w:rsid w:val="005A1759"/>
    <w:rsid w:val="005A1AE7"/>
    <w:rsid w:val="005A4258"/>
    <w:rsid w:val="005A68A7"/>
    <w:rsid w:val="005B5033"/>
    <w:rsid w:val="005B7AFF"/>
    <w:rsid w:val="005C1165"/>
    <w:rsid w:val="005C393B"/>
    <w:rsid w:val="005C42DF"/>
    <w:rsid w:val="005C5BD9"/>
    <w:rsid w:val="005D1BE3"/>
    <w:rsid w:val="005D2B23"/>
    <w:rsid w:val="005D36AB"/>
    <w:rsid w:val="005D4488"/>
    <w:rsid w:val="005D5B7E"/>
    <w:rsid w:val="005D7540"/>
    <w:rsid w:val="005D7F70"/>
    <w:rsid w:val="005E1D20"/>
    <w:rsid w:val="005E6BCF"/>
    <w:rsid w:val="005E6E0B"/>
    <w:rsid w:val="005F632C"/>
    <w:rsid w:val="005F779B"/>
    <w:rsid w:val="005F7821"/>
    <w:rsid w:val="00603735"/>
    <w:rsid w:val="006056CD"/>
    <w:rsid w:val="006173D5"/>
    <w:rsid w:val="00617CC3"/>
    <w:rsid w:val="00623A37"/>
    <w:rsid w:val="0062473E"/>
    <w:rsid w:val="00626A52"/>
    <w:rsid w:val="00632FE2"/>
    <w:rsid w:val="006368C2"/>
    <w:rsid w:val="006377A6"/>
    <w:rsid w:val="00637A3D"/>
    <w:rsid w:val="00640AAD"/>
    <w:rsid w:val="00640D7F"/>
    <w:rsid w:val="006411EF"/>
    <w:rsid w:val="00641286"/>
    <w:rsid w:val="00654EED"/>
    <w:rsid w:val="00663228"/>
    <w:rsid w:val="00667D2F"/>
    <w:rsid w:val="006722D9"/>
    <w:rsid w:val="006728FD"/>
    <w:rsid w:val="006748B8"/>
    <w:rsid w:val="006775C3"/>
    <w:rsid w:val="00681598"/>
    <w:rsid w:val="006825FC"/>
    <w:rsid w:val="00684A83"/>
    <w:rsid w:val="006861EA"/>
    <w:rsid w:val="006865DB"/>
    <w:rsid w:val="0069033A"/>
    <w:rsid w:val="00692552"/>
    <w:rsid w:val="0069290A"/>
    <w:rsid w:val="0069744B"/>
    <w:rsid w:val="0069775A"/>
    <w:rsid w:val="00697813"/>
    <w:rsid w:val="006A2754"/>
    <w:rsid w:val="006A3EE8"/>
    <w:rsid w:val="006A72BF"/>
    <w:rsid w:val="006A77D2"/>
    <w:rsid w:val="006B03F2"/>
    <w:rsid w:val="006B0D58"/>
    <w:rsid w:val="006B37DC"/>
    <w:rsid w:val="006B3852"/>
    <w:rsid w:val="006B4F68"/>
    <w:rsid w:val="006B7D28"/>
    <w:rsid w:val="006C0592"/>
    <w:rsid w:val="006C272E"/>
    <w:rsid w:val="006C4C39"/>
    <w:rsid w:val="006C5479"/>
    <w:rsid w:val="006C6167"/>
    <w:rsid w:val="006D02B5"/>
    <w:rsid w:val="006D13B5"/>
    <w:rsid w:val="006D15FD"/>
    <w:rsid w:val="006E12FF"/>
    <w:rsid w:val="006E4E80"/>
    <w:rsid w:val="006E607E"/>
    <w:rsid w:val="006F0A38"/>
    <w:rsid w:val="006F3953"/>
    <w:rsid w:val="006F5FE8"/>
    <w:rsid w:val="0070396F"/>
    <w:rsid w:val="00705AB7"/>
    <w:rsid w:val="00706C5D"/>
    <w:rsid w:val="007103E7"/>
    <w:rsid w:val="00710BD4"/>
    <w:rsid w:val="007132DA"/>
    <w:rsid w:val="00713C63"/>
    <w:rsid w:val="00715199"/>
    <w:rsid w:val="00715A07"/>
    <w:rsid w:val="007171C4"/>
    <w:rsid w:val="007171EC"/>
    <w:rsid w:val="00721B59"/>
    <w:rsid w:val="00723050"/>
    <w:rsid w:val="00724F83"/>
    <w:rsid w:val="00732922"/>
    <w:rsid w:val="00734837"/>
    <w:rsid w:val="007374F6"/>
    <w:rsid w:val="00737D08"/>
    <w:rsid w:val="00747959"/>
    <w:rsid w:val="00750ADD"/>
    <w:rsid w:val="0075162E"/>
    <w:rsid w:val="007526B7"/>
    <w:rsid w:val="00753239"/>
    <w:rsid w:val="00754034"/>
    <w:rsid w:val="00755794"/>
    <w:rsid w:val="00756556"/>
    <w:rsid w:val="00757908"/>
    <w:rsid w:val="00760CC1"/>
    <w:rsid w:val="007618C4"/>
    <w:rsid w:val="00767980"/>
    <w:rsid w:val="0077032D"/>
    <w:rsid w:val="00770B19"/>
    <w:rsid w:val="0077463F"/>
    <w:rsid w:val="00775AB9"/>
    <w:rsid w:val="00777851"/>
    <w:rsid w:val="0078147F"/>
    <w:rsid w:val="007836EA"/>
    <w:rsid w:val="00783F45"/>
    <w:rsid w:val="00784CDA"/>
    <w:rsid w:val="007906C4"/>
    <w:rsid w:val="007940EA"/>
    <w:rsid w:val="00794D44"/>
    <w:rsid w:val="00795B06"/>
    <w:rsid w:val="00795F85"/>
    <w:rsid w:val="007967E8"/>
    <w:rsid w:val="007A2170"/>
    <w:rsid w:val="007A22BF"/>
    <w:rsid w:val="007A3323"/>
    <w:rsid w:val="007A35A9"/>
    <w:rsid w:val="007A5F85"/>
    <w:rsid w:val="007B10EE"/>
    <w:rsid w:val="007B1812"/>
    <w:rsid w:val="007B1F8D"/>
    <w:rsid w:val="007B3110"/>
    <w:rsid w:val="007B4B18"/>
    <w:rsid w:val="007B5D91"/>
    <w:rsid w:val="007B72B8"/>
    <w:rsid w:val="007B79D2"/>
    <w:rsid w:val="007B7A58"/>
    <w:rsid w:val="007C08B2"/>
    <w:rsid w:val="007C21B5"/>
    <w:rsid w:val="007C53B3"/>
    <w:rsid w:val="007C569A"/>
    <w:rsid w:val="007C6DC5"/>
    <w:rsid w:val="007D0CDA"/>
    <w:rsid w:val="007D470F"/>
    <w:rsid w:val="007D4B6E"/>
    <w:rsid w:val="007E4BD2"/>
    <w:rsid w:val="007F399F"/>
    <w:rsid w:val="00801393"/>
    <w:rsid w:val="00802F88"/>
    <w:rsid w:val="00806B23"/>
    <w:rsid w:val="00807CE3"/>
    <w:rsid w:val="0081293E"/>
    <w:rsid w:val="0081540C"/>
    <w:rsid w:val="00815465"/>
    <w:rsid w:val="00815510"/>
    <w:rsid w:val="00817E9A"/>
    <w:rsid w:val="008306BD"/>
    <w:rsid w:val="00831A80"/>
    <w:rsid w:val="00833743"/>
    <w:rsid w:val="008340A4"/>
    <w:rsid w:val="008366E1"/>
    <w:rsid w:val="008375DB"/>
    <w:rsid w:val="00837F69"/>
    <w:rsid w:val="00847A0B"/>
    <w:rsid w:val="0085201E"/>
    <w:rsid w:val="00854462"/>
    <w:rsid w:val="00855F99"/>
    <w:rsid w:val="00862B3E"/>
    <w:rsid w:val="00864D7D"/>
    <w:rsid w:val="00870F94"/>
    <w:rsid w:val="00870FDE"/>
    <w:rsid w:val="0087135F"/>
    <w:rsid w:val="00872D94"/>
    <w:rsid w:val="008756CD"/>
    <w:rsid w:val="00876D9A"/>
    <w:rsid w:val="00877C17"/>
    <w:rsid w:val="00880364"/>
    <w:rsid w:val="00880FDB"/>
    <w:rsid w:val="00890A65"/>
    <w:rsid w:val="00891592"/>
    <w:rsid w:val="00891E9E"/>
    <w:rsid w:val="008948C4"/>
    <w:rsid w:val="00894D18"/>
    <w:rsid w:val="00897756"/>
    <w:rsid w:val="008A2F68"/>
    <w:rsid w:val="008A62C7"/>
    <w:rsid w:val="008B4FA6"/>
    <w:rsid w:val="008B5282"/>
    <w:rsid w:val="008B7C17"/>
    <w:rsid w:val="008C2826"/>
    <w:rsid w:val="008C2D01"/>
    <w:rsid w:val="008C40E6"/>
    <w:rsid w:val="008C4564"/>
    <w:rsid w:val="008C49B5"/>
    <w:rsid w:val="008C4B2B"/>
    <w:rsid w:val="008C664F"/>
    <w:rsid w:val="008C6B13"/>
    <w:rsid w:val="008D0F7A"/>
    <w:rsid w:val="008D2AE0"/>
    <w:rsid w:val="008D3212"/>
    <w:rsid w:val="008D3A1D"/>
    <w:rsid w:val="008D6284"/>
    <w:rsid w:val="008D68E4"/>
    <w:rsid w:val="008D7656"/>
    <w:rsid w:val="008E0506"/>
    <w:rsid w:val="008E0CFF"/>
    <w:rsid w:val="008E4598"/>
    <w:rsid w:val="008E5D6B"/>
    <w:rsid w:val="008E76F0"/>
    <w:rsid w:val="008F038F"/>
    <w:rsid w:val="008F11EB"/>
    <w:rsid w:val="008F15FE"/>
    <w:rsid w:val="008F2025"/>
    <w:rsid w:val="008F2D29"/>
    <w:rsid w:val="008F5187"/>
    <w:rsid w:val="008F60D8"/>
    <w:rsid w:val="009010BD"/>
    <w:rsid w:val="00902727"/>
    <w:rsid w:val="00902EDF"/>
    <w:rsid w:val="0090312B"/>
    <w:rsid w:val="00904059"/>
    <w:rsid w:val="009042AB"/>
    <w:rsid w:val="00906348"/>
    <w:rsid w:val="00907926"/>
    <w:rsid w:val="0091076F"/>
    <w:rsid w:val="00911C17"/>
    <w:rsid w:val="00914305"/>
    <w:rsid w:val="009161F0"/>
    <w:rsid w:val="0091736D"/>
    <w:rsid w:val="0092094C"/>
    <w:rsid w:val="009245C9"/>
    <w:rsid w:val="00927EA9"/>
    <w:rsid w:val="00927F71"/>
    <w:rsid w:val="0093037A"/>
    <w:rsid w:val="00932AC9"/>
    <w:rsid w:val="00936A2F"/>
    <w:rsid w:val="0094154D"/>
    <w:rsid w:val="009415AD"/>
    <w:rsid w:val="00941D47"/>
    <w:rsid w:val="009456DD"/>
    <w:rsid w:val="00946814"/>
    <w:rsid w:val="00946FCB"/>
    <w:rsid w:val="0095155F"/>
    <w:rsid w:val="00951D25"/>
    <w:rsid w:val="00954429"/>
    <w:rsid w:val="009563CE"/>
    <w:rsid w:val="0096125A"/>
    <w:rsid w:val="009646CC"/>
    <w:rsid w:val="009648A6"/>
    <w:rsid w:val="00966F99"/>
    <w:rsid w:val="00976328"/>
    <w:rsid w:val="0097680D"/>
    <w:rsid w:val="00982438"/>
    <w:rsid w:val="00983577"/>
    <w:rsid w:val="009835B1"/>
    <w:rsid w:val="0098404C"/>
    <w:rsid w:val="00985283"/>
    <w:rsid w:val="00993839"/>
    <w:rsid w:val="00994D3F"/>
    <w:rsid w:val="00995992"/>
    <w:rsid w:val="00996298"/>
    <w:rsid w:val="00996EAA"/>
    <w:rsid w:val="009A030A"/>
    <w:rsid w:val="009A03E5"/>
    <w:rsid w:val="009A0F3B"/>
    <w:rsid w:val="009A1BB4"/>
    <w:rsid w:val="009A23FE"/>
    <w:rsid w:val="009A2628"/>
    <w:rsid w:val="009A3200"/>
    <w:rsid w:val="009B0897"/>
    <w:rsid w:val="009B2ED9"/>
    <w:rsid w:val="009B73C8"/>
    <w:rsid w:val="009B7BD9"/>
    <w:rsid w:val="009C7DD5"/>
    <w:rsid w:val="009D05B9"/>
    <w:rsid w:val="009D1A74"/>
    <w:rsid w:val="009E1992"/>
    <w:rsid w:val="009E227D"/>
    <w:rsid w:val="009E48A8"/>
    <w:rsid w:val="009E4CCA"/>
    <w:rsid w:val="009E5019"/>
    <w:rsid w:val="009E6895"/>
    <w:rsid w:val="009F1B08"/>
    <w:rsid w:val="009F4066"/>
    <w:rsid w:val="009F42ED"/>
    <w:rsid w:val="00A007DB"/>
    <w:rsid w:val="00A04F1B"/>
    <w:rsid w:val="00A0501B"/>
    <w:rsid w:val="00A10993"/>
    <w:rsid w:val="00A14947"/>
    <w:rsid w:val="00A15709"/>
    <w:rsid w:val="00A20116"/>
    <w:rsid w:val="00A20E19"/>
    <w:rsid w:val="00A225DD"/>
    <w:rsid w:val="00A24522"/>
    <w:rsid w:val="00A24562"/>
    <w:rsid w:val="00A26202"/>
    <w:rsid w:val="00A32A83"/>
    <w:rsid w:val="00A368DB"/>
    <w:rsid w:val="00A37124"/>
    <w:rsid w:val="00A4002D"/>
    <w:rsid w:val="00A423AA"/>
    <w:rsid w:val="00A47D7E"/>
    <w:rsid w:val="00A50256"/>
    <w:rsid w:val="00A53EC6"/>
    <w:rsid w:val="00A55C0F"/>
    <w:rsid w:val="00A570A2"/>
    <w:rsid w:val="00A62473"/>
    <w:rsid w:val="00A62638"/>
    <w:rsid w:val="00A64C2B"/>
    <w:rsid w:val="00A714F5"/>
    <w:rsid w:val="00A73891"/>
    <w:rsid w:val="00A74D18"/>
    <w:rsid w:val="00A754A7"/>
    <w:rsid w:val="00A81446"/>
    <w:rsid w:val="00A8713F"/>
    <w:rsid w:val="00A90BA1"/>
    <w:rsid w:val="00A91E41"/>
    <w:rsid w:val="00A92EE3"/>
    <w:rsid w:val="00A9466E"/>
    <w:rsid w:val="00A97A9A"/>
    <w:rsid w:val="00A97E34"/>
    <w:rsid w:val="00AA0671"/>
    <w:rsid w:val="00AA2531"/>
    <w:rsid w:val="00AA29AE"/>
    <w:rsid w:val="00AA2E38"/>
    <w:rsid w:val="00AA601D"/>
    <w:rsid w:val="00AB1E09"/>
    <w:rsid w:val="00AB5330"/>
    <w:rsid w:val="00AB7747"/>
    <w:rsid w:val="00AC0C70"/>
    <w:rsid w:val="00AC14CE"/>
    <w:rsid w:val="00AC2A56"/>
    <w:rsid w:val="00AD055E"/>
    <w:rsid w:val="00AD1CB0"/>
    <w:rsid w:val="00AD47A7"/>
    <w:rsid w:val="00AD49AD"/>
    <w:rsid w:val="00AD5EB8"/>
    <w:rsid w:val="00AD7560"/>
    <w:rsid w:val="00AE17D6"/>
    <w:rsid w:val="00AF0287"/>
    <w:rsid w:val="00AF0CBF"/>
    <w:rsid w:val="00AF1882"/>
    <w:rsid w:val="00AF2408"/>
    <w:rsid w:val="00AF257F"/>
    <w:rsid w:val="00AF33CF"/>
    <w:rsid w:val="00AF4869"/>
    <w:rsid w:val="00AF4D50"/>
    <w:rsid w:val="00AF5A9F"/>
    <w:rsid w:val="00AF6179"/>
    <w:rsid w:val="00AF669F"/>
    <w:rsid w:val="00B04664"/>
    <w:rsid w:val="00B1295A"/>
    <w:rsid w:val="00B14114"/>
    <w:rsid w:val="00B142D8"/>
    <w:rsid w:val="00B163AE"/>
    <w:rsid w:val="00B17FFC"/>
    <w:rsid w:val="00B20A45"/>
    <w:rsid w:val="00B22C5C"/>
    <w:rsid w:val="00B23F3E"/>
    <w:rsid w:val="00B242F4"/>
    <w:rsid w:val="00B248C8"/>
    <w:rsid w:val="00B24F30"/>
    <w:rsid w:val="00B31ABF"/>
    <w:rsid w:val="00B31C21"/>
    <w:rsid w:val="00B3273F"/>
    <w:rsid w:val="00B32948"/>
    <w:rsid w:val="00B33293"/>
    <w:rsid w:val="00B33BE3"/>
    <w:rsid w:val="00B348AB"/>
    <w:rsid w:val="00B34A45"/>
    <w:rsid w:val="00B36B7E"/>
    <w:rsid w:val="00B40D1A"/>
    <w:rsid w:val="00B4230C"/>
    <w:rsid w:val="00B43304"/>
    <w:rsid w:val="00B44F4B"/>
    <w:rsid w:val="00B46C43"/>
    <w:rsid w:val="00B47AA5"/>
    <w:rsid w:val="00B47B83"/>
    <w:rsid w:val="00B53B5D"/>
    <w:rsid w:val="00B54A46"/>
    <w:rsid w:val="00B55365"/>
    <w:rsid w:val="00B60023"/>
    <w:rsid w:val="00B6055E"/>
    <w:rsid w:val="00B60BAE"/>
    <w:rsid w:val="00B6317D"/>
    <w:rsid w:val="00B63FA8"/>
    <w:rsid w:val="00B673D7"/>
    <w:rsid w:val="00B729FA"/>
    <w:rsid w:val="00B76ECF"/>
    <w:rsid w:val="00B7723F"/>
    <w:rsid w:val="00B80534"/>
    <w:rsid w:val="00B80C1A"/>
    <w:rsid w:val="00B83444"/>
    <w:rsid w:val="00B83E4E"/>
    <w:rsid w:val="00B8433C"/>
    <w:rsid w:val="00B84A84"/>
    <w:rsid w:val="00B84D81"/>
    <w:rsid w:val="00B87491"/>
    <w:rsid w:val="00B87534"/>
    <w:rsid w:val="00B96AD2"/>
    <w:rsid w:val="00BA0ED4"/>
    <w:rsid w:val="00BA1294"/>
    <w:rsid w:val="00BA29E9"/>
    <w:rsid w:val="00BA4C4E"/>
    <w:rsid w:val="00BA5B53"/>
    <w:rsid w:val="00BA6FF9"/>
    <w:rsid w:val="00BA7142"/>
    <w:rsid w:val="00BB1B4E"/>
    <w:rsid w:val="00BB237C"/>
    <w:rsid w:val="00BB41A3"/>
    <w:rsid w:val="00BB6E5E"/>
    <w:rsid w:val="00BC13ED"/>
    <w:rsid w:val="00BC1B44"/>
    <w:rsid w:val="00BC2686"/>
    <w:rsid w:val="00BC2773"/>
    <w:rsid w:val="00BC32DC"/>
    <w:rsid w:val="00BC35B6"/>
    <w:rsid w:val="00BC3AB0"/>
    <w:rsid w:val="00BC5976"/>
    <w:rsid w:val="00BC687F"/>
    <w:rsid w:val="00BD1491"/>
    <w:rsid w:val="00BD1B51"/>
    <w:rsid w:val="00BD33DD"/>
    <w:rsid w:val="00BD4596"/>
    <w:rsid w:val="00BE1405"/>
    <w:rsid w:val="00BE2034"/>
    <w:rsid w:val="00BE2DB3"/>
    <w:rsid w:val="00BE312D"/>
    <w:rsid w:val="00BF14F5"/>
    <w:rsid w:val="00BF1C20"/>
    <w:rsid w:val="00BF28CB"/>
    <w:rsid w:val="00BF3BAE"/>
    <w:rsid w:val="00C05A42"/>
    <w:rsid w:val="00C07166"/>
    <w:rsid w:val="00C10578"/>
    <w:rsid w:val="00C11882"/>
    <w:rsid w:val="00C135BC"/>
    <w:rsid w:val="00C14AC2"/>
    <w:rsid w:val="00C15C95"/>
    <w:rsid w:val="00C2008E"/>
    <w:rsid w:val="00C2596A"/>
    <w:rsid w:val="00C27281"/>
    <w:rsid w:val="00C27537"/>
    <w:rsid w:val="00C3077B"/>
    <w:rsid w:val="00C328FE"/>
    <w:rsid w:val="00C33507"/>
    <w:rsid w:val="00C36CA0"/>
    <w:rsid w:val="00C40A57"/>
    <w:rsid w:val="00C41959"/>
    <w:rsid w:val="00C4270D"/>
    <w:rsid w:val="00C4409D"/>
    <w:rsid w:val="00C44E72"/>
    <w:rsid w:val="00C45A06"/>
    <w:rsid w:val="00C45EF0"/>
    <w:rsid w:val="00C47BB7"/>
    <w:rsid w:val="00C47E5B"/>
    <w:rsid w:val="00C514DE"/>
    <w:rsid w:val="00C51D16"/>
    <w:rsid w:val="00C604E8"/>
    <w:rsid w:val="00C60A3D"/>
    <w:rsid w:val="00C61E4B"/>
    <w:rsid w:val="00C647CE"/>
    <w:rsid w:val="00C64BFF"/>
    <w:rsid w:val="00C6695E"/>
    <w:rsid w:val="00C66FAD"/>
    <w:rsid w:val="00C67EE3"/>
    <w:rsid w:val="00C704E9"/>
    <w:rsid w:val="00C74CF8"/>
    <w:rsid w:val="00C754FB"/>
    <w:rsid w:val="00C763C9"/>
    <w:rsid w:val="00C80057"/>
    <w:rsid w:val="00C82232"/>
    <w:rsid w:val="00C82913"/>
    <w:rsid w:val="00C83CB4"/>
    <w:rsid w:val="00C8671C"/>
    <w:rsid w:val="00C92EB3"/>
    <w:rsid w:val="00C960FA"/>
    <w:rsid w:val="00C96BC5"/>
    <w:rsid w:val="00C972B1"/>
    <w:rsid w:val="00C97A20"/>
    <w:rsid w:val="00CA0FFD"/>
    <w:rsid w:val="00CA2CCE"/>
    <w:rsid w:val="00CA3B3C"/>
    <w:rsid w:val="00CA43FD"/>
    <w:rsid w:val="00CA7EF8"/>
    <w:rsid w:val="00CB1840"/>
    <w:rsid w:val="00CB4EE1"/>
    <w:rsid w:val="00CC489B"/>
    <w:rsid w:val="00CC4CD9"/>
    <w:rsid w:val="00CD2BCD"/>
    <w:rsid w:val="00CD3A4C"/>
    <w:rsid w:val="00CD410C"/>
    <w:rsid w:val="00CD4D88"/>
    <w:rsid w:val="00CE10E9"/>
    <w:rsid w:val="00CE2296"/>
    <w:rsid w:val="00CE2910"/>
    <w:rsid w:val="00CE44AC"/>
    <w:rsid w:val="00CE5393"/>
    <w:rsid w:val="00CE678A"/>
    <w:rsid w:val="00CE6DCC"/>
    <w:rsid w:val="00CF3138"/>
    <w:rsid w:val="00CF36BE"/>
    <w:rsid w:val="00CF4369"/>
    <w:rsid w:val="00CF460D"/>
    <w:rsid w:val="00CF6000"/>
    <w:rsid w:val="00D003F3"/>
    <w:rsid w:val="00D0364F"/>
    <w:rsid w:val="00D05D4A"/>
    <w:rsid w:val="00D06834"/>
    <w:rsid w:val="00D10BB8"/>
    <w:rsid w:val="00D12A54"/>
    <w:rsid w:val="00D12DBF"/>
    <w:rsid w:val="00D13A1F"/>
    <w:rsid w:val="00D21BA2"/>
    <w:rsid w:val="00D24C48"/>
    <w:rsid w:val="00D306DD"/>
    <w:rsid w:val="00D308ED"/>
    <w:rsid w:val="00D344FE"/>
    <w:rsid w:val="00D348C2"/>
    <w:rsid w:val="00D35161"/>
    <w:rsid w:val="00D352B6"/>
    <w:rsid w:val="00D35735"/>
    <w:rsid w:val="00D36D86"/>
    <w:rsid w:val="00D428AA"/>
    <w:rsid w:val="00D47E20"/>
    <w:rsid w:val="00D50A34"/>
    <w:rsid w:val="00D53EFA"/>
    <w:rsid w:val="00D5695D"/>
    <w:rsid w:val="00D63803"/>
    <w:rsid w:val="00D82147"/>
    <w:rsid w:val="00D83F7B"/>
    <w:rsid w:val="00D9092D"/>
    <w:rsid w:val="00D92628"/>
    <w:rsid w:val="00D94A7C"/>
    <w:rsid w:val="00D95896"/>
    <w:rsid w:val="00DA5675"/>
    <w:rsid w:val="00DB0F4D"/>
    <w:rsid w:val="00DB2983"/>
    <w:rsid w:val="00DB51FE"/>
    <w:rsid w:val="00DB7D8C"/>
    <w:rsid w:val="00DB7F9A"/>
    <w:rsid w:val="00DC1257"/>
    <w:rsid w:val="00DC18B3"/>
    <w:rsid w:val="00DC3DC0"/>
    <w:rsid w:val="00DC5340"/>
    <w:rsid w:val="00DC5B2B"/>
    <w:rsid w:val="00DC62F3"/>
    <w:rsid w:val="00DC7953"/>
    <w:rsid w:val="00DD318D"/>
    <w:rsid w:val="00DD670F"/>
    <w:rsid w:val="00DD7DBE"/>
    <w:rsid w:val="00DE2F9C"/>
    <w:rsid w:val="00DE50FB"/>
    <w:rsid w:val="00DF1299"/>
    <w:rsid w:val="00DF2279"/>
    <w:rsid w:val="00DF2E12"/>
    <w:rsid w:val="00DF514A"/>
    <w:rsid w:val="00DF6690"/>
    <w:rsid w:val="00DF6804"/>
    <w:rsid w:val="00E0358D"/>
    <w:rsid w:val="00E04323"/>
    <w:rsid w:val="00E070A2"/>
    <w:rsid w:val="00E12319"/>
    <w:rsid w:val="00E145D5"/>
    <w:rsid w:val="00E24218"/>
    <w:rsid w:val="00E25D30"/>
    <w:rsid w:val="00E2656A"/>
    <w:rsid w:val="00E27F81"/>
    <w:rsid w:val="00E31B3B"/>
    <w:rsid w:val="00E346FB"/>
    <w:rsid w:val="00E35B77"/>
    <w:rsid w:val="00E3678D"/>
    <w:rsid w:val="00E36EA0"/>
    <w:rsid w:val="00E36FC1"/>
    <w:rsid w:val="00E3717B"/>
    <w:rsid w:val="00E412D0"/>
    <w:rsid w:val="00E422A6"/>
    <w:rsid w:val="00E472B4"/>
    <w:rsid w:val="00E50765"/>
    <w:rsid w:val="00E51490"/>
    <w:rsid w:val="00E51959"/>
    <w:rsid w:val="00E52F77"/>
    <w:rsid w:val="00E56322"/>
    <w:rsid w:val="00E60982"/>
    <w:rsid w:val="00E62C62"/>
    <w:rsid w:val="00E63BA0"/>
    <w:rsid w:val="00E654C1"/>
    <w:rsid w:val="00E65D97"/>
    <w:rsid w:val="00E66371"/>
    <w:rsid w:val="00E70417"/>
    <w:rsid w:val="00E71914"/>
    <w:rsid w:val="00E721D6"/>
    <w:rsid w:val="00E72A5A"/>
    <w:rsid w:val="00E73354"/>
    <w:rsid w:val="00E77263"/>
    <w:rsid w:val="00E8414E"/>
    <w:rsid w:val="00E870C5"/>
    <w:rsid w:val="00E9083D"/>
    <w:rsid w:val="00E9242D"/>
    <w:rsid w:val="00EA1D5F"/>
    <w:rsid w:val="00EA602B"/>
    <w:rsid w:val="00EB38A8"/>
    <w:rsid w:val="00EB3A71"/>
    <w:rsid w:val="00EB5255"/>
    <w:rsid w:val="00EB5C47"/>
    <w:rsid w:val="00EB6BB9"/>
    <w:rsid w:val="00EC4DD0"/>
    <w:rsid w:val="00EC593E"/>
    <w:rsid w:val="00EC5E75"/>
    <w:rsid w:val="00EC7FB7"/>
    <w:rsid w:val="00ED0639"/>
    <w:rsid w:val="00ED233A"/>
    <w:rsid w:val="00ED237F"/>
    <w:rsid w:val="00ED67E3"/>
    <w:rsid w:val="00ED696E"/>
    <w:rsid w:val="00EE0389"/>
    <w:rsid w:val="00EF4755"/>
    <w:rsid w:val="00EF7135"/>
    <w:rsid w:val="00F01EED"/>
    <w:rsid w:val="00F027DB"/>
    <w:rsid w:val="00F02C77"/>
    <w:rsid w:val="00F11289"/>
    <w:rsid w:val="00F14A7A"/>
    <w:rsid w:val="00F15D39"/>
    <w:rsid w:val="00F1744B"/>
    <w:rsid w:val="00F22985"/>
    <w:rsid w:val="00F27FCF"/>
    <w:rsid w:val="00F3383E"/>
    <w:rsid w:val="00F35F77"/>
    <w:rsid w:val="00F40A70"/>
    <w:rsid w:val="00F465A7"/>
    <w:rsid w:val="00F47E7A"/>
    <w:rsid w:val="00F50B7C"/>
    <w:rsid w:val="00F50BE2"/>
    <w:rsid w:val="00F52CF5"/>
    <w:rsid w:val="00F5470F"/>
    <w:rsid w:val="00F550E6"/>
    <w:rsid w:val="00F56A2F"/>
    <w:rsid w:val="00F608E2"/>
    <w:rsid w:val="00F74345"/>
    <w:rsid w:val="00F80A0A"/>
    <w:rsid w:val="00F82217"/>
    <w:rsid w:val="00F82B19"/>
    <w:rsid w:val="00F83889"/>
    <w:rsid w:val="00F84453"/>
    <w:rsid w:val="00F91298"/>
    <w:rsid w:val="00F91B51"/>
    <w:rsid w:val="00F9212D"/>
    <w:rsid w:val="00F93D41"/>
    <w:rsid w:val="00F965DA"/>
    <w:rsid w:val="00FA406A"/>
    <w:rsid w:val="00FA59AE"/>
    <w:rsid w:val="00FB07E1"/>
    <w:rsid w:val="00FB1C3E"/>
    <w:rsid w:val="00FB46BF"/>
    <w:rsid w:val="00FB503A"/>
    <w:rsid w:val="00FB516C"/>
    <w:rsid w:val="00FB59B8"/>
    <w:rsid w:val="00FB5F29"/>
    <w:rsid w:val="00FB67EC"/>
    <w:rsid w:val="00FB6A27"/>
    <w:rsid w:val="00FB6A72"/>
    <w:rsid w:val="00FD0236"/>
    <w:rsid w:val="00FD0820"/>
    <w:rsid w:val="00FD18F4"/>
    <w:rsid w:val="00FD20A3"/>
    <w:rsid w:val="00FD2500"/>
    <w:rsid w:val="00FD54DB"/>
    <w:rsid w:val="00FD619F"/>
    <w:rsid w:val="00FE6798"/>
    <w:rsid w:val="00FF69BF"/>
    <w:rsid w:val="00FF7781"/>
    <w:rsid w:val="01051CA7"/>
    <w:rsid w:val="010C2B9D"/>
    <w:rsid w:val="01104EE8"/>
    <w:rsid w:val="01290F7E"/>
    <w:rsid w:val="01300937"/>
    <w:rsid w:val="01351407"/>
    <w:rsid w:val="01584235"/>
    <w:rsid w:val="015D1E09"/>
    <w:rsid w:val="01914A8F"/>
    <w:rsid w:val="019A3EBD"/>
    <w:rsid w:val="01AD5116"/>
    <w:rsid w:val="01B335A9"/>
    <w:rsid w:val="01BC3B56"/>
    <w:rsid w:val="023651A7"/>
    <w:rsid w:val="024E2787"/>
    <w:rsid w:val="02697903"/>
    <w:rsid w:val="02B9525F"/>
    <w:rsid w:val="02D301FF"/>
    <w:rsid w:val="02D45050"/>
    <w:rsid w:val="02D6634F"/>
    <w:rsid w:val="02E308FC"/>
    <w:rsid w:val="02E910D4"/>
    <w:rsid w:val="02F96569"/>
    <w:rsid w:val="02FF6321"/>
    <w:rsid w:val="03425B6A"/>
    <w:rsid w:val="036252CF"/>
    <w:rsid w:val="03663993"/>
    <w:rsid w:val="03EA7B21"/>
    <w:rsid w:val="04510922"/>
    <w:rsid w:val="04B346B1"/>
    <w:rsid w:val="04D46268"/>
    <w:rsid w:val="04D704ED"/>
    <w:rsid w:val="055F34C8"/>
    <w:rsid w:val="056401E1"/>
    <w:rsid w:val="05950818"/>
    <w:rsid w:val="05F83EAE"/>
    <w:rsid w:val="05FC2D8E"/>
    <w:rsid w:val="06007052"/>
    <w:rsid w:val="06112117"/>
    <w:rsid w:val="06123A7C"/>
    <w:rsid w:val="063E7D85"/>
    <w:rsid w:val="064424ED"/>
    <w:rsid w:val="065D49F2"/>
    <w:rsid w:val="06793BF7"/>
    <w:rsid w:val="067E5978"/>
    <w:rsid w:val="06972E98"/>
    <w:rsid w:val="0703671F"/>
    <w:rsid w:val="07114CC8"/>
    <w:rsid w:val="072708CE"/>
    <w:rsid w:val="07293586"/>
    <w:rsid w:val="07295285"/>
    <w:rsid w:val="072E39D0"/>
    <w:rsid w:val="07636392"/>
    <w:rsid w:val="07770C56"/>
    <w:rsid w:val="07AA198E"/>
    <w:rsid w:val="07BF77A3"/>
    <w:rsid w:val="07F27D26"/>
    <w:rsid w:val="081F5483"/>
    <w:rsid w:val="08564AF4"/>
    <w:rsid w:val="088D31B6"/>
    <w:rsid w:val="08955281"/>
    <w:rsid w:val="090E19C9"/>
    <w:rsid w:val="092217DD"/>
    <w:rsid w:val="093A7294"/>
    <w:rsid w:val="096D4913"/>
    <w:rsid w:val="09936A3D"/>
    <w:rsid w:val="099757AA"/>
    <w:rsid w:val="09A81EFE"/>
    <w:rsid w:val="09D1765D"/>
    <w:rsid w:val="09E9155B"/>
    <w:rsid w:val="0A0124A3"/>
    <w:rsid w:val="0A0955A9"/>
    <w:rsid w:val="0A0E6223"/>
    <w:rsid w:val="0A1977EC"/>
    <w:rsid w:val="0A263993"/>
    <w:rsid w:val="0A2D3AC2"/>
    <w:rsid w:val="0A386645"/>
    <w:rsid w:val="0A3F755F"/>
    <w:rsid w:val="0A9B2B96"/>
    <w:rsid w:val="0AA755DF"/>
    <w:rsid w:val="0AB614DF"/>
    <w:rsid w:val="0AC00B79"/>
    <w:rsid w:val="0ACA7202"/>
    <w:rsid w:val="0ACF37E3"/>
    <w:rsid w:val="0AD8315C"/>
    <w:rsid w:val="0B120D44"/>
    <w:rsid w:val="0B13594C"/>
    <w:rsid w:val="0B154457"/>
    <w:rsid w:val="0B1F11B6"/>
    <w:rsid w:val="0B204BAA"/>
    <w:rsid w:val="0B265314"/>
    <w:rsid w:val="0B49322C"/>
    <w:rsid w:val="0B580E9F"/>
    <w:rsid w:val="0B64718D"/>
    <w:rsid w:val="0B9423A9"/>
    <w:rsid w:val="0B9B537E"/>
    <w:rsid w:val="0BA302C9"/>
    <w:rsid w:val="0BCF1CED"/>
    <w:rsid w:val="0BD27BF6"/>
    <w:rsid w:val="0C121DC5"/>
    <w:rsid w:val="0C3B3C7D"/>
    <w:rsid w:val="0C8E112C"/>
    <w:rsid w:val="0CAB2EAE"/>
    <w:rsid w:val="0CC41080"/>
    <w:rsid w:val="0CCC323C"/>
    <w:rsid w:val="0CFF05B1"/>
    <w:rsid w:val="0D0B0DCB"/>
    <w:rsid w:val="0D1D6FF9"/>
    <w:rsid w:val="0D621C7D"/>
    <w:rsid w:val="0D6B2B7C"/>
    <w:rsid w:val="0DA5540D"/>
    <w:rsid w:val="0DB54275"/>
    <w:rsid w:val="0E042561"/>
    <w:rsid w:val="0E27404F"/>
    <w:rsid w:val="0E522470"/>
    <w:rsid w:val="0E73034D"/>
    <w:rsid w:val="0EA6192A"/>
    <w:rsid w:val="0EAF6FDC"/>
    <w:rsid w:val="0ECE51BF"/>
    <w:rsid w:val="0F13775A"/>
    <w:rsid w:val="0F4344E5"/>
    <w:rsid w:val="0F5F45FE"/>
    <w:rsid w:val="0F6C4862"/>
    <w:rsid w:val="0F9402A1"/>
    <w:rsid w:val="0F9A112B"/>
    <w:rsid w:val="0F9A14C6"/>
    <w:rsid w:val="0FA15327"/>
    <w:rsid w:val="106D2F64"/>
    <w:rsid w:val="10862A78"/>
    <w:rsid w:val="10A1714E"/>
    <w:rsid w:val="10A92F65"/>
    <w:rsid w:val="10B63710"/>
    <w:rsid w:val="10EF77FA"/>
    <w:rsid w:val="10F10820"/>
    <w:rsid w:val="11196B00"/>
    <w:rsid w:val="111C2F7A"/>
    <w:rsid w:val="112D44DB"/>
    <w:rsid w:val="1139194B"/>
    <w:rsid w:val="11665CA1"/>
    <w:rsid w:val="118077E4"/>
    <w:rsid w:val="11BA2C8D"/>
    <w:rsid w:val="1205783C"/>
    <w:rsid w:val="120F215D"/>
    <w:rsid w:val="12664D01"/>
    <w:rsid w:val="127B5660"/>
    <w:rsid w:val="1283559F"/>
    <w:rsid w:val="128B378D"/>
    <w:rsid w:val="128F1832"/>
    <w:rsid w:val="12987219"/>
    <w:rsid w:val="12C0739F"/>
    <w:rsid w:val="12EA7623"/>
    <w:rsid w:val="1302531E"/>
    <w:rsid w:val="13236C3D"/>
    <w:rsid w:val="13657678"/>
    <w:rsid w:val="136B046D"/>
    <w:rsid w:val="13925BA9"/>
    <w:rsid w:val="13932A98"/>
    <w:rsid w:val="13951726"/>
    <w:rsid w:val="139F435A"/>
    <w:rsid w:val="13C7513D"/>
    <w:rsid w:val="14015831"/>
    <w:rsid w:val="14396509"/>
    <w:rsid w:val="144B2B5E"/>
    <w:rsid w:val="14600BB2"/>
    <w:rsid w:val="147930BD"/>
    <w:rsid w:val="14BD0F46"/>
    <w:rsid w:val="14DD2C3C"/>
    <w:rsid w:val="14DE78B3"/>
    <w:rsid w:val="14F62E1A"/>
    <w:rsid w:val="14FF4A8F"/>
    <w:rsid w:val="151158F4"/>
    <w:rsid w:val="15314576"/>
    <w:rsid w:val="158F0645"/>
    <w:rsid w:val="15BC5B65"/>
    <w:rsid w:val="15BE1D23"/>
    <w:rsid w:val="15D276EE"/>
    <w:rsid w:val="16087E1D"/>
    <w:rsid w:val="16645577"/>
    <w:rsid w:val="16783AEC"/>
    <w:rsid w:val="16DA254B"/>
    <w:rsid w:val="16E4081A"/>
    <w:rsid w:val="16E97EBB"/>
    <w:rsid w:val="16EB6122"/>
    <w:rsid w:val="170C2DBC"/>
    <w:rsid w:val="171F7DE3"/>
    <w:rsid w:val="174D1AC7"/>
    <w:rsid w:val="17686429"/>
    <w:rsid w:val="17701D14"/>
    <w:rsid w:val="17735226"/>
    <w:rsid w:val="17E72CD8"/>
    <w:rsid w:val="18050C6C"/>
    <w:rsid w:val="1815498D"/>
    <w:rsid w:val="183F223C"/>
    <w:rsid w:val="189F624C"/>
    <w:rsid w:val="18B71954"/>
    <w:rsid w:val="18D76B09"/>
    <w:rsid w:val="18EC666E"/>
    <w:rsid w:val="18F97167"/>
    <w:rsid w:val="192341E3"/>
    <w:rsid w:val="193E101D"/>
    <w:rsid w:val="19647958"/>
    <w:rsid w:val="199D21E8"/>
    <w:rsid w:val="19A16D57"/>
    <w:rsid w:val="19F838C4"/>
    <w:rsid w:val="1A0A56EA"/>
    <w:rsid w:val="1A1B2CC9"/>
    <w:rsid w:val="1A1C66C0"/>
    <w:rsid w:val="1A42393B"/>
    <w:rsid w:val="1AAD45DE"/>
    <w:rsid w:val="1ADA1CCC"/>
    <w:rsid w:val="1AEA3F4B"/>
    <w:rsid w:val="1B046F80"/>
    <w:rsid w:val="1B3267B5"/>
    <w:rsid w:val="1B40161D"/>
    <w:rsid w:val="1B441859"/>
    <w:rsid w:val="1B443E65"/>
    <w:rsid w:val="1B6606B1"/>
    <w:rsid w:val="1B66081A"/>
    <w:rsid w:val="1B8354DD"/>
    <w:rsid w:val="1B8F7936"/>
    <w:rsid w:val="1BAD248A"/>
    <w:rsid w:val="1BBD3CA1"/>
    <w:rsid w:val="1BEE05B6"/>
    <w:rsid w:val="1C0F1706"/>
    <w:rsid w:val="1C3B4AAE"/>
    <w:rsid w:val="1C5E22AD"/>
    <w:rsid w:val="1C5E7925"/>
    <w:rsid w:val="1C8911FD"/>
    <w:rsid w:val="1CFD070F"/>
    <w:rsid w:val="1CFF2861"/>
    <w:rsid w:val="1D24677C"/>
    <w:rsid w:val="1D2B57E5"/>
    <w:rsid w:val="1D5F6196"/>
    <w:rsid w:val="1D6132A5"/>
    <w:rsid w:val="1D8D334C"/>
    <w:rsid w:val="1D8E56D5"/>
    <w:rsid w:val="1D907DDF"/>
    <w:rsid w:val="1DF736F7"/>
    <w:rsid w:val="1E614873"/>
    <w:rsid w:val="1E7A43DA"/>
    <w:rsid w:val="1E961465"/>
    <w:rsid w:val="1EA55458"/>
    <w:rsid w:val="1EDA7842"/>
    <w:rsid w:val="1EFE0255"/>
    <w:rsid w:val="1F1862E0"/>
    <w:rsid w:val="1F187E0B"/>
    <w:rsid w:val="1F6C24FF"/>
    <w:rsid w:val="1F992C90"/>
    <w:rsid w:val="1FAD3679"/>
    <w:rsid w:val="1FB91732"/>
    <w:rsid w:val="1FC86230"/>
    <w:rsid w:val="1FE7539E"/>
    <w:rsid w:val="1FF75CCF"/>
    <w:rsid w:val="2007660D"/>
    <w:rsid w:val="204D2978"/>
    <w:rsid w:val="204D2F70"/>
    <w:rsid w:val="2056797A"/>
    <w:rsid w:val="20617D13"/>
    <w:rsid w:val="20671BE0"/>
    <w:rsid w:val="20702D99"/>
    <w:rsid w:val="207812B9"/>
    <w:rsid w:val="20963CB8"/>
    <w:rsid w:val="20A81A1B"/>
    <w:rsid w:val="20AB6CD3"/>
    <w:rsid w:val="20AF7FB7"/>
    <w:rsid w:val="20B07FB6"/>
    <w:rsid w:val="20B37794"/>
    <w:rsid w:val="20B646FB"/>
    <w:rsid w:val="20D426C5"/>
    <w:rsid w:val="20FB76CE"/>
    <w:rsid w:val="213B74B1"/>
    <w:rsid w:val="215A2310"/>
    <w:rsid w:val="216B497A"/>
    <w:rsid w:val="217516D0"/>
    <w:rsid w:val="21C8215C"/>
    <w:rsid w:val="21DE318A"/>
    <w:rsid w:val="21E15C1F"/>
    <w:rsid w:val="21EF5B80"/>
    <w:rsid w:val="222B6D33"/>
    <w:rsid w:val="22337355"/>
    <w:rsid w:val="223E7D94"/>
    <w:rsid w:val="224A652B"/>
    <w:rsid w:val="224C0601"/>
    <w:rsid w:val="22576990"/>
    <w:rsid w:val="22592F07"/>
    <w:rsid w:val="22D451E7"/>
    <w:rsid w:val="22E90452"/>
    <w:rsid w:val="22F47480"/>
    <w:rsid w:val="22F97D63"/>
    <w:rsid w:val="2323077A"/>
    <w:rsid w:val="238B0A63"/>
    <w:rsid w:val="239154FF"/>
    <w:rsid w:val="23AD54D4"/>
    <w:rsid w:val="23B32B79"/>
    <w:rsid w:val="23DE1C48"/>
    <w:rsid w:val="240210CD"/>
    <w:rsid w:val="242B601E"/>
    <w:rsid w:val="24693AC6"/>
    <w:rsid w:val="24784AF4"/>
    <w:rsid w:val="24A25046"/>
    <w:rsid w:val="24BF09F7"/>
    <w:rsid w:val="24CA7451"/>
    <w:rsid w:val="24CD4B7E"/>
    <w:rsid w:val="24CF3471"/>
    <w:rsid w:val="250D4DFF"/>
    <w:rsid w:val="252D53FE"/>
    <w:rsid w:val="25383641"/>
    <w:rsid w:val="256A5B08"/>
    <w:rsid w:val="25784AB1"/>
    <w:rsid w:val="258C3E08"/>
    <w:rsid w:val="25B37567"/>
    <w:rsid w:val="25EC2D81"/>
    <w:rsid w:val="25F34B83"/>
    <w:rsid w:val="25FB10A1"/>
    <w:rsid w:val="263F2D50"/>
    <w:rsid w:val="266010D1"/>
    <w:rsid w:val="266B5D29"/>
    <w:rsid w:val="26B67E95"/>
    <w:rsid w:val="26DF5CDA"/>
    <w:rsid w:val="26F63738"/>
    <w:rsid w:val="27145BD8"/>
    <w:rsid w:val="272621AB"/>
    <w:rsid w:val="273B094A"/>
    <w:rsid w:val="2745542F"/>
    <w:rsid w:val="277057A2"/>
    <w:rsid w:val="27D657C0"/>
    <w:rsid w:val="2868254E"/>
    <w:rsid w:val="28810A66"/>
    <w:rsid w:val="28B5414E"/>
    <w:rsid w:val="28FF5E7D"/>
    <w:rsid w:val="29206EB8"/>
    <w:rsid w:val="29296ACA"/>
    <w:rsid w:val="292F3995"/>
    <w:rsid w:val="29595666"/>
    <w:rsid w:val="29750E90"/>
    <w:rsid w:val="29874881"/>
    <w:rsid w:val="29B5668F"/>
    <w:rsid w:val="29BF5862"/>
    <w:rsid w:val="29E325E0"/>
    <w:rsid w:val="29FF2103"/>
    <w:rsid w:val="2A452503"/>
    <w:rsid w:val="2A5953F2"/>
    <w:rsid w:val="2A673B00"/>
    <w:rsid w:val="2AB54EB7"/>
    <w:rsid w:val="2B22031C"/>
    <w:rsid w:val="2B371085"/>
    <w:rsid w:val="2B72581C"/>
    <w:rsid w:val="2BA264A3"/>
    <w:rsid w:val="2BA936A8"/>
    <w:rsid w:val="2BC615B9"/>
    <w:rsid w:val="2BD87297"/>
    <w:rsid w:val="2C1B550A"/>
    <w:rsid w:val="2C315A5A"/>
    <w:rsid w:val="2C4B1C25"/>
    <w:rsid w:val="2C656F8C"/>
    <w:rsid w:val="2C8429E5"/>
    <w:rsid w:val="2C9212DC"/>
    <w:rsid w:val="2CFC6FCA"/>
    <w:rsid w:val="2CFE784A"/>
    <w:rsid w:val="2D596EAA"/>
    <w:rsid w:val="2D751A6A"/>
    <w:rsid w:val="2D842B02"/>
    <w:rsid w:val="2D9E56F5"/>
    <w:rsid w:val="2DC75E46"/>
    <w:rsid w:val="2DD85905"/>
    <w:rsid w:val="2E3F5430"/>
    <w:rsid w:val="2E494794"/>
    <w:rsid w:val="2E667F96"/>
    <w:rsid w:val="2E8226AB"/>
    <w:rsid w:val="2EA37860"/>
    <w:rsid w:val="2EAE74E8"/>
    <w:rsid w:val="2ED95618"/>
    <w:rsid w:val="2EDB3CB4"/>
    <w:rsid w:val="2F044504"/>
    <w:rsid w:val="2F352FB1"/>
    <w:rsid w:val="2F37233F"/>
    <w:rsid w:val="2F835584"/>
    <w:rsid w:val="2F980B7D"/>
    <w:rsid w:val="2FD065E6"/>
    <w:rsid w:val="2FD96870"/>
    <w:rsid w:val="3025554E"/>
    <w:rsid w:val="30580BC9"/>
    <w:rsid w:val="3068095A"/>
    <w:rsid w:val="306A7DD2"/>
    <w:rsid w:val="30B63A5C"/>
    <w:rsid w:val="30D8545C"/>
    <w:rsid w:val="30DE4520"/>
    <w:rsid w:val="30E87D95"/>
    <w:rsid w:val="311E2ED7"/>
    <w:rsid w:val="31336436"/>
    <w:rsid w:val="314825E1"/>
    <w:rsid w:val="315619EE"/>
    <w:rsid w:val="315814C6"/>
    <w:rsid w:val="315C449C"/>
    <w:rsid w:val="31B82709"/>
    <w:rsid w:val="31D05482"/>
    <w:rsid w:val="31D130F1"/>
    <w:rsid w:val="31DC4E3E"/>
    <w:rsid w:val="31E0548D"/>
    <w:rsid w:val="32103806"/>
    <w:rsid w:val="32400B34"/>
    <w:rsid w:val="324E2851"/>
    <w:rsid w:val="3251196A"/>
    <w:rsid w:val="327A0454"/>
    <w:rsid w:val="329E6876"/>
    <w:rsid w:val="32A87156"/>
    <w:rsid w:val="32A92C40"/>
    <w:rsid w:val="32C244C1"/>
    <w:rsid w:val="32D84FED"/>
    <w:rsid w:val="33106DBB"/>
    <w:rsid w:val="333015F2"/>
    <w:rsid w:val="3341553A"/>
    <w:rsid w:val="3347087D"/>
    <w:rsid w:val="334B6320"/>
    <w:rsid w:val="336C62ED"/>
    <w:rsid w:val="339B73B2"/>
    <w:rsid w:val="33C47E7B"/>
    <w:rsid w:val="33D934D4"/>
    <w:rsid w:val="33FE2F6A"/>
    <w:rsid w:val="340E07E5"/>
    <w:rsid w:val="34235BF7"/>
    <w:rsid w:val="344F0244"/>
    <w:rsid w:val="34AC1BCE"/>
    <w:rsid w:val="350B5E00"/>
    <w:rsid w:val="35224D2A"/>
    <w:rsid w:val="353F780A"/>
    <w:rsid w:val="355C5549"/>
    <w:rsid w:val="358A7C66"/>
    <w:rsid w:val="358C5FA8"/>
    <w:rsid w:val="35904018"/>
    <w:rsid w:val="35A41DB0"/>
    <w:rsid w:val="35AE1D1F"/>
    <w:rsid w:val="35BB438E"/>
    <w:rsid w:val="35C15DF1"/>
    <w:rsid w:val="35CA6037"/>
    <w:rsid w:val="35E616C4"/>
    <w:rsid w:val="36074A7F"/>
    <w:rsid w:val="363937EB"/>
    <w:rsid w:val="36923549"/>
    <w:rsid w:val="36B349A1"/>
    <w:rsid w:val="36B75FBF"/>
    <w:rsid w:val="36BD0C45"/>
    <w:rsid w:val="36E60471"/>
    <w:rsid w:val="372E5DD5"/>
    <w:rsid w:val="37506E47"/>
    <w:rsid w:val="376736AE"/>
    <w:rsid w:val="37742F8A"/>
    <w:rsid w:val="37B86F02"/>
    <w:rsid w:val="37E00298"/>
    <w:rsid w:val="380E421C"/>
    <w:rsid w:val="38127D6C"/>
    <w:rsid w:val="381F6581"/>
    <w:rsid w:val="383A69FC"/>
    <w:rsid w:val="383E2E5E"/>
    <w:rsid w:val="386F6F4C"/>
    <w:rsid w:val="388A741F"/>
    <w:rsid w:val="389D76B7"/>
    <w:rsid w:val="389F05B8"/>
    <w:rsid w:val="38AB7A31"/>
    <w:rsid w:val="38AE2124"/>
    <w:rsid w:val="38B302F9"/>
    <w:rsid w:val="38E81294"/>
    <w:rsid w:val="38F12CD3"/>
    <w:rsid w:val="38F31848"/>
    <w:rsid w:val="38F94775"/>
    <w:rsid w:val="390E4110"/>
    <w:rsid w:val="392971ED"/>
    <w:rsid w:val="39325651"/>
    <w:rsid w:val="394036D8"/>
    <w:rsid w:val="39533217"/>
    <w:rsid w:val="395870CD"/>
    <w:rsid w:val="395C4615"/>
    <w:rsid w:val="39643D30"/>
    <w:rsid w:val="39721FC6"/>
    <w:rsid w:val="397928C9"/>
    <w:rsid w:val="39AD458D"/>
    <w:rsid w:val="39F257E0"/>
    <w:rsid w:val="39FF2357"/>
    <w:rsid w:val="3A872856"/>
    <w:rsid w:val="3ABE667C"/>
    <w:rsid w:val="3AC0768C"/>
    <w:rsid w:val="3B050033"/>
    <w:rsid w:val="3B0D0B61"/>
    <w:rsid w:val="3B3763D1"/>
    <w:rsid w:val="3B3A0AC7"/>
    <w:rsid w:val="3B3F4F42"/>
    <w:rsid w:val="3B4F0A10"/>
    <w:rsid w:val="3B8E7694"/>
    <w:rsid w:val="3BA037DF"/>
    <w:rsid w:val="3BBE052B"/>
    <w:rsid w:val="3BDF465E"/>
    <w:rsid w:val="3BEE3B6F"/>
    <w:rsid w:val="3C2F6E1E"/>
    <w:rsid w:val="3C302111"/>
    <w:rsid w:val="3C4F64BA"/>
    <w:rsid w:val="3C7C7703"/>
    <w:rsid w:val="3C830972"/>
    <w:rsid w:val="3C9F3306"/>
    <w:rsid w:val="3CD4693C"/>
    <w:rsid w:val="3CDA245A"/>
    <w:rsid w:val="3CE532A6"/>
    <w:rsid w:val="3CFE6992"/>
    <w:rsid w:val="3D021ADF"/>
    <w:rsid w:val="3D1E06B7"/>
    <w:rsid w:val="3D3C5C9F"/>
    <w:rsid w:val="3D440607"/>
    <w:rsid w:val="3D4D2FA3"/>
    <w:rsid w:val="3D81729C"/>
    <w:rsid w:val="3D992478"/>
    <w:rsid w:val="3D9A78BC"/>
    <w:rsid w:val="3D9D1A2D"/>
    <w:rsid w:val="3DA478B1"/>
    <w:rsid w:val="3DB82960"/>
    <w:rsid w:val="3DEA014A"/>
    <w:rsid w:val="3DED64C5"/>
    <w:rsid w:val="3DFD165C"/>
    <w:rsid w:val="3E2441CC"/>
    <w:rsid w:val="3E614CE2"/>
    <w:rsid w:val="3EC519F6"/>
    <w:rsid w:val="3ECA30D0"/>
    <w:rsid w:val="3EDA0523"/>
    <w:rsid w:val="3F1B5411"/>
    <w:rsid w:val="3F46341E"/>
    <w:rsid w:val="3F48290A"/>
    <w:rsid w:val="3F570524"/>
    <w:rsid w:val="3F7B0D48"/>
    <w:rsid w:val="3F8A2397"/>
    <w:rsid w:val="3FA8726D"/>
    <w:rsid w:val="3FB3156E"/>
    <w:rsid w:val="3FFF0C57"/>
    <w:rsid w:val="40120FF4"/>
    <w:rsid w:val="402F523B"/>
    <w:rsid w:val="403E2527"/>
    <w:rsid w:val="407A6407"/>
    <w:rsid w:val="40E24E1E"/>
    <w:rsid w:val="40ED1A3F"/>
    <w:rsid w:val="4101455B"/>
    <w:rsid w:val="41123759"/>
    <w:rsid w:val="41151CBB"/>
    <w:rsid w:val="41807B91"/>
    <w:rsid w:val="41E42D5A"/>
    <w:rsid w:val="41E50E41"/>
    <w:rsid w:val="41F843AA"/>
    <w:rsid w:val="4200449D"/>
    <w:rsid w:val="420078C4"/>
    <w:rsid w:val="423A3BCC"/>
    <w:rsid w:val="424E57D2"/>
    <w:rsid w:val="425C53AC"/>
    <w:rsid w:val="427C35C4"/>
    <w:rsid w:val="42B26C49"/>
    <w:rsid w:val="42D1695C"/>
    <w:rsid w:val="42F00403"/>
    <w:rsid w:val="43010BA1"/>
    <w:rsid w:val="43097C95"/>
    <w:rsid w:val="433A6FE6"/>
    <w:rsid w:val="43480868"/>
    <w:rsid w:val="4350713C"/>
    <w:rsid w:val="436653E0"/>
    <w:rsid w:val="436A6830"/>
    <w:rsid w:val="43B104BA"/>
    <w:rsid w:val="43C4431A"/>
    <w:rsid w:val="43D33E5F"/>
    <w:rsid w:val="443B2B89"/>
    <w:rsid w:val="44441478"/>
    <w:rsid w:val="444C3D3F"/>
    <w:rsid w:val="449A5000"/>
    <w:rsid w:val="44A953EE"/>
    <w:rsid w:val="44B951CC"/>
    <w:rsid w:val="44BC3C72"/>
    <w:rsid w:val="44C9538F"/>
    <w:rsid w:val="44CD14E0"/>
    <w:rsid w:val="44CD4FAF"/>
    <w:rsid w:val="44E0773E"/>
    <w:rsid w:val="44F20B0B"/>
    <w:rsid w:val="45024F34"/>
    <w:rsid w:val="452E5F4C"/>
    <w:rsid w:val="45612018"/>
    <w:rsid w:val="458946E9"/>
    <w:rsid w:val="458F11D2"/>
    <w:rsid w:val="45A01C74"/>
    <w:rsid w:val="45A47C0E"/>
    <w:rsid w:val="45B2510D"/>
    <w:rsid w:val="45DF60E0"/>
    <w:rsid w:val="45E1621C"/>
    <w:rsid w:val="45E530F0"/>
    <w:rsid w:val="46016203"/>
    <w:rsid w:val="46320800"/>
    <w:rsid w:val="46577FD6"/>
    <w:rsid w:val="46673C6F"/>
    <w:rsid w:val="46BA4892"/>
    <w:rsid w:val="46C603C2"/>
    <w:rsid w:val="46D955A7"/>
    <w:rsid w:val="47133957"/>
    <w:rsid w:val="472C5F99"/>
    <w:rsid w:val="47404A5E"/>
    <w:rsid w:val="47411B55"/>
    <w:rsid w:val="474E74E8"/>
    <w:rsid w:val="479961FB"/>
    <w:rsid w:val="47A07E0C"/>
    <w:rsid w:val="47A372CE"/>
    <w:rsid w:val="47F429A2"/>
    <w:rsid w:val="48051BE5"/>
    <w:rsid w:val="480D43C6"/>
    <w:rsid w:val="48170C0F"/>
    <w:rsid w:val="481D0F88"/>
    <w:rsid w:val="483E7E42"/>
    <w:rsid w:val="4870272E"/>
    <w:rsid w:val="488961EF"/>
    <w:rsid w:val="48B268BC"/>
    <w:rsid w:val="48F86DE0"/>
    <w:rsid w:val="49064736"/>
    <w:rsid w:val="49094824"/>
    <w:rsid w:val="490E35AD"/>
    <w:rsid w:val="49167B11"/>
    <w:rsid w:val="49401D4D"/>
    <w:rsid w:val="49DC7715"/>
    <w:rsid w:val="49E40558"/>
    <w:rsid w:val="49F05083"/>
    <w:rsid w:val="4A023139"/>
    <w:rsid w:val="4A080708"/>
    <w:rsid w:val="4A0D7545"/>
    <w:rsid w:val="4A706407"/>
    <w:rsid w:val="4A7B576F"/>
    <w:rsid w:val="4A80681E"/>
    <w:rsid w:val="4AE03052"/>
    <w:rsid w:val="4AE72D85"/>
    <w:rsid w:val="4AF561A9"/>
    <w:rsid w:val="4B180E1F"/>
    <w:rsid w:val="4B296B88"/>
    <w:rsid w:val="4B3043BA"/>
    <w:rsid w:val="4B50680B"/>
    <w:rsid w:val="4B647464"/>
    <w:rsid w:val="4B6F6738"/>
    <w:rsid w:val="4B7F41EF"/>
    <w:rsid w:val="4BAA4D79"/>
    <w:rsid w:val="4BBC0128"/>
    <w:rsid w:val="4BBF74EC"/>
    <w:rsid w:val="4BCE5F07"/>
    <w:rsid w:val="4BCF30A2"/>
    <w:rsid w:val="4BD34781"/>
    <w:rsid w:val="4C0D2006"/>
    <w:rsid w:val="4C4A0649"/>
    <w:rsid w:val="4C4A5D67"/>
    <w:rsid w:val="4C53781A"/>
    <w:rsid w:val="4C5C2A29"/>
    <w:rsid w:val="4C7E5ECA"/>
    <w:rsid w:val="4C876AA5"/>
    <w:rsid w:val="4C963F23"/>
    <w:rsid w:val="4C9F627D"/>
    <w:rsid w:val="4CBA4315"/>
    <w:rsid w:val="4CC426C0"/>
    <w:rsid w:val="4CE96016"/>
    <w:rsid w:val="4D073B49"/>
    <w:rsid w:val="4D0E00FB"/>
    <w:rsid w:val="4D16133C"/>
    <w:rsid w:val="4D176606"/>
    <w:rsid w:val="4D2B5EE3"/>
    <w:rsid w:val="4D3C09FB"/>
    <w:rsid w:val="4D4548A0"/>
    <w:rsid w:val="4D4F0948"/>
    <w:rsid w:val="4D503602"/>
    <w:rsid w:val="4D67671A"/>
    <w:rsid w:val="4D7328D7"/>
    <w:rsid w:val="4D7C74B9"/>
    <w:rsid w:val="4D907392"/>
    <w:rsid w:val="4D9A6DB5"/>
    <w:rsid w:val="4DC25978"/>
    <w:rsid w:val="4DD529FA"/>
    <w:rsid w:val="4DEC4FB0"/>
    <w:rsid w:val="4DF51FD5"/>
    <w:rsid w:val="4E075D8A"/>
    <w:rsid w:val="4E436333"/>
    <w:rsid w:val="4E6666C9"/>
    <w:rsid w:val="4E6E3088"/>
    <w:rsid w:val="4EC00FAD"/>
    <w:rsid w:val="4EC07798"/>
    <w:rsid w:val="4EC549CB"/>
    <w:rsid w:val="4ECA2430"/>
    <w:rsid w:val="4EDC21F3"/>
    <w:rsid w:val="4F0477D4"/>
    <w:rsid w:val="4F5C2EE8"/>
    <w:rsid w:val="4F7115D6"/>
    <w:rsid w:val="4F9843DC"/>
    <w:rsid w:val="4FC1649C"/>
    <w:rsid w:val="4FC225B9"/>
    <w:rsid w:val="4FC62A8C"/>
    <w:rsid w:val="4FD173C3"/>
    <w:rsid w:val="4FE20F0D"/>
    <w:rsid w:val="4FE51552"/>
    <w:rsid w:val="501C1F3E"/>
    <w:rsid w:val="50351DE4"/>
    <w:rsid w:val="50504C4B"/>
    <w:rsid w:val="505B3AD2"/>
    <w:rsid w:val="509C6E7C"/>
    <w:rsid w:val="50E823FC"/>
    <w:rsid w:val="51463623"/>
    <w:rsid w:val="5162104E"/>
    <w:rsid w:val="517B030A"/>
    <w:rsid w:val="51875E34"/>
    <w:rsid w:val="51D84DD3"/>
    <w:rsid w:val="51F24C0D"/>
    <w:rsid w:val="52197191"/>
    <w:rsid w:val="5224454D"/>
    <w:rsid w:val="526925C3"/>
    <w:rsid w:val="526F6AB8"/>
    <w:rsid w:val="527034A6"/>
    <w:rsid w:val="52754E2E"/>
    <w:rsid w:val="52D93C08"/>
    <w:rsid w:val="52FD7376"/>
    <w:rsid w:val="53051C89"/>
    <w:rsid w:val="531B4D3E"/>
    <w:rsid w:val="532B114E"/>
    <w:rsid w:val="53336F5B"/>
    <w:rsid w:val="534F3752"/>
    <w:rsid w:val="53976014"/>
    <w:rsid w:val="53A039CC"/>
    <w:rsid w:val="53A1505A"/>
    <w:rsid w:val="53AE2320"/>
    <w:rsid w:val="53BD6A07"/>
    <w:rsid w:val="53D13233"/>
    <w:rsid w:val="54063E08"/>
    <w:rsid w:val="540C036C"/>
    <w:rsid w:val="540C2E06"/>
    <w:rsid w:val="54284107"/>
    <w:rsid w:val="543437E8"/>
    <w:rsid w:val="543F2CAE"/>
    <w:rsid w:val="544211D2"/>
    <w:rsid w:val="545C1D7C"/>
    <w:rsid w:val="549F610D"/>
    <w:rsid w:val="54B32738"/>
    <w:rsid w:val="54BB05F6"/>
    <w:rsid w:val="54DB2D8B"/>
    <w:rsid w:val="54E024CA"/>
    <w:rsid w:val="54E81862"/>
    <w:rsid w:val="54ED0C26"/>
    <w:rsid w:val="54F73313"/>
    <w:rsid w:val="54F77CD9"/>
    <w:rsid w:val="54F80955"/>
    <w:rsid w:val="551D2CDE"/>
    <w:rsid w:val="55452810"/>
    <w:rsid w:val="555170A7"/>
    <w:rsid w:val="5560481F"/>
    <w:rsid w:val="55664405"/>
    <w:rsid w:val="55833339"/>
    <w:rsid w:val="5587536D"/>
    <w:rsid w:val="559B174B"/>
    <w:rsid w:val="55A464FE"/>
    <w:rsid w:val="55CE0CF4"/>
    <w:rsid w:val="55D976D7"/>
    <w:rsid w:val="55F00D88"/>
    <w:rsid w:val="561029C6"/>
    <w:rsid w:val="56762D94"/>
    <w:rsid w:val="56A46187"/>
    <w:rsid w:val="56AD2117"/>
    <w:rsid w:val="56B22A9C"/>
    <w:rsid w:val="56C304F2"/>
    <w:rsid w:val="57263549"/>
    <w:rsid w:val="57355205"/>
    <w:rsid w:val="5756342B"/>
    <w:rsid w:val="57583C44"/>
    <w:rsid w:val="5780554D"/>
    <w:rsid w:val="57B72A76"/>
    <w:rsid w:val="57BB5091"/>
    <w:rsid w:val="57C3426C"/>
    <w:rsid w:val="57CE1F93"/>
    <w:rsid w:val="57D93A81"/>
    <w:rsid w:val="57DC6198"/>
    <w:rsid w:val="57EF15C9"/>
    <w:rsid w:val="58061181"/>
    <w:rsid w:val="582A487E"/>
    <w:rsid w:val="582E57DE"/>
    <w:rsid w:val="583F4AE9"/>
    <w:rsid w:val="5875297A"/>
    <w:rsid w:val="58841643"/>
    <w:rsid w:val="588743D1"/>
    <w:rsid w:val="5887701A"/>
    <w:rsid w:val="58A1488A"/>
    <w:rsid w:val="58DD0FB2"/>
    <w:rsid w:val="595B4CF8"/>
    <w:rsid w:val="59657925"/>
    <w:rsid w:val="59705F4A"/>
    <w:rsid w:val="5986716D"/>
    <w:rsid w:val="59981AA8"/>
    <w:rsid w:val="59A002B8"/>
    <w:rsid w:val="59C0439F"/>
    <w:rsid w:val="59D625D1"/>
    <w:rsid w:val="59EE6B44"/>
    <w:rsid w:val="5A14776B"/>
    <w:rsid w:val="5A21536F"/>
    <w:rsid w:val="5A7302EB"/>
    <w:rsid w:val="5A7612E8"/>
    <w:rsid w:val="5A940210"/>
    <w:rsid w:val="5ABE2233"/>
    <w:rsid w:val="5AC86E51"/>
    <w:rsid w:val="5ADF73B1"/>
    <w:rsid w:val="5AFD4361"/>
    <w:rsid w:val="5B1E6BA7"/>
    <w:rsid w:val="5B3E042E"/>
    <w:rsid w:val="5B514088"/>
    <w:rsid w:val="5B767BC7"/>
    <w:rsid w:val="5BCC5A39"/>
    <w:rsid w:val="5BDF5D95"/>
    <w:rsid w:val="5BE83B7A"/>
    <w:rsid w:val="5BFE7528"/>
    <w:rsid w:val="5C4B0C55"/>
    <w:rsid w:val="5C535102"/>
    <w:rsid w:val="5C5B4439"/>
    <w:rsid w:val="5C7E7A17"/>
    <w:rsid w:val="5CA03A80"/>
    <w:rsid w:val="5CE46DB3"/>
    <w:rsid w:val="5CF82985"/>
    <w:rsid w:val="5CFD24D8"/>
    <w:rsid w:val="5D075875"/>
    <w:rsid w:val="5D6009B6"/>
    <w:rsid w:val="5D646E07"/>
    <w:rsid w:val="5DBE1B59"/>
    <w:rsid w:val="5DF94D9C"/>
    <w:rsid w:val="5DFD74A0"/>
    <w:rsid w:val="5E197DFF"/>
    <w:rsid w:val="5E2467F1"/>
    <w:rsid w:val="5E2B69D2"/>
    <w:rsid w:val="5E3B7987"/>
    <w:rsid w:val="5E3E2A94"/>
    <w:rsid w:val="5E44722B"/>
    <w:rsid w:val="5E6C52B2"/>
    <w:rsid w:val="5E9C5AD4"/>
    <w:rsid w:val="5EB3347B"/>
    <w:rsid w:val="5ED36744"/>
    <w:rsid w:val="5ED66E91"/>
    <w:rsid w:val="5EE46AC8"/>
    <w:rsid w:val="5EE52B6E"/>
    <w:rsid w:val="5F0A1DEF"/>
    <w:rsid w:val="5F1A2B43"/>
    <w:rsid w:val="5F404AB0"/>
    <w:rsid w:val="5F50744C"/>
    <w:rsid w:val="5F5A15AE"/>
    <w:rsid w:val="5F985EAD"/>
    <w:rsid w:val="5FB837BB"/>
    <w:rsid w:val="5FDA4A7F"/>
    <w:rsid w:val="600029AB"/>
    <w:rsid w:val="60027BFA"/>
    <w:rsid w:val="6026055F"/>
    <w:rsid w:val="6074477E"/>
    <w:rsid w:val="608235DC"/>
    <w:rsid w:val="60857113"/>
    <w:rsid w:val="608E59B3"/>
    <w:rsid w:val="60A34714"/>
    <w:rsid w:val="60AC7807"/>
    <w:rsid w:val="60AD4B5E"/>
    <w:rsid w:val="60BB3B20"/>
    <w:rsid w:val="60C1299B"/>
    <w:rsid w:val="60CA729E"/>
    <w:rsid w:val="60CC405A"/>
    <w:rsid w:val="60E76832"/>
    <w:rsid w:val="61202B20"/>
    <w:rsid w:val="613F6656"/>
    <w:rsid w:val="615062FF"/>
    <w:rsid w:val="618B5A4F"/>
    <w:rsid w:val="61921285"/>
    <w:rsid w:val="61A91253"/>
    <w:rsid w:val="61E215D8"/>
    <w:rsid w:val="61F21F72"/>
    <w:rsid w:val="621B3775"/>
    <w:rsid w:val="62364782"/>
    <w:rsid w:val="624174A2"/>
    <w:rsid w:val="62660E5C"/>
    <w:rsid w:val="6279762D"/>
    <w:rsid w:val="62876034"/>
    <w:rsid w:val="62B32423"/>
    <w:rsid w:val="62C279CE"/>
    <w:rsid w:val="62FF4946"/>
    <w:rsid w:val="630D43EE"/>
    <w:rsid w:val="63130A1C"/>
    <w:rsid w:val="632138BF"/>
    <w:rsid w:val="639178F9"/>
    <w:rsid w:val="6394356A"/>
    <w:rsid w:val="63A65FDA"/>
    <w:rsid w:val="63C61B2C"/>
    <w:rsid w:val="63D40BE9"/>
    <w:rsid w:val="63E44B39"/>
    <w:rsid w:val="63F201AB"/>
    <w:rsid w:val="64102431"/>
    <w:rsid w:val="641D204C"/>
    <w:rsid w:val="643A375C"/>
    <w:rsid w:val="647050A8"/>
    <w:rsid w:val="647A6EC2"/>
    <w:rsid w:val="64A5243A"/>
    <w:rsid w:val="64F531DE"/>
    <w:rsid w:val="65206DF6"/>
    <w:rsid w:val="65373578"/>
    <w:rsid w:val="655A2444"/>
    <w:rsid w:val="655D6ED5"/>
    <w:rsid w:val="65647A14"/>
    <w:rsid w:val="657E520F"/>
    <w:rsid w:val="65864EAB"/>
    <w:rsid w:val="65CF7417"/>
    <w:rsid w:val="65DA0D53"/>
    <w:rsid w:val="66022AD1"/>
    <w:rsid w:val="66040DD8"/>
    <w:rsid w:val="66430633"/>
    <w:rsid w:val="669D70EF"/>
    <w:rsid w:val="66F10A4A"/>
    <w:rsid w:val="66F86BA2"/>
    <w:rsid w:val="670125AA"/>
    <w:rsid w:val="671F124A"/>
    <w:rsid w:val="677A33C6"/>
    <w:rsid w:val="678E5C61"/>
    <w:rsid w:val="67A96C2F"/>
    <w:rsid w:val="67BF46A4"/>
    <w:rsid w:val="67D777A8"/>
    <w:rsid w:val="67E2338A"/>
    <w:rsid w:val="681F6961"/>
    <w:rsid w:val="684E5A28"/>
    <w:rsid w:val="68610A2F"/>
    <w:rsid w:val="68774F7F"/>
    <w:rsid w:val="68805514"/>
    <w:rsid w:val="68C335DC"/>
    <w:rsid w:val="68E25FF6"/>
    <w:rsid w:val="68E869C0"/>
    <w:rsid w:val="692C5D69"/>
    <w:rsid w:val="69316E2F"/>
    <w:rsid w:val="69320E94"/>
    <w:rsid w:val="69425646"/>
    <w:rsid w:val="694E2071"/>
    <w:rsid w:val="694E56FA"/>
    <w:rsid w:val="695653DD"/>
    <w:rsid w:val="69766163"/>
    <w:rsid w:val="697A3B33"/>
    <w:rsid w:val="69A914A7"/>
    <w:rsid w:val="69D44760"/>
    <w:rsid w:val="69F24BF3"/>
    <w:rsid w:val="69F5757D"/>
    <w:rsid w:val="6A015D13"/>
    <w:rsid w:val="6A1B798F"/>
    <w:rsid w:val="6A520EC7"/>
    <w:rsid w:val="6A527A52"/>
    <w:rsid w:val="6A8B3B47"/>
    <w:rsid w:val="6A9040D6"/>
    <w:rsid w:val="6A95216D"/>
    <w:rsid w:val="6AA002CC"/>
    <w:rsid w:val="6AE07F4F"/>
    <w:rsid w:val="6AF87E20"/>
    <w:rsid w:val="6B322639"/>
    <w:rsid w:val="6B713F07"/>
    <w:rsid w:val="6B715AD0"/>
    <w:rsid w:val="6B7565A1"/>
    <w:rsid w:val="6BE86AED"/>
    <w:rsid w:val="6C157813"/>
    <w:rsid w:val="6C4A3FC8"/>
    <w:rsid w:val="6C636C38"/>
    <w:rsid w:val="6C925B8A"/>
    <w:rsid w:val="6D3B140E"/>
    <w:rsid w:val="6D4B4BF1"/>
    <w:rsid w:val="6D8846C4"/>
    <w:rsid w:val="6DA8285B"/>
    <w:rsid w:val="6DB34098"/>
    <w:rsid w:val="6DB545B6"/>
    <w:rsid w:val="6DE02FB4"/>
    <w:rsid w:val="6DFA3960"/>
    <w:rsid w:val="6DFB3F5C"/>
    <w:rsid w:val="6E48029E"/>
    <w:rsid w:val="6E514CED"/>
    <w:rsid w:val="6E6A6F42"/>
    <w:rsid w:val="6EB563D5"/>
    <w:rsid w:val="6ED92677"/>
    <w:rsid w:val="6EE44575"/>
    <w:rsid w:val="6EFC5005"/>
    <w:rsid w:val="6F0A3CF6"/>
    <w:rsid w:val="6F123E43"/>
    <w:rsid w:val="6F225983"/>
    <w:rsid w:val="6F4517FE"/>
    <w:rsid w:val="6FD73EF5"/>
    <w:rsid w:val="6FEF7AF1"/>
    <w:rsid w:val="6FF2064F"/>
    <w:rsid w:val="6FFC1E95"/>
    <w:rsid w:val="6FFC5590"/>
    <w:rsid w:val="700D6D99"/>
    <w:rsid w:val="703F3D62"/>
    <w:rsid w:val="7060279C"/>
    <w:rsid w:val="7062199D"/>
    <w:rsid w:val="7065777E"/>
    <w:rsid w:val="706B5423"/>
    <w:rsid w:val="706D1DD0"/>
    <w:rsid w:val="70844E6C"/>
    <w:rsid w:val="70856B87"/>
    <w:rsid w:val="70A44730"/>
    <w:rsid w:val="70A77124"/>
    <w:rsid w:val="70D527EE"/>
    <w:rsid w:val="70FC2AE7"/>
    <w:rsid w:val="71025602"/>
    <w:rsid w:val="710650F2"/>
    <w:rsid w:val="710B0770"/>
    <w:rsid w:val="715B5300"/>
    <w:rsid w:val="715C7A08"/>
    <w:rsid w:val="71816E6E"/>
    <w:rsid w:val="71D27F8A"/>
    <w:rsid w:val="71FA74B6"/>
    <w:rsid w:val="72315D98"/>
    <w:rsid w:val="72374CA3"/>
    <w:rsid w:val="72553024"/>
    <w:rsid w:val="725F53ED"/>
    <w:rsid w:val="728B79DD"/>
    <w:rsid w:val="72CC63F7"/>
    <w:rsid w:val="72CF0ADC"/>
    <w:rsid w:val="72D60CBC"/>
    <w:rsid w:val="730F4CFD"/>
    <w:rsid w:val="73122968"/>
    <w:rsid w:val="731F5D5E"/>
    <w:rsid w:val="735432C6"/>
    <w:rsid w:val="73824EDF"/>
    <w:rsid w:val="739C5B9C"/>
    <w:rsid w:val="73C51AD5"/>
    <w:rsid w:val="740443C3"/>
    <w:rsid w:val="74104587"/>
    <w:rsid w:val="741E793C"/>
    <w:rsid w:val="743E5C7A"/>
    <w:rsid w:val="745E3944"/>
    <w:rsid w:val="74602D6B"/>
    <w:rsid w:val="74636884"/>
    <w:rsid w:val="74B04FB8"/>
    <w:rsid w:val="74BF3B31"/>
    <w:rsid w:val="74EA1A0C"/>
    <w:rsid w:val="75202E72"/>
    <w:rsid w:val="75331B15"/>
    <w:rsid w:val="757A49BD"/>
    <w:rsid w:val="759058D2"/>
    <w:rsid w:val="759E564C"/>
    <w:rsid w:val="75C64E50"/>
    <w:rsid w:val="75CE7510"/>
    <w:rsid w:val="7604624F"/>
    <w:rsid w:val="760904D0"/>
    <w:rsid w:val="76157686"/>
    <w:rsid w:val="76226752"/>
    <w:rsid w:val="762F7144"/>
    <w:rsid w:val="7635099D"/>
    <w:rsid w:val="7682521B"/>
    <w:rsid w:val="76990FA7"/>
    <w:rsid w:val="76E95379"/>
    <w:rsid w:val="76F328BC"/>
    <w:rsid w:val="76FA25E7"/>
    <w:rsid w:val="76FB6B03"/>
    <w:rsid w:val="7702452E"/>
    <w:rsid w:val="7713393C"/>
    <w:rsid w:val="772C6246"/>
    <w:rsid w:val="77355789"/>
    <w:rsid w:val="773D0680"/>
    <w:rsid w:val="77762421"/>
    <w:rsid w:val="77A75DCA"/>
    <w:rsid w:val="77AA30FA"/>
    <w:rsid w:val="77B31576"/>
    <w:rsid w:val="77B56B1F"/>
    <w:rsid w:val="77D76580"/>
    <w:rsid w:val="77E9480C"/>
    <w:rsid w:val="77F9775E"/>
    <w:rsid w:val="780F09F4"/>
    <w:rsid w:val="78774BE4"/>
    <w:rsid w:val="787C3EEC"/>
    <w:rsid w:val="78A50861"/>
    <w:rsid w:val="78A90480"/>
    <w:rsid w:val="78C53631"/>
    <w:rsid w:val="78D34F15"/>
    <w:rsid w:val="78D4237A"/>
    <w:rsid w:val="78E41F7C"/>
    <w:rsid w:val="78FD1981"/>
    <w:rsid w:val="7904202A"/>
    <w:rsid w:val="79091C54"/>
    <w:rsid w:val="790D1244"/>
    <w:rsid w:val="7934083F"/>
    <w:rsid w:val="794A7588"/>
    <w:rsid w:val="794B5E50"/>
    <w:rsid w:val="79A14415"/>
    <w:rsid w:val="79EA5B61"/>
    <w:rsid w:val="7A157808"/>
    <w:rsid w:val="7A1B18E5"/>
    <w:rsid w:val="7A245169"/>
    <w:rsid w:val="7A364017"/>
    <w:rsid w:val="7A612331"/>
    <w:rsid w:val="7A8265E1"/>
    <w:rsid w:val="7AA61FE0"/>
    <w:rsid w:val="7B1B1C73"/>
    <w:rsid w:val="7B4078CD"/>
    <w:rsid w:val="7B684BAC"/>
    <w:rsid w:val="7B686D42"/>
    <w:rsid w:val="7B841746"/>
    <w:rsid w:val="7B8816F2"/>
    <w:rsid w:val="7B9A2097"/>
    <w:rsid w:val="7BF1074D"/>
    <w:rsid w:val="7BF15EA2"/>
    <w:rsid w:val="7BF165E3"/>
    <w:rsid w:val="7C0071E7"/>
    <w:rsid w:val="7C0175BD"/>
    <w:rsid w:val="7C1F42BD"/>
    <w:rsid w:val="7C6C5AC7"/>
    <w:rsid w:val="7C727EB3"/>
    <w:rsid w:val="7CB4634A"/>
    <w:rsid w:val="7CB55428"/>
    <w:rsid w:val="7CC6544B"/>
    <w:rsid w:val="7CE9270B"/>
    <w:rsid w:val="7CF45675"/>
    <w:rsid w:val="7D0239FF"/>
    <w:rsid w:val="7D2A47FD"/>
    <w:rsid w:val="7D5E40CD"/>
    <w:rsid w:val="7D870A50"/>
    <w:rsid w:val="7D9B3066"/>
    <w:rsid w:val="7DCD56F2"/>
    <w:rsid w:val="7DFC46D2"/>
    <w:rsid w:val="7E6D3137"/>
    <w:rsid w:val="7EA075BB"/>
    <w:rsid w:val="7EAC2A89"/>
    <w:rsid w:val="7ECF746B"/>
    <w:rsid w:val="7ED4682F"/>
    <w:rsid w:val="7F001CE7"/>
    <w:rsid w:val="7F115350"/>
    <w:rsid w:val="7F34107C"/>
    <w:rsid w:val="7FA20DF3"/>
    <w:rsid w:val="7FCF4B78"/>
    <w:rsid w:val="7FE47E50"/>
  </w:rsids>
  <m:mathPr>
    <m:mathFont m:val="Times New Roman"/>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qFormat="1"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qFormat="1"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iPriority="99"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2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qFormat="1"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qFormat="1" w:unhideWhenUsed="0" w:uiPriority="0" w:semiHidden="0" w:name="HTML Variable" w:locked="1"/>
    <w:lsdException w:qFormat="1" w:unhideWhenUsed="0" w:uiPriority="0" w:name="Normal Table"/>
    <w:lsdException w:qFormat="1"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semiHidden="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bidi w:val="0"/>
      <w:spacing w:line="520" w:lineRule="exact"/>
      <w:ind w:firstLine="144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49"/>
    <w:qFormat/>
    <w:locked/>
    <w:uiPriority w:val="0"/>
    <w:pPr>
      <w:keepNext/>
      <w:overflowPunct w:val="0"/>
      <w:snapToGrid w:val="0"/>
      <w:spacing w:line="520" w:lineRule="exact"/>
      <w:ind w:left="0" w:hanging="432"/>
      <w:outlineLvl w:val="0"/>
    </w:pPr>
    <w:rPr>
      <w:b/>
      <w:bCs/>
      <w:color w:val="000000"/>
      <w:kern w:val="44"/>
      <w:szCs w:val="30"/>
    </w:rPr>
  </w:style>
  <w:style w:type="paragraph" w:styleId="4">
    <w:name w:val="heading 2"/>
    <w:basedOn w:val="1"/>
    <w:next w:val="1"/>
    <w:link w:val="50"/>
    <w:qFormat/>
    <w:locked/>
    <w:uiPriority w:val="0"/>
    <w:pPr>
      <w:spacing w:before="0" w:beforeAutospacing="0" w:after="0" w:afterAutospacing="0"/>
      <w:jc w:val="left"/>
      <w:outlineLvl w:val="1"/>
    </w:pPr>
    <w:rPr>
      <w:rFonts w:hint="eastAsia" w:ascii="Times New Roman" w:hAnsi="Times New Roman" w:eastAsia="宋体" w:cs="Times New Roman"/>
      <w:b/>
      <w:bCs/>
      <w:kern w:val="0"/>
      <w:szCs w:val="24"/>
      <w:lang w:bidi="ar"/>
    </w:rPr>
  </w:style>
  <w:style w:type="paragraph" w:styleId="5">
    <w:name w:val="heading 3"/>
    <w:basedOn w:val="1"/>
    <w:next w:val="1"/>
    <w:link w:val="60"/>
    <w:qFormat/>
    <w:locked/>
    <w:uiPriority w:val="0"/>
    <w:pPr>
      <w:keepNext/>
      <w:keepLines/>
      <w:spacing w:line="520" w:lineRule="exact"/>
      <w:ind w:firstLine="0" w:firstLineChars="0"/>
      <w:jc w:val="center"/>
      <w:outlineLvl w:val="2"/>
    </w:pPr>
    <w:rPr>
      <w:rFonts w:ascii="Times New Roman" w:hAnsi="Times New Roman" w:eastAsia="宋体"/>
      <w:b/>
      <w:bCs/>
    </w:rPr>
  </w:style>
  <w:style w:type="paragraph" w:styleId="6">
    <w:name w:val="heading 4"/>
    <w:basedOn w:val="1"/>
    <w:next w:val="1"/>
    <w:link w:val="48"/>
    <w:qFormat/>
    <w:locked/>
    <w:uiPriority w:val="0"/>
    <w:pPr>
      <w:keepNext/>
      <w:keepLines/>
      <w:autoSpaceDE w:val="0"/>
      <w:autoSpaceDN w:val="0"/>
      <w:spacing w:line="240" w:lineRule="auto"/>
      <w:ind w:firstLine="0" w:firstLineChars="0"/>
      <w:jc w:val="center"/>
      <w:outlineLvl w:val="3"/>
    </w:pPr>
    <w:rPr>
      <w:rFonts w:ascii="Times New Roman" w:hAnsi="Times New Roman" w:eastAsia="宋体"/>
      <w:sz w:val="21"/>
      <w:szCs w:val="21"/>
    </w:rPr>
  </w:style>
  <w:style w:type="character" w:default="1" w:styleId="35">
    <w:name w:val="Default Paragraph Font"/>
    <w:semiHidden/>
    <w:qFormat/>
    <w:uiPriority w:val="0"/>
  </w:style>
  <w:style w:type="table" w:default="1" w:styleId="33">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lock Text"/>
    <w:basedOn w:val="1"/>
    <w:next w:val="1"/>
    <w:unhideWhenUsed/>
    <w:qFormat/>
    <w:locked/>
    <w:uiPriority w:val="0"/>
    <w:pPr>
      <w:spacing w:beforeLines="0" w:after="120" w:afterLines="0"/>
      <w:ind w:left="1440" w:leftChars="700" w:right="700" w:rightChars="700"/>
    </w:pPr>
    <w:rPr>
      <w:rFonts w:hint="default" w:ascii="Times New Roman" w:hAnsi="Times New Roman" w:eastAsia="宋体" w:cs="Times New Roman"/>
      <w:sz w:val="21"/>
      <w:szCs w:val="24"/>
    </w:rPr>
  </w:style>
  <w:style w:type="paragraph" w:styleId="7">
    <w:name w:val="Normal Indent"/>
    <w:basedOn w:val="1"/>
    <w:next w:val="8"/>
    <w:link w:val="51"/>
    <w:qFormat/>
    <w:locked/>
    <w:uiPriority w:val="0"/>
    <w:pPr>
      <w:spacing w:line="240" w:lineRule="auto"/>
      <w:ind w:firstLine="0" w:firstLineChars="0"/>
      <w:jc w:val="center"/>
    </w:pPr>
    <w:rPr>
      <w:sz w:val="21"/>
      <w:szCs w:val="20"/>
    </w:rPr>
  </w:style>
  <w:style w:type="paragraph" w:customStyle="1" w:styleId="8">
    <w:name w:val="Char Char Char Char Char Char Char Char Char1 Char"/>
    <w:basedOn w:val="1"/>
    <w:next w:val="9"/>
    <w:qFormat/>
    <w:uiPriority w:val="0"/>
    <w:pPr>
      <w:spacing w:line="360" w:lineRule="auto"/>
      <w:ind w:firstLine="200" w:firstLineChars="200"/>
    </w:pPr>
    <w:rPr>
      <w:rFonts w:hAnsi="宋体" w:cs="宋体"/>
      <w:spacing w:val="5"/>
      <w:sz w:val="24"/>
    </w:rPr>
  </w:style>
  <w:style w:type="paragraph" w:styleId="9">
    <w:name w:val="Body Text First Indent"/>
    <w:basedOn w:val="10"/>
    <w:next w:val="1"/>
    <w:link w:val="74"/>
    <w:qFormat/>
    <w:locked/>
    <w:uiPriority w:val="0"/>
    <w:pPr>
      <w:widowControl w:val="0"/>
      <w:snapToGrid/>
      <w:spacing w:before="0" w:after="120" w:line="240" w:lineRule="auto"/>
      <w:ind w:right="0" w:firstLine="420" w:firstLineChars="100"/>
    </w:pPr>
    <w:rPr>
      <w:kern w:val="2"/>
      <w:sz w:val="21"/>
      <w:szCs w:val="24"/>
    </w:rPr>
  </w:style>
  <w:style w:type="paragraph" w:styleId="10">
    <w:name w:val="Body Text"/>
    <w:basedOn w:val="1"/>
    <w:link w:val="63"/>
    <w:qFormat/>
    <w:uiPriority w:val="99"/>
    <w:pPr>
      <w:widowControl/>
      <w:snapToGrid w:val="0"/>
      <w:spacing w:before="60" w:after="160" w:line="259" w:lineRule="auto"/>
      <w:ind w:right="113"/>
    </w:pPr>
    <w:rPr>
      <w:kern w:val="0"/>
      <w:sz w:val="18"/>
      <w:szCs w:val="20"/>
    </w:rPr>
  </w:style>
  <w:style w:type="paragraph" w:styleId="11">
    <w:name w:val="caption"/>
    <w:basedOn w:val="1"/>
    <w:next w:val="1"/>
    <w:qFormat/>
    <w:locked/>
    <w:uiPriority w:val="0"/>
    <w:rPr>
      <w:rFonts w:ascii="Cambria" w:hAnsi="Cambria" w:eastAsia="黑体"/>
      <w:sz w:val="20"/>
      <w:szCs w:val="20"/>
    </w:rPr>
  </w:style>
  <w:style w:type="paragraph" w:styleId="12">
    <w:name w:val="Document Map"/>
    <w:basedOn w:val="1"/>
    <w:link w:val="61"/>
    <w:qFormat/>
    <w:locked/>
    <w:uiPriority w:val="0"/>
    <w:rPr>
      <w:rFonts w:ascii="宋体"/>
      <w:kern w:val="0"/>
      <w:sz w:val="18"/>
      <w:szCs w:val="18"/>
    </w:rPr>
  </w:style>
  <w:style w:type="paragraph" w:styleId="13">
    <w:name w:val="annotation text"/>
    <w:basedOn w:val="1"/>
    <w:link w:val="62"/>
    <w:qFormat/>
    <w:uiPriority w:val="0"/>
    <w:pPr>
      <w:jc w:val="left"/>
    </w:pPr>
    <w:rPr>
      <w:kern w:val="0"/>
      <w:sz w:val="24"/>
      <w:szCs w:val="20"/>
    </w:rPr>
  </w:style>
  <w:style w:type="paragraph" w:styleId="14">
    <w:name w:val="Salutation"/>
    <w:basedOn w:val="1"/>
    <w:next w:val="1"/>
    <w:qFormat/>
    <w:locked/>
    <w:uiPriority w:val="0"/>
    <w:rPr>
      <w:rFonts w:ascii="Times New Roman" w:hAnsi="Times New Roman" w:eastAsia="宋体" w:cs="Times New Roman"/>
    </w:rPr>
  </w:style>
  <w:style w:type="paragraph" w:styleId="15">
    <w:name w:val="Body Text Indent"/>
    <w:basedOn w:val="1"/>
    <w:link w:val="64"/>
    <w:qFormat/>
    <w:uiPriority w:val="0"/>
    <w:pPr>
      <w:spacing w:after="120"/>
      <w:ind w:left="420" w:leftChars="200"/>
    </w:pPr>
    <w:rPr>
      <w:kern w:val="0"/>
      <w:sz w:val="24"/>
      <w:szCs w:val="20"/>
    </w:rPr>
  </w:style>
  <w:style w:type="paragraph" w:styleId="16">
    <w:name w:val="List 2"/>
    <w:basedOn w:val="1"/>
    <w:qFormat/>
    <w:locked/>
    <w:uiPriority w:val="0"/>
    <w:pPr>
      <w:adjustRightInd w:val="0"/>
      <w:spacing w:line="312" w:lineRule="atLeast"/>
      <w:ind w:left="840" w:hanging="420"/>
      <w:textAlignment w:val="baseline"/>
    </w:pPr>
    <w:rPr>
      <w:rFonts w:eastAsia="标宋体"/>
      <w:kern w:val="0"/>
      <w:sz w:val="28"/>
      <w:szCs w:val="20"/>
    </w:rPr>
  </w:style>
  <w:style w:type="paragraph" w:styleId="17">
    <w:name w:val="Plain Text"/>
    <w:basedOn w:val="1"/>
    <w:link w:val="65"/>
    <w:qFormat/>
    <w:locked/>
    <w:uiPriority w:val="0"/>
    <w:rPr>
      <w:rFonts w:ascii="宋体" w:hAnsi="Courier New" w:cs="Courier New"/>
      <w:kern w:val="0"/>
      <w:sz w:val="20"/>
      <w:szCs w:val="21"/>
    </w:rPr>
  </w:style>
  <w:style w:type="paragraph" w:styleId="18">
    <w:name w:val="List Bullet 5"/>
    <w:basedOn w:val="1"/>
    <w:link w:val="169"/>
    <w:qFormat/>
    <w:locked/>
    <w:uiPriority w:val="0"/>
    <w:pPr>
      <w:numPr>
        <w:ilvl w:val="0"/>
        <w:numId w:val="1"/>
      </w:numPr>
    </w:pPr>
  </w:style>
  <w:style w:type="paragraph" w:styleId="19">
    <w:name w:val="Date"/>
    <w:basedOn w:val="1"/>
    <w:next w:val="1"/>
    <w:link w:val="66"/>
    <w:qFormat/>
    <w:uiPriority w:val="0"/>
    <w:pPr>
      <w:ind w:left="100" w:leftChars="2500"/>
    </w:pPr>
    <w:rPr>
      <w:kern w:val="0"/>
      <w:sz w:val="24"/>
      <w:szCs w:val="20"/>
    </w:rPr>
  </w:style>
  <w:style w:type="paragraph" w:styleId="20">
    <w:name w:val="Body Text Indent 2"/>
    <w:basedOn w:val="1"/>
    <w:link w:val="67"/>
    <w:qFormat/>
    <w:locked/>
    <w:uiPriority w:val="0"/>
    <w:pPr>
      <w:spacing w:after="120" w:line="480" w:lineRule="auto"/>
      <w:ind w:left="420" w:leftChars="200"/>
    </w:pPr>
  </w:style>
  <w:style w:type="paragraph" w:styleId="21">
    <w:name w:val="Balloon Text"/>
    <w:basedOn w:val="1"/>
    <w:link w:val="68"/>
    <w:qFormat/>
    <w:uiPriority w:val="0"/>
    <w:rPr>
      <w:kern w:val="0"/>
      <w:sz w:val="18"/>
      <w:szCs w:val="20"/>
    </w:rPr>
  </w:style>
  <w:style w:type="paragraph" w:styleId="22">
    <w:name w:val="footer"/>
    <w:basedOn w:val="1"/>
    <w:link w:val="69"/>
    <w:qFormat/>
    <w:uiPriority w:val="99"/>
    <w:pPr>
      <w:tabs>
        <w:tab w:val="center" w:pos="4153"/>
        <w:tab w:val="right" w:pos="8306"/>
      </w:tabs>
      <w:snapToGrid w:val="0"/>
      <w:jc w:val="left"/>
    </w:pPr>
    <w:rPr>
      <w:kern w:val="0"/>
      <w:sz w:val="18"/>
      <w:szCs w:val="20"/>
    </w:rPr>
  </w:style>
  <w:style w:type="paragraph" w:styleId="23">
    <w:name w:val="header"/>
    <w:basedOn w:val="1"/>
    <w:link w:val="70"/>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toc 1"/>
    <w:basedOn w:val="1"/>
    <w:next w:val="1"/>
    <w:qFormat/>
    <w:locked/>
    <w:uiPriority w:val="39"/>
  </w:style>
  <w:style w:type="paragraph" w:styleId="25">
    <w:name w:val="List"/>
    <w:basedOn w:val="1"/>
    <w:qFormat/>
    <w:locked/>
    <w:uiPriority w:val="0"/>
    <w:pPr>
      <w:ind w:left="200" w:hanging="200" w:hangingChars="200"/>
    </w:pPr>
    <w:rPr>
      <w:rFonts w:ascii="Times New Roman" w:hAnsi="Times New Roman" w:eastAsia="宋体" w:cs="Times New Roman"/>
      <w:szCs w:val="24"/>
    </w:rPr>
  </w:style>
  <w:style w:type="paragraph" w:styleId="26">
    <w:name w:val="footnote text"/>
    <w:basedOn w:val="1"/>
    <w:link w:val="71"/>
    <w:qFormat/>
    <w:locked/>
    <w:uiPriority w:val="0"/>
    <w:pPr>
      <w:snapToGrid w:val="0"/>
      <w:jc w:val="left"/>
    </w:pPr>
    <w:rPr>
      <w:sz w:val="18"/>
      <w:szCs w:val="18"/>
    </w:rPr>
  </w:style>
  <w:style w:type="paragraph" w:styleId="27">
    <w:name w:val="table of figures"/>
    <w:basedOn w:val="1"/>
    <w:next w:val="1"/>
    <w:unhideWhenUsed/>
    <w:qFormat/>
    <w:locked/>
    <w:uiPriority w:val="99"/>
    <w:pPr>
      <w:widowControl/>
      <w:spacing w:line="240" w:lineRule="auto"/>
      <w:ind w:firstLine="0" w:firstLineChars="0"/>
      <w:jc w:val="center"/>
    </w:pPr>
    <w:rPr>
      <w:kern w:val="0"/>
      <w:sz w:val="21"/>
      <w:szCs w:val="21"/>
      <w:lang w:bidi="ar"/>
    </w:rPr>
  </w:style>
  <w:style w:type="paragraph" w:styleId="28">
    <w:name w:val="Body Text 2"/>
    <w:basedOn w:val="1"/>
    <w:unhideWhenUsed/>
    <w:qFormat/>
    <w:locked/>
    <w:uiPriority w:val="99"/>
    <w:pPr>
      <w:spacing w:after="120" w:line="480" w:lineRule="auto"/>
    </w:pPr>
  </w:style>
  <w:style w:type="paragraph" w:styleId="29">
    <w:name w:val="HTML Preformatted"/>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0">
    <w:name w:val="Normal (Web)"/>
    <w:basedOn w:val="1"/>
    <w:link w:val="72"/>
    <w:qFormat/>
    <w:uiPriority w:val="0"/>
    <w:pPr>
      <w:widowControl/>
      <w:spacing w:before="100" w:beforeAutospacing="1" w:after="100" w:afterAutospacing="1"/>
      <w:jc w:val="left"/>
    </w:pPr>
    <w:rPr>
      <w:rFonts w:ascii="宋体" w:hAnsi="宋体"/>
      <w:kern w:val="0"/>
      <w:sz w:val="24"/>
      <w:szCs w:val="20"/>
    </w:rPr>
  </w:style>
  <w:style w:type="paragraph" w:styleId="31">
    <w:name w:val="annotation subject"/>
    <w:basedOn w:val="13"/>
    <w:next w:val="13"/>
    <w:link w:val="73"/>
    <w:qFormat/>
    <w:uiPriority w:val="0"/>
    <w:rPr>
      <w:b/>
      <w:sz w:val="24"/>
      <w:szCs w:val="20"/>
    </w:rPr>
  </w:style>
  <w:style w:type="paragraph" w:styleId="32">
    <w:name w:val="Body Text First Indent 2"/>
    <w:basedOn w:val="15"/>
    <w:link w:val="75"/>
    <w:qFormat/>
    <w:locked/>
    <w:uiPriority w:val="0"/>
    <w:pPr>
      <w:spacing w:line="520" w:lineRule="exact"/>
      <w:ind w:left="0" w:leftChars="0" w:firstLine="420" w:firstLineChars="200"/>
    </w:pPr>
    <w:rPr>
      <w:rFonts w:ascii="Times New Roman" w:hAnsi="Times New Roman" w:eastAsia="宋体"/>
      <w:kern w:val="2"/>
      <w:sz w:val="24"/>
      <w:szCs w:val="24"/>
    </w:rPr>
  </w:style>
  <w:style w:type="table" w:styleId="34">
    <w:name w:val="Table Grid"/>
    <w:basedOn w:val="3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locked/>
    <w:uiPriority w:val="0"/>
    <w:rPr>
      <w:rFonts w:ascii="Times New Roman" w:hAnsi="Times New Roman" w:eastAsia="宋体" w:cs="Times New Roman"/>
      <w:b/>
      <w:bCs/>
    </w:rPr>
  </w:style>
  <w:style w:type="character" w:styleId="37">
    <w:name w:val="page number"/>
    <w:qFormat/>
    <w:locked/>
    <w:uiPriority w:val="0"/>
  </w:style>
  <w:style w:type="character" w:styleId="38">
    <w:name w:val="FollowedHyperlink"/>
    <w:qFormat/>
    <w:locked/>
    <w:uiPriority w:val="0"/>
    <w:rPr>
      <w:rFonts w:ascii="Times New Roman" w:hAnsi="Times New Roman" w:eastAsia="宋体" w:cs="Times New Roman"/>
      <w:color w:val="3F4344"/>
      <w:u w:val="none"/>
    </w:rPr>
  </w:style>
  <w:style w:type="character" w:styleId="39">
    <w:name w:val="Emphasis"/>
    <w:qFormat/>
    <w:locked/>
    <w:uiPriority w:val="20"/>
    <w:rPr>
      <w:i/>
      <w:iCs/>
      <w:color w:val="auto"/>
    </w:rPr>
  </w:style>
  <w:style w:type="character" w:styleId="40">
    <w:name w:val="HTML Definition"/>
    <w:basedOn w:val="35"/>
    <w:qFormat/>
    <w:locked/>
    <w:uiPriority w:val="0"/>
  </w:style>
  <w:style w:type="character" w:styleId="41">
    <w:name w:val="HTML Acronym"/>
    <w:basedOn w:val="35"/>
    <w:qFormat/>
    <w:locked/>
    <w:uiPriority w:val="0"/>
  </w:style>
  <w:style w:type="character" w:styleId="42">
    <w:name w:val="HTML Variable"/>
    <w:basedOn w:val="35"/>
    <w:qFormat/>
    <w:locked/>
    <w:uiPriority w:val="0"/>
  </w:style>
  <w:style w:type="character" w:styleId="43">
    <w:name w:val="Hyperlink"/>
    <w:qFormat/>
    <w:locked/>
    <w:uiPriority w:val="0"/>
    <w:rPr>
      <w:rFonts w:ascii="Times New Roman" w:hAnsi="Times New Roman" w:eastAsia="宋体" w:cs="Times New Roman"/>
      <w:color w:val="3F4344"/>
      <w:u w:val="none"/>
    </w:rPr>
  </w:style>
  <w:style w:type="character" w:styleId="44">
    <w:name w:val="HTML Code"/>
    <w:basedOn w:val="35"/>
    <w:qFormat/>
    <w:locked/>
    <w:uiPriority w:val="0"/>
    <w:rPr>
      <w:rFonts w:ascii="Courier New" w:hAnsi="Courier New"/>
      <w:sz w:val="20"/>
    </w:rPr>
  </w:style>
  <w:style w:type="character" w:styleId="45">
    <w:name w:val="annotation reference"/>
    <w:qFormat/>
    <w:uiPriority w:val="0"/>
    <w:rPr>
      <w:sz w:val="21"/>
    </w:rPr>
  </w:style>
  <w:style w:type="character" w:styleId="46">
    <w:name w:val="HTML Cite"/>
    <w:basedOn w:val="35"/>
    <w:qFormat/>
    <w:locked/>
    <w:uiPriority w:val="0"/>
  </w:style>
  <w:style w:type="character" w:styleId="47">
    <w:name w:val="footnote reference"/>
    <w:qFormat/>
    <w:locked/>
    <w:uiPriority w:val="0"/>
    <w:rPr>
      <w:rFonts w:ascii="Times New Roman" w:hAnsi="Times New Roman" w:eastAsia="宋体" w:cs="Times New Roman"/>
      <w:vertAlign w:val="superscript"/>
    </w:rPr>
  </w:style>
  <w:style w:type="character" w:customStyle="1" w:styleId="48">
    <w:name w:val="标题 4 字符"/>
    <w:link w:val="6"/>
    <w:qFormat/>
    <w:uiPriority w:val="0"/>
    <w:rPr>
      <w:rFonts w:ascii="Times New Roman" w:hAnsi="Times New Roman" w:eastAsia="宋体"/>
      <w:kern w:val="2"/>
      <w:sz w:val="21"/>
      <w:szCs w:val="21"/>
    </w:rPr>
  </w:style>
  <w:style w:type="character" w:customStyle="1" w:styleId="49">
    <w:name w:val="标题 1 字符"/>
    <w:link w:val="3"/>
    <w:qFormat/>
    <w:uiPriority w:val="0"/>
    <w:rPr>
      <w:rFonts w:ascii="Times New Roman" w:hAnsi="Times New Roman" w:eastAsia="宋体"/>
      <w:b/>
      <w:bCs/>
      <w:color w:val="000000"/>
      <w:kern w:val="44"/>
      <w:sz w:val="24"/>
      <w:szCs w:val="30"/>
    </w:rPr>
  </w:style>
  <w:style w:type="character" w:customStyle="1" w:styleId="50">
    <w:name w:val="标题 2 字符"/>
    <w:link w:val="4"/>
    <w:qFormat/>
    <w:uiPriority w:val="0"/>
    <w:rPr>
      <w:rFonts w:ascii="Times New Roman" w:hAnsi="Times New Roman" w:eastAsia="宋体" w:cs="Times New Roman"/>
      <w:b/>
      <w:bCs/>
      <w:sz w:val="24"/>
      <w:szCs w:val="24"/>
    </w:rPr>
  </w:style>
  <w:style w:type="character" w:customStyle="1" w:styleId="51">
    <w:name w:val="正文缩进 字符"/>
    <w:link w:val="7"/>
    <w:qFormat/>
    <w:uiPriority w:val="0"/>
    <w:rPr>
      <w:rFonts w:ascii="Times New Roman" w:hAnsi="Times New Roman" w:eastAsia="宋体"/>
      <w:kern w:val="2"/>
      <w:sz w:val="21"/>
    </w:rPr>
  </w:style>
  <w:style w:type="paragraph" w:customStyle="1" w:styleId="52">
    <w:name w:val="Default"/>
    <w:basedOn w:val="53"/>
    <w:next w:val="1"/>
    <w:unhideWhenUsed/>
    <w:qFormat/>
    <w:uiPriority w:val="99"/>
    <w:pPr>
      <w:widowControl w:val="0"/>
      <w:autoSpaceDE w:val="0"/>
      <w:autoSpaceDN w:val="0"/>
      <w:adjustRightInd w:val="0"/>
    </w:pPr>
    <w:rPr>
      <w:rFonts w:hint="eastAsia" w:ascii="宋体" w:hAnsi="宋体"/>
      <w:color w:val="000000"/>
      <w:sz w:val="24"/>
      <w:lang w:val="en-US" w:eastAsia="zh-CN" w:bidi="ar-SA"/>
    </w:rPr>
  </w:style>
  <w:style w:type="paragraph" w:customStyle="1" w:styleId="53">
    <w:name w:val="1 表头"/>
    <w:basedOn w:val="1"/>
    <w:qFormat/>
    <w:uiPriority w:val="0"/>
    <w:pPr>
      <w:adjustRightInd w:val="0"/>
      <w:snapToGrid w:val="0"/>
      <w:spacing w:line="240" w:lineRule="auto"/>
      <w:ind w:firstLine="0" w:firstLineChars="0"/>
      <w:jc w:val="center"/>
    </w:pPr>
    <w:rPr>
      <w:b/>
      <w:color w:val="000000"/>
      <w:sz w:val="21"/>
      <w:szCs w:val="21"/>
    </w:rPr>
  </w:style>
  <w:style w:type="paragraph" w:customStyle="1" w:styleId="54">
    <w:name w:val="正文1"/>
    <w:basedOn w:val="1"/>
    <w:next w:val="1"/>
    <w:qFormat/>
    <w:uiPriority w:val="0"/>
    <w:pPr>
      <w:adjustRightInd w:val="0"/>
      <w:snapToGrid w:val="0"/>
      <w:spacing w:line="520" w:lineRule="exact"/>
      <w:ind w:firstLine="584" w:firstLineChars="200"/>
      <w:textAlignment w:val="baseline"/>
    </w:pPr>
    <w:rPr>
      <w:rFonts w:ascii="宋体" w:hAnsi="宋体" w:cs="Arial"/>
      <w:bCs/>
      <w:snapToGrid w:val="0"/>
      <w:color w:val="000000"/>
      <w:spacing w:val="6"/>
      <w:kern w:val="0"/>
      <w:sz w:val="28"/>
      <w:szCs w:val="28"/>
    </w:rPr>
  </w:style>
  <w:style w:type="paragraph" w:customStyle="1" w:styleId="55">
    <w:name w:val="Default1"/>
    <w:basedOn w:val="56"/>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6">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57">
    <w:name w:val="Body Text First Indent1"/>
    <w:next w:val="1"/>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styleId="58">
    <w:name w:val="List Paragraph"/>
    <w:basedOn w:val="1"/>
    <w:qFormat/>
    <w:uiPriority w:val="99"/>
    <w:pPr>
      <w:ind w:firstLine="420" w:firstLineChars="200"/>
    </w:pPr>
  </w:style>
  <w:style w:type="paragraph" w:customStyle="1" w:styleId="59">
    <w:name w:val="xl27"/>
    <w:basedOn w:val="1"/>
    <w:next w:val="1"/>
    <w:qFormat/>
    <w:uiPriority w:val="0"/>
    <w:pPr>
      <w:widowControl/>
      <w:pBdr>
        <w:bottom w:val="single" w:color="auto" w:sz="4" w:space="0"/>
        <w:right w:val="single" w:color="auto" w:sz="4" w:space="0"/>
      </w:pBdr>
      <w:spacing w:before="100" w:beforeLines="0" w:beforeAutospacing="1" w:after="100" w:afterLines="0" w:afterAutospacing="1"/>
      <w:jc w:val="center"/>
    </w:pPr>
    <w:rPr>
      <w:rFonts w:ascii="Times New Roman" w:hAnsi="Times New Roman" w:eastAsia="宋体" w:cs="Times New Roman"/>
      <w:kern w:val="0"/>
      <w:szCs w:val="21"/>
    </w:rPr>
  </w:style>
  <w:style w:type="character" w:customStyle="1" w:styleId="60">
    <w:name w:val="标题 3 字符"/>
    <w:link w:val="5"/>
    <w:qFormat/>
    <w:uiPriority w:val="0"/>
    <w:rPr>
      <w:rFonts w:ascii="Times New Roman" w:hAnsi="Times New Roman" w:eastAsia="宋体"/>
      <w:b/>
      <w:bCs/>
      <w:kern w:val="2"/>
      <w:sz w:val="24"/>
      <w:szCs w:val="24"/>
    </w:rPr>
  </w:style>
  <w:style w:type="character" w:customStyle="1" w:styleId="61">
    <w:name w:val="文档结构图 字符"/>
    <w:link w:val="12"/>
    <w:qFormat/>
    <w:uiPriority w:val="0"/>
    <w:rPr>
      <w:rFonts w:ascii="宋体"/>
      <w:sz w:val="18"/>
      <w:szCs w:val="18"/>
    </w:rPr>
  </w:style>
  <w:style w:type="character" w:customStyle="1" w:styleId="62">
    <w:name w:val="批注文字 字符"/>
    <w:link w:val="13"/>
    <w:qFormat/>
    <w:locked/>
    <w:uiPriority w:val="0"/>
    <w:rPr>
      <w:rFonts w:ascii="Times New Roman" w:hAnsi="Times New Roman" w:eastAsia="宋体"/>
      <w:sz w:val="24"/>
    </w:rPr>
  </w:style>
  <w:style w:type="character" w:customStyle="1" w:styleId="63">
    <w:name w:val="正文文本 字符"/>
    <w:link w:val="10"/>
    <w:qFormat/>
    <w:locked/>
    <w:uiPriority w:val="0"/>
    <w:rPr>
      <w:sz w:val="18"/>
    </w:rPr>
  </w:style>
  <w:style w:type="character" w:customStyle="1" w:styleId="64">
    <w:name w:val="正文文本缩进 字符"/>
    <w:link w:val="15"/>
    <w:qFormat/>
    <w:locked/>
    <w:uiPriority w:val="0"/>
    <w:rPr>
      <w:rFonts w:ascii="Times New Roman" w:hAnsi="Times New Roman" w:eastAsia="宋体"/>
      <w:sz w:val="24"/>
    </w:rPr>
  </w:style>
  <w:style w:type="character" w:customStyle="1" w:styleId="65">
    <w:name w:val="纯文本 字符"/>
    <w:link w:val="17"/>
    <w:qFormat/>
    <w:uiPriority w:val="0"/>
    <w:rPr>
      <w:rFonts w:ascii="宋体" w:hAnsi="Courier New" w:cs="Courier New"/>
      <w:szCs w:val="21"/>
    </w:rPr>
  </w:style>
  <w:style w:type="character" w:customStyle="1" w:styleId="66">
    <w:name w:val="日期 字符1"/>
    <w:link w:val="19"/>
    <w:qFormat/>
    <w:locked/>
    <w:uiPriority w:val="0"/>
    <w:rPr>
      <w:rFonts w:ascii="Times New Roman" w:hAnsi="Times New Roman" w:eastAsia="宋体"/>
      <w:sz w:val="24"/>
    </w:rPr>
  </w:style>
  <w:style w:type="character" w:customStyle="1" w:styleId="67">
    <w:name w:val="正文文本缩进 2 字符"/>
    <w:link w:val="20"/>
    <w:qFormat/>
    <w:uiPriority w:val="0"/>
    <w:rPr>
      <w:kern w:val="2"/>
      <w:sz w:val="21"/>
      <w:szCs w:val="24"/>
    </w:rPr>
  </w:style>
  <w:style w:type="character" w:customStyle="1" w:styleId="68">
    <w:name w:val="批注框文本 字符"/>
    <w:link w:val="21"/>
    <w:qFormat/>
    <w:locked/>
    <w:uiPriority w:val="0"/>
    <w:rPr>
      <w:rFonts w:ascii="Times New Roman" w:hAnsi="Times New Roman" w:eastAsia="宋体"/>
      <w:sz w:val="18"/>
    </w:rPr>
  </w:style>
  <w:style w:type="character" w:customStyle="1" w:styleId="69">
    <w:name w:val="页脚 字符1"/>
    <w:link w:val="22"/>
    <w:qFormat/>
    <w:locked/>
    <w:uiPriority w:val="99"/>
    <w:rPr>
      <w:sz w:val="18"/>
    </w:rPr>
  </w:style>
  <w:style w:type="character" w:customStyle="1" w:styleId="70">
    <w:name w:val="页眉 字符"/>
    <w:link w:val="23"/>
    <w:qFormat/>
    <w:locked/>
    <w:uiPriority w:val="0"/>
    <w:rPr>
      <w:sz w:val="18"/>
    </w:rPr>
  </w:style>
  <w:style w:type="character" w:customStyle="1" w:styleId="71">
    <w:name w:val="脚注文本 字符"/>
    <w:link w:val="26"/>
    <w:qFormat/>
    <w:uiPriority w:val="0"/>
    <w:rPr>
      <w:kern w:val="2"/>
      <w:sz w:val="18"/>
      <w:szCs w:val="18"/>
    </w:rPr>
  </w:style>
  <w:style w:type="character" w:customStyle="1" w:styleId="72">
    <w:name w:val="普通(网站) 字符"/>
    <w:link w:val="30"/>
    <w:qFormat/>
    <w:locked/>
    <w:uiPriority w:val="0"/>
    <w:rPr>
      <w:rFonts w:ascii="宋体" w:hAnsi="宋体" w:eastAsia="宋体"/>
      <w:sz w:val="24"/>
    </w:rPr>
  </w:style>
  <w:style w:type="character" w:customStyle="1" w:styleId="73">
    <w:name w:val="批注主题 字符"/>
    <w:link w:val="31"/>
    <w:qFormat/>
    <w:locked/>
    <w:uiPriority w:val="0"/>
    <w:rPr>
      <w:rFonts w:ascii="Times New Roman" w:hAnsi="Times New Roman" w:eastAsia="宋体"/>
      <w:b/>
      <w:kern w:val="2"/>
      <w:sz w:val="24"/>
    </w:rPr>
  </w:style>
  <w:style w:type="character" w:customStyle="1" w:styleId="74">
    <w:name w:val="正文文本首行缩进 字符"/>
    <w:link w:val="9"/>
    <w:qFormat/>
    <w:uiPriority w:val="0"/>
    <w:rPr>
      <w:kern w:val="2"/>
      <w:sz w:val="21"/>
      <w:szCs w:val="24"/>
    </w:rPr>
  </w:style>
  <w:style w:type="character" w:customStyle="1" w:styleId="75">
    <w:name w:val="正文文本首行缩进 2 字符"/>
    <w:link w:val="32"/>
    <w:qFormat/>
    <w:uiPriority w:val="0"/>
    <w:rPr>
      <w:rFonts w:ascii="Times New Roman" w:hAnsi="Times New Roman" w:eastAsia="宋体"/>
      <w:kern w:val="2"/>
      <w:sz w:val="24"/>
      <w:szCs w:val="24"/>
    </w:rPr>
  </w:style>
  <w:style w:type="paragraph" w:customStyle="1" w:styleId="76">
    <w:name w:val="1"/>
    <w:basedOn w:val="24"/>
    <w:next w:val="28"/>
    <w:semiHidden/>
    <w:qFormat/>
    <w:uiPriority w:val="0"/>
    <w:pPr>
      <w:tabs>
        <w:tab w:val="right" w:leader="dot" w:pos="8296"/>
      </w:tabs>
    </w:pPr>
  </w:style>
  <w:style w:type="paragraph" w:customStyle="1" w:styleId="77">
    <w:name w:val="表格内"/>
    <w:basedOn w:val="1"/>
    <w:qFormat/>
    <w:uiPriority w:val="0"/>
    <w:pPr>
      <w:widowControl/>
      <w:spacing w:line="360" w:lineRule="exact"/>
      <w:jc w:val="center"/>
    </w:pPr>
    <w:rPr>
      <w:snapToGrid w:val="0"/>
      <w:kern w:val="0"/>
      <w:sz w:val="24"/>
      <w:szCs w:val="21"/>
    </w:rPr>
  </w:style>
  <w:style w:type="character" w:customStyle="1" w:styleId="78">
    <w:name w:val="页脚 字符"/>
    <w:qFormat/>
    <w:uiPriority w:val="99"/>
  </w:style>
  <w:style w:type="character" w:customStyle="1" w:styleId="79">
    <w:name w:val="正文文本 字符1"/>
    <w:semiHidden/>
    <w:qFormat/>
    <w:uiPriority w:val="0"/>
    <w:rPr>
      <w:rFonts w:ascii="Times New Roman" w:hAnsi="Times New Roman" w:eastAsia="宋体"/>
      <w:sz w:val="24"/>
    </w:rPr>
  </w:style>
  <w:style w:type="character" w:customStyle="1" w:styleId="80">
    <w:name w:val="表格 Char"/>
    <w:link w:val="81"/>
    <w:qFormat/>
    <w:locked/>
    <w:uiPriority w:val="0"/>
    <w:rPr>
      <w:rFonts w:ascii="宋体"/>
      <w:sz w:val="21"/>
    </w:rPr>
  </w:style>
  <w:style w:type="paragraph" w:customStyle="1" w:styleId="81">
    <w:name w:val="表格"/>
    <w:basedOn w:val="1"/>
    <w:next w:val="1"/>
    <w:link w:val="80"/>
    <w:qFormat/>
    <w:uiPriority w:val="0"/>
    <w:pPr>
      <w:adjustRightInd w:val="0"/>
      <w:snapToGrid w:val="0"/>
      <w:spacing w:beforeLines="10" w:afterLines="10" w:line="259" w:lineRule="auto"/>
      <w:jc w:val="center"/>
    </w:pPr>
    <w:rPr>
      <w:rFonts w:ascii="宋体"/>
      <w:kern w:val="0"/>
      <w:szCs w:val="20"/>
    </w:rPr>
  </w:style>
  <w:style w:type="character" w:customStyle="1" w:styleId="82">
    <w:name w:val="日期 字符"/>
    <w:qFormat/>
    <w:uiPriority w:val="0"/>
    <w:rPr>
      <w:rFonts w:ascii="Times New Roman" w:hAnsi="Times New Roman" w:eastAsia="宋体"/>
      <w:sz w:val="24"/>
    </w:rPr>
  </w:style>
  <w:style w:type="character" w:customStyle="1" w:styleId="83">
    <w:name w:val="批注文字 字符1"/>
    <w:qFormat/>
    <w:uiPriority w:val="0"/>
    <w:rPr>
      <w:rFonts w:ascii="Times New Roman" w:hAnsi="Times New Roman" w:eastAsia="宋体"/>
      <w:sz w:val="24"/>
    </w:rPr>
  </w:style>
  <w:style w:type="paragraph" w:customStyle="1" w:styleId="8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5">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86">
    <w:name w:val="纯文本 Char"/>
    <w:qFormat/>
    <w:uiPriority w:val="0"/>
    <w:rPr>
      <w:rFonts w:ascii="宋体" w:hAnsi="Courier New" w:eastAsia="宋体" w:cs="Courier New"/>
      <w:szCs w:val="21"/>
    </w:rPr>
  </w:style>
  <w:style w:type="character" w:customStyle="1" w:styleId="87">
    <w:name w:val="正文文本缩进 2 Char"/>
    <w:qFormat/>
    <w:uiPriority w:val="0"/>
    <w:rPr>
      <w:rFonts w:ascii="Times New Roman" w:hAnsi="Times New Roman" w:eastAsia="宋体" w:cs="Times New Roman"/>
      <w:szCs w:val="24"/>
    </w:rPr>
  </w:style>
  <w:style w:type="character" w:customStyle="1" w:styleId="88">
    <w:name w:val="font31"/>
    <w:qFormat/>
    <w:uiPriority w:val="0"/>
    <w:rPr>
      <w:rFonts w:hint="eastAsia" w:ascii="宋体" w:hAnsi="宋体" w:eastAsia="宋体" w:cs="宋体"/>
      <w:color w:val="1807F7"/>
      <w:sz w:val="21"/>
      <w:szCs w:val="21"/>
      <w:u w:val="none"/>
      <w:vertAlign w:val="subscript"/>
    </w:rPr>
  </w:style>
  <w:style w:type="character" w:customStyle="1" w:styleId="89">
    <w:name w:val="fontstyle21"/>
    <w:qFormat/>
    <w:uiPriority w:val="0"/>
    <w:rPr>
      <w:rFonts w:hint="eastAsia" w:ascii="华文新魏" w:hAnsi="Times New Roman" w:eastAsia="华文新魏" w:cs="Times New Roman"/>
      <w:color w:val="000000"/>
      <w:sz w:val="22"/>
      <w:szCs w:val="22"/>
    </w:rPr>
  </w:style>
  <w:style w:type="character" w:customStyle="1" w:styleId="90">
    <w:name w:val="font01"/>
    <w:qFormat/>
    <w:uiPriority w:val="0"/>
    <w:rPr>
      <w:rFonts w:hint="eastAsia" w:ascii="宋体" w:hAnsi="宋体" w:eastAsia="宋体" w:cs="宋体"/>
      <w:color w:val="FF0000"/>
      <w:sz w:val="21"/>
      <w:szCs w:val="21"/>
      <w:u w:val="none"/>
    </w:rPr>
  </w:style>
  <w:style w:type="character" w:customStyle="1" w:styleId="91">
    <w:name w:val="批注文字 Char"/>
    <w:qFormat/>
    <w:uiPriority w:val="0"/>
    <w:rPr>
      <w:rFonts w:ascii="Times New Roman" w:hAnsi="Times New Roman" w:eastAsia="宋体" w:cs="Times New Roman"/>
      <w:szCs w:val="24"/>
    </w:rPr>
  </w:style>
  <w:style w:type="character" w:customStyle="1" w:styleId="92">
    <w:name w:val="文档结构图 Char"/>
    <w:qFormat/>
    <w:uiPriority w:val="0"/>
    <w:rPr>
      <w:rFonts w:ascii="宋体" w:hAnsi="Times New Roman" w:eastAsia="宋体" w:cs="Times New Roman"/>
      <w:sz w:val="18"/>
      <w:szCs w:val="18"/>
    </w:rPr>
  </w:style>
  <w:style w:type="character" w:customStyle="1" w:styleId="93">
    <w:name w:val="表格内文字 Char"/>
    <w:link w:val="94"/>
    <w:qFormat/>
    <w:uiPriority w:val="0"/>
    <w:rPr>
      <w:kern w:val="2"/>
      <w:sz w:val="21"/>
      <w:szCs w:val="21"/>
    </w:rPr>
  </w:style>
  <w:style w:type="paragraph" w:customStyle="1" w:styleId="94">
    <w:name w:val="表格内文字"/>
    <w:basedOn w:val="1"/>
    <w:link w:val="93"/>
    <w:qFormat/>
    <w:uiPriority w:val="0"/>
    <w:pPr>
      <w:widowControl/>
      <w:jc w:val="center"/>
    </w:pPr>
    <w:rPr>
      <w:szCs w:val="21"/>
    </w:rPr>
  </w:style>
  <w:style w:type="character" w:customStyle="1" w:styleId="95">
    <w:name w:val="样式5 Char"/>
    <w:link w:val="96"/>
    <w:qFormat/>
    <w:uiPriority w:val="0"/>
    <w:rPr>
      <w:b/>
    </w:rPr>
  </w:style>
  <w:style w:type="paragraph" w:customStyle="1" w:styleId="96">
    <w:name w:val="样式5"/>
    <w:basedOn w:val="1"/>
    <w:link w:val="95"/>
    <w:qFormat/>
    <w:uiPriority w:val="0"/>
    <w:pPr>
      <w:jc w:val="center"/>
    </w:pPr>
    <w:rPr>
      <w:b/>
      <w:kern w:val="0"/>
      <w:sz w:val="20"/>
      <w:szCs w:val="20"/>
    </w:rPr>
  </w:style>
  <w:style w:type="character" w:customStyle="1" w:styleId="97">
    <w:name w:val="表内文字 Char Char Char"/>
    <w:link w:val="98"/>
    <w:qFormat/>
    <w:uiPriority w:val="0"/>
    <w:rPr>
      <w:kern w:val="2"/>
      <w:sz w:val="21"/>
      <w:szCs w:val="21"/>
    </w:rPr>
  </w:style>
  <w:style w:type="paragraph" w:customStyle="1" w:styleId="98">
    <w:name w:val="表内文字"/>
    <w:basedOn w:val="1"/>
    <w:link w:val="97"/>
    <w:qFormat/>
    <w:uiPriority w:val="0"/>
    <w:pPr>
      <w:widowControl/>
      <w:jc w:val="center"/>
    </w:pPr>
    <w:rPr>
      <w:szCs w:val="21"/>
    </w:rPr>
  </w:style>
  <w:style w:type="character" w:customStyle="1" w:styleId="99">
    <w:name w:val="正文缩进 Char1"/>
    <w:qFormat/>
    <w:uiPriority w:val="0"/>
    <w:rPr>
      <w:rFonts w:ascii="Times New Roman" w:hAnsi="Times New Roman" w:eastAsia="宋体" w:cs="Times New Roman"/>
      <w:kern w:val="2"/>
      <w:sz w:val="24"/>
      <w:szCs w:val="24"/>
      <w:lang w:val="en-US" w:eastAsia="zh-CN" w:bidi="ar-SA"/>
    </w:rPr>
  </w:style>
  <w:style w:type="character" w:customStyle="1" w:styleId="100">
    <w:name w:val="font21"/>
    <w:qFormat/>
    <w:uiPriority w:val="0"/>
    <w:rPr>
      <w:rFonts w:hint="eastAsia" w:ascii="宋体" w:hAnsi="宋体" w:eastAsia="宋体" w:cs="宋体"/>
      <w:color w:val="000000"/>
      <w:sz w:val="18"/>
      <w:szCs w:val="18"/>
      <w:u w:val="none"/>
    </w:rPr>
  </w:style>
  <w:style w:type="character" w:customStyle="1" w:styleId="101">
    <w:name w:val="font41"/>
    <w:qFormat/>
    <w:uiPriority w:val="0"/>
    <w:rPr>
      <w:rFonts w:hint="default" w:ascii="Times New Roman" w:hAnsi="Times New Roman" w:eastAsia="宋体" w:cs="Times New Roman"/>
      <w:color w:val="1807F7"/>
      <w:sz w:val="21"/>
      <w:szCs w:val="21"/>
      <w:u w:val="none"/>
      <w:vertAlign w:val="subscript"/>
    </w:rPr>
  </w:style>
  <w:style w:type="character" w:customStyle="1" w:styleId="102">
    <w:name w:val="正文文本缩进 Char"/>
    <w:qFormat/>
    <w:uiPriority w:val="0"/>
    <w:rPr>
      <w:rFonts w:ascii="Times New Roman" w:hAnsi="Times New Roman" w:eastAsia="宋体" w:cs="Times New Roman"/>
      <w:szCs w:val="24"/>
    </w:rPr>
  </w:style>
  <w:style w:type="character" w:customStyle="1" w:styleId="103">
    <w:name w:val="批注主题 Char"/>
    <w:qFormat/>
    <w:uiPriority w:val="0"/>
    <w:rPr>
      <w:rFonts w:ascii="Times New Roman" w:hAnsi="Times New Roman" w:eastAsia="宋体" w:cs="Times New Roman"/>
      <w:b/>
      <w:bCs/>
      <w:szCs w:val="24"/>
    </w:rPr>
  </w:style>
  <w:style w:type="character" w:customStyle="1" w:styleId="104">
    <w:name w:val="批注框文本 Char"/>
    <w:qFormat/>
    <w:uiPriority w:val="0"/>
    <w:rPr>
      <w:rFonts w:ascii="Times New Roman" w:hAnsi="Times New Roman" w:eastAsia="宋体" w:cs="Times New Roman"/>
      <w:sz w:val="18"/>
      <w:szCs w:val="18"/>
    </w:rPr>
  </w:style>
  <w:style w:type="character" w:customStyle="1" w:styleId="105">
    <w:name w:val="纯文本 Char1"/>
    <w:qFormat/>
    <w:uiPriority w:val="0"/>
    <w:rPr>
      <w:rFonts w:ascii="宋体" w:hAnsi="Courier New" w:eastAsia="宋体" w:cs="Courier New"/>
      <w:kern w:val="21"/>
      <w:szCs w:val="21"/>
    </w:rPr>
  </w:style>
  <w:style w:type="character" w:customStyle="1" w:styleId="106">
    <w:name w:val="fontstyle11"/>
    <w:qFormat/>
    <w:uiPriority w:val="0"/>
    <w:rPr>
      <w:rFonts w:hint="default" w:ascii="Arial" w:hAnsi="Arial" w:eastAsia="宋体" w:cs="Arial"/>
      <w:color w:val="000000"/>
      <w:sz w:val="24"/>
      <w:szCs w:val="24"/>
    </w:rPr>
  </w:style>
  <w:style w:type="character" w:customStyle="1" w:styleId="107">
    <w:name w:val="表头 Char"/>
    <w:link w:val="108"/>
    <w:qFormat/>
    <w:uiPriority w:val="0"/>
    <w:rPr>
      <w:rFonts w:eastAsia="黑体"/>
      <w:color w:val="000000"/>
      <w:kern w:val="2"/>
      <w:sz w:val="24"/>
      <w:szCs w:val="21"/>
    </w:rPr>
  </w:style>
  <w:style w:type="paragraph" w:customStyle="1" w:styleId="108">
    <w:name w:val="表头"/>
    <w:basedOn w:val="109"/>
    <w:next w:val="10"/>
    <w:link w:val="107"/>
    <w:qFormat/>
    <w:uiPriority w:val="0"/>
    <w:pPr>
      <w:ind w:firstLine="200" w:firstLineChars="200"/>
    </w:pPr>
    <w:rPr>
      <w:rFonts w:eastAsia="黑体"/>
      <w:color w:val="000000"/>
      <w:kern w:val="2"/>
      <w:sz w:val="24"/>
      <w:szCs w:val="21"/>
      <w:lang w:val="en-US" w:eastAsia="zh-CN" w:bidi="ar-SA"/>
    </w:rPr>
  </w:style>
  <w:style w:type="paragraph" w:customStyle="1" w:styleId="109">
    <w:name w:val="报告表格"/>
    <w:basedOn w:val="1"/>
    <w:qFormat/>
    <w:uiPriority w:val="0"/>
    <w:pPr>
      <w:autoSpaceDE w:val="0"/>
      <w:autoSpaceDN w:val="0"/>
      <w:adjustRightInd w:val="0"/>
      <w:spacing w:line="240" w:lineRule="auto"/>
      <w:ind w:firstLine="0" w:firstLineChars="0"/>
      <w:jc w:val="center"/>
      <w:textAlignment w:val="baseline"/>
    </w:pPr>
    <w:rPr>
      <w:kern w:val="0"/>
      <w:sz w:val="21"/>
      <w:szCs w:val="20"/>
    </w:rPr>
  </w:style>
  <w:style w:type="character" w:customStyle="1" w:styleId="110">
    <w:name w:val="日期 Char"/>
    <w:qFormat/>
    <w:uiPriority w:val="0"/>
    <w:rPr>
      <w:rFonts w:ascii="Times New Roman" w:hAnsi="Times New Roman" w:eastAsia="宋体" w:cs="Times New Roman"/>
      <w:szCs w:val="20"/>
    </w:rPr>
  </w:style>
  <w:style w:type="character" w:customStyle="1" w:styleId="111">
    <w:name w:val="正文LLLLLLL Char"/>
    <w:link w:val="112"/>
    <w:qFormat/>
    <w:uiPriority w:val="0"/>
    <w:rPr>
      <w:sz w:val="28"/>
    </w:rPr>
  </w:style>
  <w:style w:type="paragraph" w:customStyle="1" w:styleId="112">
    <w:name w:val="正文LLLLLLL"/>
    <w:basedOn w:val="1"/>
    <w:link w:val="111"/>
    <w:qFormat/>
    <w:uiPriority w:val="0"/>
    <w:pPr>
      <w:spacing w:line="520" w:lineRule="exact"/>
      <w:ind w:firstLine="578" w:firstLineChars="200"/>
    </w:pPr>
    <w:rPr>
      <w:kern w:val="0"/>
      <w:sz w:val="28"/>
      <w:szCs w:val="20"/>
    </w:rPr>
  </w:style>
  <w:style w:type="character" w:customStyle="1" w:styleId="113">
    <w:name w:val="标题 2 Char"/>
    <w:qFormat/>
    <w:uiPriority w:val="0"/>
    <w:rPr>
      <w:rFonts w:ascii="Cambria" w:hAnsi="Cambria" w:eastAsia="宋体" w:cs="Times New Roman"/>
      <w:b/>
      <w:bCs/>
      <w:sz w:val="32"/>
      <w:szCs w:val="32"/>
    </w:rPr>
  </w:style>
  <w:style w:type="character" w:customStyle="1" w:styleId="114">
    <w:name w:val="Char"/>
    <w:qFormat/>
    <w:uiPriority w:val="0"/>
    <w:rPr>
      <w:rFonts w:ascii="Times New Roman" w:hAnsi="Times New Roman" w:eastAsia="宋体" w:cs="Times New Roman"/>
      <w:b/>
      <w:bCs/>
      <w:kern w:val="44"/>
      <w:sz w:val="28"/>
      <w:szCs w:val="44"/>
      <w:lang w:val="en-US" w:eastAsia="zh-CN" w:bidi="ar-SA"/>
    </w:rPr>
  </w:style>
  <w:style w:type="character" w:customStyle="1" w:styleId="115">
    <w:name w:val="fontstyle01"/>
    <w:qFormat/>
    <w:uiPriority w:val="0"/>
    <w:rPr>
      <w:rFonts w:hint="eastAsia" w:ascii="宋体" w:hAnsi="宋体" w:eastAsia="宋体" w:cs="Times New Roman"/>
      <w:color w:val="000000"/>
      <w:sz w:val="24"/>
      <w:szCs w:val="24"/>
    </w:rPr>
  </w:style>
  <w:style w:type="character" w:customStyle="1" w:styleId="116">
    <w:name w:val="表格文字小五"/>
    <w:qFormat/>
    <w:uiPriority w:val="0"/>
    <w:rPr>
      <w:rFonts w:ascii="Times New Roman" w:hAnsi="Times New Roman" w:eastAsia="宋体" w:cs="Times New Roman"/>
      <w:kern w:val="2"/>
      <w:sz w:val="18"/>
      <w:szCs w:val="24"/>
      <w:lang w:val="en-US" w:eastAsia="zh-CN" w:bidi="ar-SA"/>
    </w:rPr>
  </w:style>
  <w:style w:type="character" w:customStyle="1" w:styleId="117">
    <w:name w:val="font11"/>
    <w:qFormat/>
    <w:uiPriority w:val="0"/>
    <w:rPr>
      <w:rFonts w:hint="default" w:ascii="Times New Roman" w:hAnsi="Times New Roman" w:eastAsia="宋体" w:cs="Times New Roman"/>
      <w:color w:val="000000"/>
      <w:sz w:val="20"/>
      <w:szCs w:val="20"/>
      <w:u w:val="none"/>
    </w:rPr>
  </w:style>
  <w:style w:type="character" w:customStyle="1" w:styleId="118">
    <w:name w:val="纯文本 字符1"/>
    <w:qFormat/>
    <w:uiPriority w:val="0"/>
    <w:rPr>
      <w:rFonts w:ascii="宋体" w:hAnsi="Courier New" w:cs="Courier New"/>
      <w:kern w:val="2"/>
      <w:sz w:val="21"/>
      <w:szCs w:val="21"/>
    </w:rPr>
  </w:style>
  <w:style w:type="character" w:customStyle="1" w:styleId="119">
    <w:name w:val="文档结构图 字符1"/>
    <w:qFormat/>
    <w:uiPriority w:val="0"/>
    <w:rPr>
      <w:rFonts w:ascii="Microsoft YaHei UI" w:eastAsia="Microsoft YaHei UI"/>
      <w:kern w:val="2"/>
      <w:sz w:val="18"/>
      <w:szCs w:val="18"/>
    </w:rPr>
  </w:style>
  <w:style w:type="character" w:customStyle="1" w:styleId="120">
    <w:name w:val="脚注文本 字符1"/>
    <w:qFormat/>
    <w:uiPriority w:val="0"/>
    <w:rPr>
      <w:kern w:val="2"/>
      <w:sz w:val="18"/>
      <w:szCs w:val="18"/>
    </w:rPr>
  </w:style>
  <w:style w:type="paragraph" w:customStyle="1" w:styleId="121">
    <w:name w:val="表格2"/>
    <w:basedOn w:val="1"/>
    <w:qFormat/>
    <w:uiPriority w:val="0"/>
    <w:pPr>
      <w:spacing w:line="320" w:lineRule="exact"/>
      <w:jc w:val="center"/>
    </w:pPr>
    <w:rPr>
      <w:sz w:val="24"/>
      <w:szCs w:val="28"/>
    </w:rPr>
  </w:style>
  <w:style w:type="paragraph" w:customStyle="1" w:styleId="122">
    <w:name w:val="Table Paragraph"/>
    <w:basedOn w:val="1"/>
    <w:qFormat/>
    <w:uiPriority w:val="1"/>
    <w:pPr>
      <w:jc w:val="left"/>
    </w:pPr>
    <w:rPr>
      <w:rFonts w:ascii="Calibri" w:hAnsi="Calibri"/>
      <w:kern w:val="0"/>
      <w:sz w:val="22"/>
      <w:szCs w:val="22"/>
      <w:lang w:eastAsia="en-US"/>
    </w:rPr>
  </w:style>
  <w:style w:type="paragraph" w:customStyle="1" w:styleId="123">
    <w:name w:val="列出段落1"/>
    <w:basedOn w:val="1"/>
    <w:qFormat/>
    <w:uiPriority w:val="0"/>
    <w:pPr>
      <w:ind w:firstLine="420" w:firstLineChars="200"/>
    </w:pPr>
  </w:style>
  <w:style w:type="paragraph" w:customStyle="1" w:styleId="124">
    <w:name w:val="默认段落字体 Para Char Char Char Char"/>
    <w:basedOn w:val="1"/>
    <w:qFormat/>
    <w:uiPriority w:val="0"/>
    <w:pPr>
      <w:spacing w:beforeLines="100" w:afterLines="50" w:line="600" w:lineRule="exact"/>
      <w:ind w:firstLine="200" w:firstLineChars="200"/>
    </w:pPr>
    <w:rPr>
      <w:rFonts w:eastAsia="黑体"/>
      <w:sz w:val="28"/>
    </w:rPr>
  </w:style>
  <w:style w:type="paragraph" w:customStyle="1" w:styleId="125">
    <w:name w:val="Plain Text"/>
    <w:basedOn w:val="1"/>
    <w:qFormat/>
    <w:uiPriority w:val="0"/>
    <w:rPr>
      <w:rFonts w:hint="eastAsia" w:ascii="宋体" w:hAnsi="Courier New" w:cs="Courier New"/>
      <w:kern w:val="0"/>
      <w:sz w:val="20"/>
      <w:szCs w:val="21"/>
    </w:rPr>
  </w:style>
  <w:style w:type="paragraph" w:customStyle="1" w:styleId="126">
    <w:name w:val=" Char Char Char Char Char Char Char Char Char"/>
    <w:basedOn w:val="1"/>
    <w:qFormat/>
    <w:uiPriority w:val="0"/>
  </w:style>
  <w:style w:type="paragraph" w:customStyle="1" w:styleId="127">
    <w:name w:val="unnamed1"/>
    <w:basedOn w:val="1"/>
    <w:qFormat/>
    <w:uiPriority w:val="0"/>
    <w:pPr>
      <w:widowControl/>
      <w:spacing w:before="100" w:beforeAutospacing="1" w:after="100" w:afterAutospacing="1" w:line="450" w:lineRule="atLeast"/>
      <w:ind w:firstLine="480"/>
      <w:jc w:val="left"/>
    </w:pPr>
    <w:rPr>
      <w:rFonts w:ascii="宋体" w:hAnsi="宋体" w:cs="宋体"/>
      <w:kern w:val="0"/>
      <w:sz w:val="24"/>
    </w:rPr>
  </w:style>
  <w:style w:type="character" w:customStyle="1" w:styleId="128">
    <w:name w:val="正文文本首行缩进 字符1"/>
    <w:qFormat/>
    <w:uiPriority w:val="0"/>
    <w:rPr>
      <w:kern w:val="2"/>
      <w:sz w:val="21"/>
      <w:szCs w:val="24"/>
    </w:rPr>
  </w:style>
  <w:style w:type="paragraph" w:customStyle="1" w:styleId="129">
    <w:name w:val="标准"/>
    <w:basedOn w:val="1"/>
    <w:qFormat/>
    <w:uiPriority w:val="0"/>
    <w:pPr>
      <w:adjustRightInd w:val="0"/>
      <w:spacing w:line="312" w:lineRule="atLeast"/>
      <w:jc w:val="center"/>
      <w:textAlignment w:val="baseline"/>
    </w:pPr>
    <w:rPr>
      <w:kern w:val="0"/>
      <w:szCs w:val="21"/>
    </w:rPr>
  </w:style>
  <w:style w:type="paragraph" w:customStyle="1" w:styleId="130">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31">
    <w:name w:val="图表文字"/>
    <w:basedOn w:val="1"/>
    <w:qFormat/>
    <w:uiPriority w:val="0"/>
    <w:pPr>
      <w:jc w:val="center"/>
    </w:pPr>
  </w:style>
  <w:style w:type="paragraph" w:customStyle="1" w:styleId="132">
    <w:name w:val="Char Char Char Char Char Char Char Char Char"/>
    <w:basedOn w:val="1"/>
    <w:qFormat/>
    <w:uiPriority w:val="0"/>
  </w:style>
  <w:style w:type="paragraph" w:customStyle="1" w:styleId="133">
    <w:name w:val="Normal (Web)"/>
    <w:basedOn w:val="1"/>
    <w:qFormat/>
    <w:uiPriority w:val="0"/>
    <w:pPr>
      <w:widowControl/>
      <w:spacing w:before="100" w:beforeAutospacing="1" w:after="100" w:afterAutospacing="1"/>
      <w:jc w:val="left"/>
    </w:pPr>
    <w:rPr>
      <w:rFonts w:hint="eastAsia" w:ascii="宋体" w:hAnsi="宋体"/>
      <w:sz w:val="24"/>
    </w:rPr>
  </w:style>
  <w:style w:type="paragraph" w:customStyle="1" w:styleId="134">
    <w:name w:val="p0"/>
    <w:basedOn w:val="1"/>
    <w:qFormat/>
    <w:uiPriority w:val="0"/>
    <w:pPr>
      <w:widowControl/>
    </w:pPr>
    <w:rPr>
      <w:kern w:val="0"/>
      <w:szCs w:val="21"/>
    </w:rPr>
  </w:style>
  <w:style w:type="paragraph" w:customStyle="1" w:styleId="135">
    <w:name w:val="_Style 130"/>
    <w:qFormat/>
    <w:uiPriority w:val="0"/>
    <w:rPr>
      <w:rFonts w:ascii="Times New Roman" w:hAnsi="Times New Roman" w:eastAsia="宋体" w:cs="Times New Roman"/>
      <w:kern w:val="2"/>
      <w:sz w:val="21"/>
      <w:szCs w:val="24"/>
      <w:lang w:val="en-US" w:eastAsia="zh-CN" w:bidi="ar-SA"/>
    </w:rPr>
  </w:style>
  <w:style w:type="paragraph" w:customStyle="1" w:styleId="136">
    <w:name w:val=" Char Char Char Char"/>
    <w:basedOn w:val="1"/>
    <w:qFormat/>
    <w:uiPriority w:val="0"/>
    <w:pPr>
      <w:snapToGrid w:val="0"/>
      <w:spacing w:line="360" w:lineRule="auto"/>
      <w:ind w:firstLine="200" w:firstLineChars="200"/>
    </w:pPr>
    <w:rPr>
      <w:rFonts w:eastAsia="仿宋_GB2312"/>
      <w:sz w:val="24"/>
    </w:rPr>
  </w:style>
  <w:style w:type="table" w:customStyle="1" w:styleId="137">
    <w:name w:val="Table Normal"/>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character" w:customStyle="1" w:styleId="138">
    <w:name w:val="_Style 133"/>
    <w:unhideWhenUsed/>
    <w:qFormat/>
    <w:uiPriority w:val="99"/>
    <w:rPr>
      <w:rFonts w:ascii="Times New Roman" w:hAnsi="Times New Roman" w:eastAsia="宋体" w:cs="Times New Roman"/>
      <w:color w:val="605E5C"/>
      <w:shd w:val="clear" w:color="auto" w:fill="E1DFDD"/>
    </w:rPr>
  </w:style>
  <w:style w:type="paragraph" w:customStyle="1" w:styleId="139">
    <w:name w:val="表格文字小五号"/>
    <w:basedOn w:val="1"/>
    <w:qFormat/>
    <w:uiPriority w:val="0"/>
    <w:pPr>
      <w:overflowPunct w:val="0"/>
      <w:adjustRightInd w:val="0"/>
      <w:spacing w:line="240" w:lineRule="atLeast"/>
      <w:ind w:left="210" w:hanging="210" w:firstLineChars="200"/>
      <w:jc w:val="center"/>
    </w:pPr>
    <w:rPr>
      <w:rFonts w:ascii="宋体"/>
      <w:color w:val="000000"/>
      <w:kern w:val="0"/>
      <w:sz w:val="18"/>
      <w:szCs w:val="20"/>
    </w:rPr>
  </w:style>
  <w:style w:type="paragraph" w:customStyle="1" w:styleId="140">
    <w:name w:val="表样式2"/>
    <w:basedOn w:val="1"/>
    <w:qFormat/>
    <w:uiPriority w:val="0"/>
    <w:pPr>
      <w:adjustRightInd w:val="0"/>
      <w:snapToGrid w:val="0"/>
      <w:spacing w:line="420" w:lineRule="exact"/>
    </w:pPr>
    <w:rPr>
      <w:rFonts w:ascii="宋体" w:hAnsi="宋体"/>
      <w:sz w:val="24"/>
    </w:rPr>
  </w:style>
  <w:style w:type="paragraph" w:customStyle="1" w:styleId="141">
    <w:name w:val="正文*"/>
    <w:basedOn w:val="1"/>
    <w:qFormat/>
    <w:uiPriority w:val="0"/>
    <w:rPr>
      <w:sz w:val="28"/>
      <w:szCs w:val="20"/>
    </w:rPr>
  </w:style>
  <w:style w:type="paragraph" w:customStyle="1" w:styleId="142">
    <w:name w:val="表格内容"/>
    <w:basedOn w:val="1"/>
    <w:next w:val="1"/>
    <w:qFormat/>
    <w:uiPriority w:val="0"/>
    <w:pPr>
      <w:jc w:val="center"/>
    </w:pPr>
    <w:rPr>
      <w:szCs w:val="28"/>
    </w:rPr>
  </w:style>
  <w:style w:type="character" w:customStyle="1" w:styleId="143">
    <w:name w:val="表中文字 Char1"/>
    <w:link w:val="144"/>
    <w:qFormat/>
    <w:locked/>
    <w:uiPriority w:val="0"/>
    <w:rPr>
      <w:bCs/>
      <w:color w:val="000000"/>
      <w:sz w:val="21"/>
      <w:szCs w:val="18"/>
    </w:rPr>
  </w:style>
  <w:style w:type="paragraph" w:customStyle="1" w:styleId="144">
    <w:name w:val="表中文字"/>
    <w:basedOn w:val="1"/>
    <w:link w:val="143"/>
    <w:qFormat/>
    <w:uiPriority w:val="0"/>
    <w:pPr>
      <w:snapToGrid w:val="0"/>
      <w:spacing w:line="360" w:lineRule="exact"/>
      <w:jc w:val="center"/>
      <w:textAlignment w:val="center"/>
    </w:pPr>
    <w:rPr>
      <w:bCs/>
      <w:color w:val="000000"/>
      <w:kern w:val="0"/>
      <w:szCs w:val="18"/>
    </w:rPr>
  </w:style>
  <w:style w:type="character" w:customStyle="1" w:styleId="145">
    <w:name w:val="邓表格文字 Char"/>
    <w:link w:val="146"/>
    <w:qFormat/>
    <w:uiPriority w:val="0"/>
    <w:rPr>
      <w:rFonts w:ascii="宋体" w:hAnsi="宋体"/>
      <w:kern w:val="2"/>
      <w:sz w:val="21"/>
      <w:szCs w:val="21"/>
    </w:rPr>
  </w:style>
  <w:style w:type="paragraph" w:customStyle="1" w:styleId="146">
    <w:name w:val="邓表格文字"/>
    <w:basedOn w:val="1"/>
    <w:link w:val="145"/>
    <w:qFormat/>
    <w:uiPriority w:val="0"/>
    <w:pPr>
      <w:widowControl/>
      <w:jc w:val="center"/>
    </w:pPr>
    <w:rPr>
      <w:rFonts w:ascii="宋体" w:hAnsi="宋体"/>
      <w:szCs w:val="21"/>
    </w:rPr>
  </w:style>
  <w:style w:type="character" w:customStyle="1" w:styleId="147">
    <w:name w:val="表格内字体 Char"/>
    <w:link w:val="148"/>
    <w:qFormat/>
    <w:uiPriority w:val="0"/>
    <w:rPr>
      <w:rFonts w:ascii="宋体"/>
      <w:kern w:val="2"/>
      <w:sz w:val="21"/>
      <w:szCs w:val="21"/>
    </w:rPr>
  </w:style>
  <w:style w:type="paragraph" w:customStyle="1" w:styleId="148">
    <w:name w:val="表格内字体"/>
    <w:basedOn w:val="1"/>
    <w:link w:val="147"/>
    <w:qFormat/>
    <w:uiPriority w:val="0"/>
    <w:pPr>
      <w:widowControl/>
      <w:spacing w:line="360" w:lineRule="exact"/>
      <w:jc w:val="center"/>
    </w:pPr>
    <w:rPr>
      <w:rFonts w:ascii="宋体"/>
      <w:szCs w:val="21"/>
    </w:rPr>
  </w:style>
  <w:style w:type="character" w:customStyle="1" w:styleId="149">
    <w:name w:val="表格内容A Char"/>
    <w:link w:val="150"/>
    <w:qFormat/>
    <w:uiPriority w:val="0"/>
    <w:rPr>
      <w:kern w:val="2"/>
      <w:sz w:val="21"/>
      <w:szCs w:val="21"/>
    </w:rPr>
  </w:style>
  <w:style w:type="paragraph" w:customStyle="1" w:styleId="150">
    <w:name w:val="表格内容A"/>
    <w:basedOn w:val="1"/>
    <w:link w:val="149"/>
    <w:qFormat/>
    <w:uiPriority w:val="0"/>
    <w:pPr>
      <w:jc w:val="center"/>
    </w:pPr>
    <w:rPr>
      <w:szCs w:val="21"/>
    </w:rPr>
  </w:style>
  <w:style w:type="character" w:customStyle="1" w:styleId="151">
    <w:name w:val="表格文字 Char Char"/>
    <w:link w:val="152"/>
    <w:qFormat/>
    <w:uiPriority w:val="0"/>
    <w:rPr>
      <w:kern w:val="2"/>
      <w:sz w:val="21"/>
    </w:rPr>
  </w:style>
  <w:style w:type="paragraph" w:customStyle="1" w:styleId="152">
    <w:name w:val="表格文字"/>
    <w:basedOn w:val="1"/>
    <w:link w:val="151"/>
    <w:qFormat/>
    <w:uiPriority w:val="0"/>
    <w:pPr>
      <w:spacing w:line="400" w:lineRule="exact"/>
      <w:jc w:val="center"/>
    </w:pPr>
    <w:rPr>
      <w:szCs w:val="20"/>
    </w:rPr>
  </w:style>
  <w:style w:type="character" w:customStyle="1" w:styleId="153">
    <w:name w:val="正文格式 Char"/>
    <w:link w:val="154"/>
    <w:qFormat/>
    <w:uiPriority w:val="0"/>
    <w:rPr>
      <w:rFonts w:ascii="宋体" w:hAnsi="宋体" w:cs="宋体"/>
      <w:kern w:val="2"/>
      <w:sz w:val="24"/>
      <w:szCs w:val="24"/>
    </w:rPr>
  </w:style>
  <w:style w:type="paragraph" w:customStyle="1" w:styleId="154">
    <w:name w:val="正文格式"/>
    <w:basedOn w:val="9"/>
    <w:link w:val="153"/>
    <w:qFormat/>
    <w:uiPriority w:val="0"/>
    <w:pPr>
      <w:widowControl/>
      <w:spacing w:after="0" w:line="360" w:lineRule="auto"/>
      <w:ind w:firstLine="200" w:firstLineChars="200"/>
      <w:jc w:val="left"/>
    </w:pPr>
    <w:rPr>
      <w:rFonts w:ascii="宋体" w:hAnsi="宋体" w:cs="宋体"/>
      <w:sz w:val="24"/>
    </w:rPr>
  </w:style>
  <w:style w:type="paragraph" w:customStyle="1" w:styleId="155">
    <w:name w:val="三级标题"/>
    <w:basedOn w:val="1"/>
    <w:next w:val="32"/>
    <w:qFormat/>
    <w:uiPriority w:val="0"/>
    <w:pPr>
      <w:adjustRightInd w:val="0"/>
      <w:snapToGrid w:val="0"/>
      <w:spacing w:line="360" w:lineRule="exact"/>
      <w:jc w:val="center"/>
    </w:pPr>
    <w:rPr>
      <w:bCs/>
      <w:sz w:val="24"/>
      <w:szCs w:val="20"/>
    </w:rPr>
  </w:style>
  <w:style w:type="paragraph" w:styleId="156">
    <w:name w:val="No Spacing"/>
    <w:basedOn w:val="25"/>
    <w:next w:val="1"/>
    <w:qFormat/>
    <w:uiPriority w:val="1"/>
    <w:pPr>
      <w:widowControl w:val="0"/>
      <w:jc w:val="both"/>
    </w:pPr>
    <w:rPr>
      <w:rFonts w:eastAsia="仿宋_GB2312"/>
      <w:kern w:val="2"/>
      <w:sz w:val="30"/>
      <w:szCs w:val="22"/>
      <w:lang w:val="en-US" w:eastAsia="zh-CN" w:bidi="ar-SA"/>
    </w:rPr>
  </w:style>
  <w:style w:type="paragraph" w:customStyle="1" w:styleId="157">
    <w:name w:val="B表内字"/>
    <w:basedOn w:val="1"/>
    <w:qFormat/>
    <w:uiPriority w:val="0"/>
    <w:pPr>
      <w:widowControl/>
      <w:jc w:val="center"/>
    </w:pPr>
    <w:rPr>
      <w:rFonts w:ascii="Calibri" w:hAnsi="Calibri" w:cs="宋体"/>
      <w:kern w:val="0"/>
      <w:szCs w:val="21"/>
    </w:rPr>
  </w:style>
  <w:style w:type="character" w:customStyle="1" w:styleId="158">
    <w:name w:val="img_bg_cover"/>
    <w:qFormat/>
    <w:uiPriority w:val="0"/>
  </w:style>
  <w:style w:type="paragraph" w:customStyle="1" w:styleId="159">
    <w:name w:val="正文丽娜"/>
    <w:basedOn w:val="1"/>
    <w:qFormat/>
    <w:uiPriority w:val="0"/>
    <w:pPr>
      <w:spacing w:line="520" w:lineRule="exact"/>
      <w:ind w:firstLine="578" w:firstLineChars="200"/>
    </w:pPr>
    <w:rPr>
      <w:rFonts w:ascii="Times New Roman" w:hAnsi="Times New Roman" w:eastAsia="宋体"/>
      <w:kern w:val="0"/>
      <w:sz w:val="28"/>
      <w:szCs w:val="20"/>
    </w:rPr>
  </w:style>
  <w:style w:type="paragraph" w:customStyle="1" w:styleId="160">
    <w:name w:val="标题 3Char标题 3 Char Char标题 3 Char Char Char标题 3 Char Char C...1"/>
    <w:basedOn w:val="5"/>
    <w:qFormat/>
    <w:uiPriority w:val="0"/>
    <w:pPr>
      <w:spacing w:before="0" w:beforeLines="0" w:after="0" w:afterLines="0" w:line="360" w:lineRule="auto"/>
    </w:pPr>
    <w:rPr>
      <w:rFonts w:cs="宋体"/>
      <w:sz w:val="28"/>
      <w:szCs w:val="20"/>
    </w:rPr>
  </w:style>
  <w:style w:type="character" w:customStyle="1" w:styleId="161">
    <w:name w:val="current"/>
    <w:basedOn w:val="35"/>
    <w:qFormat/>
    <w:uiPriority w:val="0"/>
    <w:rPr>
      <w:b/>
      <w:bCs/>
      <w:color w:val="FFFFFF"/>
      <w:bdr w:val="single" w:color="0056A2" w:sz="6" w:space="0"/>
      <w:shd w:val="clear" w:color="auto" w:fill="0056A2"/>
    </w:rPr>
  </w:style>
  <w:style w:type="character" w:customStyle="1" w:styleId="162">
    <w:name w:val="disabled"/>
    <w:basedOn w:val="35"/>
    <w:qFormat/>
    <w:uiPriority w:val="0"/>
    <w:rPr>
      <w:color w:val="999999"/>
      <w:bdr w:val="single" w:color="C5C5C5" w:sz="6" w:space="0"/>
    </w:rPr>
  </w:style>
  <w:style w:type="paragraph" w:customStyle="1" w:styleId="163">
    <w:name w:val="环评正文"/>
    <w:basedOn w:val="1"/>
    <w:qFormat/>
    <w:uiPriority w:val="0"/>
    <w:pPr>
      <w:autoSpaceDE w:val="0"/>
      <w:autoSpaceDN w:val="0"/>
      <w:adjustRightInd w:val="0"/>
      <w:snapToGrid w:val="0"/>
      <w:spacing w:line="360" w:lineRule="auto"/>
      <w:ind w:firstLine="200" w:firstLineChars="200"/>
    </w:pPr>
    <w:rPr>
      <w:rFonts w:cs="宋体"/>
      <w:kern w:val="0"/>
      <w:sz w:val="24"/>
      <w:szCs w:val="21"/>
    </w:rPr>
  </w:style>
  <w:style w:type="paragraph" w:customStyle="1" w:styleId="164">
    <w:name w:val="标1"/>
    <w:basedOn w:val="1"/>
    <w:qFormat/>
    <w:uiPriority w:val="0"/>
    <w:pPr>
      <w:spacing w:beforeLines="0" w:beforeAutospacing="0" w:line="520" w:lineRule="exact"/>
      <w:outlineLvl w:val="0"/>
    </w:pPr>
    <w:rPr>
      <w:rFonts w:ascii="Times New Roman" w:hAnsi="Times New Roman" w:eastAsia="宋体"/>
      <w:b/>
      <w:sz w:val="24"/>
    </w:rPr>
  </w:style>
  <w:style w:type="paragraph" w:customStyle="1" w:styleId="165">
    <w:name w:val="。正文格式"/>
    <w:qFormat/>
    <w:uiPriority w:val="0"/>
    <w:pPr>
      <w:widowControl w:val="0"/>
      <w:spacing w:line="360" w:lineRule="auto"/>
      <w:ind w:firstLine="200" w:firstLineChars="200"/>
    </w:pPr>
    <w:rPr>
      <w:rFonts w:ascii="Times New Roman" w:hAnsi="Times New Roman" w:eastAsia="宋体" w:cs="Times New Roman"/>
      <w:sz w:val="24"/>
      <w:lang w:val="en-US" w:eastAsia="zh-CN" w:bidi="ar-SA"/>
    </w:rPr>
  </w:style>
  <w:style w:type="paragraph" w:customStyle="1" w:styleId="166">
    <w:name w:val="小标题呗"/>
    <w:basedOn w:val="1"/>
    <w:qFormat/>
    <w:uiPriority w:val="0"/>
    <w:pPr>
      <w:widowControl/>
      <w:wordWrap w:val="0"/>
      <w:snapToGrid w:val="0"/>
      <w:spacing w:line="520" w:lineRule="exact"/>
      <w:jc w:val="left"/>
    </w:pPr>
    <w:rPr>
      <w:rFonts w:hint="eastAsia" w:ascii="Times New Roman" w:hAnsi="Times New Roman" w:eastAsia="宋体"/>
      <w:b/>
      <w:kern w:val="0"/>
      <w:sz w:val="24"/>
      <w:szCs w:val="24"/>
    </w:rPr>
  </w:style>
  <w:style w:type="paragraph" w:customStyle="1" w:styleId="167">
    <w:name w:val="正文啊啊啊"/>
    <w:qFormat/>
    <w:uiPriority w:val="0"/>
    <w:pPr>
      <w:widowControl w:val="0"/>
      <w:wordWrap w:val="0"/>
      <w:adjustRightInd w:val="0"/>
      <w:snapToGrid w:val="0"/>
      <w:spacing w:line="520" w:lineRule="exact"/>
      <w:ind w:firstLine="720" w:firstLineChars="200"/>
      <w:jc w:val="left"/>
    </w:pPr>
    <w:rPr>
      <w:rFonts w:hint="eastAsia" w:ascii="Times New Roman" w:hAnsi="Times New Roman" w:eastAsia="宋体" w:cs="宋体"/>
      <w:bCs/>
      <w:kern w:val="2"/>
      <w:sz w:val="24"/>
      <w:szCs w:val="24"/>
      <w:lang w:val="en-US" w:eastAsia="zh-CN" w:bidi="ar-SA"/>
    </w:rPr>
  </w:style>
  <w:style w:type="paragraph" w:customStyle="1" w:styleId="168">
    <w:name w:val="正文啊啊"/>
    <w:basedOn w:val="1"/>
    <w:qFormat/>
    <w:uiPriority w:val="0"/>
    <w:pPr>
      <w:spacing w:line="520" w:lineRule="exact"/>
      <w:ind w:firstLine="720" w:firstLineChars="200"/>
    </w:pPr>
    <w:rPr>
      <w:rFonts w:ascii="Times New Roman" w:hAnsi="Times New Roman" w:eastAsia="宋体" w:cs="宋体"/>
      <w:sz w:val="24"/>
      <w:szCs w:val="24"/>
    </w:rPr>
  </w:style>
  <w:style w:type="character" w:customStyle="1" w:styleId="169">
    <w:name w:val="列表项目符号 5 Char"/>
    <w:link w:val="18"/>
    <w:qFormat/>
    <w:uiPriority w:val="0"/>
  </w:style>
  <w:style w:type="paragraph" w:customStyle="1" w:styleId="170">
    <w:name w:val="表内文字啊啊啊"/>
    <w:qFormat/>
    <w:uiPriority w:val="0"/>
    <w:pPr>
      <w:widowControl w:val="0"/>
      <w:adjustRightInd w:val="0"/>
      <w:snapToGrid w:val="0"/>
      <w:spacing w:line="240" w:lineRule="auto"/>
      <w:jc w:val="center"/>
    </w:pPr>
    <w:rPr>
      <w:rFonts w:hint="eastAsia" w:ascii="Times New Roman" w:hAnsi="Times New Roman" w:eastAsia="宋体" w:cs="宋体"/>
      <w:color w:val="auto"/>
      <w:kern w:val="2"/>
      <w:sz w:val="21"/>
      <w:szCs w:val="21"/>
      <w:lang w:val="en-US" w:eastAsia="zh-CN" w:bidi="ar-SA"/>
    </w:rPr>
  </w:style>
  <w:style w:type="paragraph" w:customStyle="1" w:styleId="171">
    <w:name w:val="表头啊啊啊啊"/>
    <w:qFormat/>
    <w:uiPriority w:val="0"/>
    <w:pPr>
      <w:widowControl w:val="0"/>
      <w:adjustRightInd w:val="0"/>
      <w:snapToGrid w:val="0"/>
      <w:spacing w:line="240" w:lineRule="auto"/>
      <w:jc w:val="center"/>
    </w:pPr>
    <w:rPr>
      <w:rFonts w:hint="eastAsia" w:ascii="Times New Roman" w:hAnsi="Times New Roman" w:eastAsiaTheme="minorEastAsia" w:cstheme="minorEastAsia"/>
      <w:b/>
      <w:bCs/>
      <w:color w:val="auto"/>
      <w:kern w:val="2"/>
      <w:sz w:val="21"/>
      <w:szCs w:val="21"/>
      <w:lang w:val="en-US" w:eastAsia="zh-CN" w:bidi="ar-SA"/>
    </w:rPr>
  </w:style>
  <w:style w:type="paragraph" w:customStyle="1" w:styleId="172">
    <w:name w:val="B正文"/>
    <w:basedOn w:val="1"/>
    <w:qFormat/>
    <w:uiPriority w:val="0"/>
    <w:pPr>
      <w:widowControl/>
      <w:spacing w:line="360" w:lineRule="auto"/>
      <w:ind w:firstLine="200" w:firstLineChars="200"/>
      <w:jc w:val="left"/>
    </w:pPr>
    <w:rPr>
      <w:rFonts w:cs="宋体"/>
      <w:kern w:val="0"/>
      <w:sz w:val="24"/>
    </w:rPr>
  </w:style>
  <w:style w:type="character" w:customStyle="1" w:styleId="173">
    <w:name w:val="15"/>
    <w:basedOn w:val="35"/>
    <w:qFormat/>
    <w:uiPriority w:val="0"/>
    <w:rPr>
      <w:rFonts w:hint="default" w:ascii="Times New Roman" w:hAnsi="Times New Roman" w:cs="Times New Roman"/>
    </w:rPr>
  </w:style>
  <w:style w:type="character" w:customStyle="1" w:styleId="174">
    <w:name w:val="10"/>
    <w:basedOn w:val="35"/>
    <w:qFormat/>
    <w:uiPriority w:val="0"/>
    <w:rPr>
      <w:rFonts w:hint="default" w:ascii="Times New Roman" w:hAnsi="Times New Roman" w:cs="Times New Roman"/>
    </w:rPr>
  </w:style>
  <w:style w:type="paragraph" w:customStyle="1" w:styleId="175">
    <w:name w:val="表格里面啊啊啊啊"/>
    <w:basedOn w:val="1"/>
    <w:qFormat/>
    <w:uiPriority w:val="0"/>
    <w:pPr>
      <w:jc w:val="center"/>
    </w:pPr>
    <w:rPr>
      <w:rFonts w:ascii="Times New Roman" w:hAnsi="Times New Roman" w:eastAsia="宋体" w:cs="Times New Roman"/>
      <w:szCs w:val="21"/>
    </w:rPr>
  </w:style>
  <w:style w:type="paragraph" w:customStyle="1" w:styleId="176">
    <w:name w:val="表头啊啊啊啊啊"/>
    <w:basedOn w:val="1"/>
    <w:qFormat/>
    <w:uiPriority w:val="0"/>
    <w:pPr>
      <w:jc w:val="center"/>
    </w:pPr>
    <w:rPr>
      <w:rFonts w:ascii="Times New Roman" w:hAnsi="Times New Roman" w:eastAsia="宋体" w:cs="Times New Roman"/>
      <w:b/>
      <w:bCs/>
      <w:szCs w:val="21"/>
    </w:rPr>
  </w:style>
  <w:style w:type="paragraph" w:customStyle="1" w:styleId="177">
    <w:name w:val="小标题啊啊"/>
    <w:basedOn w:val="1"/>
    <w:qFormat/>
    <w:uiPriority w:val="0"/>
    <w:pPr>
      <w:spacing w:line="520" w:lineRule="exact"/>
      <w:jc w:val="both"/>
    </w:pPr>
    <w:rPr>
      <w:rFonts w:ascii="Times New Roman" w:hAnsi="Times New Roman" w:eastAsia="宋体" w:cs="宋体"/>
      <w:b/>
      <w:sz w:val="24"/>
    </w:rPr>
  </w:style>
  <w:style w:type="paragraph" w:customStyle="1" w:styleId="178">
    <w:name w:val="表内文字噢噢噢"/>
    <w:basedOn w:val="1"/>
    <w:qFormat/>
    <w:uiPriority w:val="0"/>
    <w:pPr>
      <w:wordWrap w:val="0"/>
      <w:adjustRightInd w:val="0"/>
      <w:snapToGrid w:val="0"/>
      <w:jc w:val="center"/>
    </w:pPr>
    <w:rPr>
      <w:rFonts w:ascii="Times New Roman" w:hAnsi="Times New Roman" w:cs="宋体"/>
      <w:szCs w:val="21"/>
    </w:rPr>
  </w:style>
  <w:style w:type="paragraph" w:customStyle="1" w:styleId="179">
    <w:name w:val="正文样式"/>
    <w:basedOn w:val="1"/>
    <w:qFormat/>
    <w:uiPriority w:val="0"/>
    <w:pPr>
      <w:spacing w:line="360" w:lineRule="auto"/>
      <w:ind w:firstLine="824" w:firstLineChars="200"/>
    </w:pPr>
    <w:rPr>
      <w:rFonts w:ascii="Calibri" w:hAnsi="Calibri"/>
      <w:kern w:val="0"/>
      <w:sz w:val="24"/>
      <w:szCs w:val="20"/>
    </w:rPr>
  </w:style>
  <w:style w:type="paragraph" w:customStyle="1" w:styleId="180">
    <w:name w:val="正文格式啊啊啊啊"/>
    <w:basedOn w:val="1"/>
    <w:qFormat/>
    <w:uiPriority w:val="0"/>
    <w:pPr>
      <w:wordWrap w:val="0"/>
      <w:adjustRightInd w:val="0"/>
      <w:snapToGrid w:val="0"/>
      <w:spacing w:line="520" w:lineRule="exact"/>
      <w:ind w:firstLine="720" w:firstLineChars="200"/>
      <w:jc w:val="left"/>
    </w:pPr>
    <w:rPr>
      <w:rFonts w:ascii="Times New Roman" w:hAnsi="Times New Roman" w:eastAsia="宋体" w:cs="宋体"/>
      <w:kern w:val="0"/>
      <w:sz w:val="24"/>
    </w:rPr>
  </w:style>
  <w:style w:type="paragraph" w:customStyle="1" w:styleId="181">
    <w:name w:val="111表头"/>
    <w:basedOn w:val="1"/>
    <w:qFormat/>
    <w:uiPriority w:val="0"/>
    <w:pPr>
      <w:adjustRightInd w:val="0"/>
      <w:snapToGrid w:val="0"/>
      <w:jc w:val="center"/>
    </w:pPr>
    <w:rPr>
      <w:rFonts w:hint="eastAsia" w:ascii="Times New Roman" w:hAnsi="Times New Roman" w:eastAsia="宋体" w:cs="宋体"/>
      <w:b/>
      <w:szCs w:val="21"/>
    </w:rPr>
  </w:style>
  <w:style w:type="paragraph" w:customStyle="1" w:styleId="182">
    <w:name w:val="111表格内"/>
    <w:basedOn w:val="1"/>
    <w:qFormat/>
    <w:uiPriority w:val="0"/>
    <w:pPr>
      <w:wordWrap w:val="0"/>
      <w:jc w:val="center"/>
    </w:pPr>
    <w:rPr>
      <w:rFonts w:ascii="Times New Roman" w:hAnsi="Times New Roman" w:eastAsia="宋体"/>
      <w:szCs w:val="21"/>
    </w:rPr>
  </w:style>
  <w:style w:type="paragraph" w:customStyle="1" w:styleId="183">
    <w:name w:val="1正文"/>
    <w:qFormat/>
    <w:uiPriority w:val="0"/>
    <w:pPr>
      <w:widowControl w:val="0"/>
      <w:autoSpaceDE/>
      <w:autoSpaceDN/>
      <w:adjustRightInd/>
      <w:spacing w:line="520" w:lineRule="exact"/>
      <w:ind w:firstLine="720" w:firstLineChars="200"/>
      <w:jc w:val="both"/>
      <w:textAlignment w:val="baseline"/>
    </w:pPr>
    <w:rPr>
      <w:rFonts w:ascii="Times New Roman" w:hAnsi="Times New Roman" w:eastAsia="宋体" w:cs="Times New Roman"/>
      <w:sz w:val="24"/>
      <w:lang w:val="en-US" w:eastAsia="zh-CN" w:bidi="ar-SA"/>
    </w:rPr>
  </w:style>
  <w:style w:type="paragraph" w:customStyle="1" w:styleId="184">
    <w:name w:val="表格内部—常用"/>
    <w:basedOn w:val="1"/>
    <w:next w:val="1"/>
    <w:qFormat/>
    <w:uiPriority w:val="0"/>
    <w:pPr>
      <w:jc w:val="center"/>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extobjs>
    <extobj name="ECB019B1-382A-4266-B25C-5B523AA43C14-1">
      <extobjdata type="ECB019B1-382A-4266-B25C-5B523AA43C14" data="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"/>
    </extobj>
    <extobj name="ECB019B1-382A-4266-B25C-5B523AA43C14-2">
      <extobjdata type="ECB019B1-382A-4266-B25C-5B523AA43C14" data="ewoJIkZpbGVJZCIgOiAiNDU5OTE3NTg3OTEyIiwKCSJHcm91cElkIiA6ICIxNjY1MjM3NTAzIiwKCSJJbWFnZSIgOiAiaVZCT1J3MEtHZ29BQUFBTlNVaEVVZ0FBQXNnQUFBSmlDQVlBQUFEYUxEVCtBQUFBQVhOU1IwSUFyczRjNlFBQUlBQkpSRUZVZUp6czNYbDhUTmY3Qi9EUHVYTW5xeXdpbFlTUUlCS3hSQkpyV2t2dGZrcW9VclhWVm10ckthV0tvSmJVV2t0YkJMV2w5dHExWHhScDdWdGtLeUhTQkkwUWdpUW0rOHc5dno5a3BobVpKQ09Tek9CNXYxNWVkZTg5NTk3bjZtVHl6SjNubkFN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"/>
    </extobj>
  </extobjs>
</s:customData>
</file>

<file path=customXml/item2.xml><?xml version="1.0" encoding="utf-8"?>
<contractReview xmlns="http://schemas.wps.cn/vas-ai-hub/contract-review">
  <reviewItems>
    <reviewItem>
      <errorID>c40b7258-c7f9-4d98-8bfa-bd264556e233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3324A094</paraID>
      <start>33</start>
      <end>34</end>
      <status>unmodified</status>
      <modifiedWord/>
      <trackRevisions>false</trackRevisions>
    </reviewItem>
    <reviewItem>
      <errorID>4f2ab394-50bb-491f-8dbf-3b61ca80ad12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5E7E137E</paraID>
      <start>41</start>
      <end>42</end>
      <status>unmodified</status>
      <modifiedWord/>
      <trackRevisions>false</trackRevisions>
    </reviewItem>
    <reviewItem>
      <errorID>e2173138-be2b-427b-8bd0-6329533f4851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4E4D446A</paraID>
      <start>37</start>
      <end>38</end>
      <status>unmodified</status>
      <modifiedWord/>
      <trackRevisions>false</trackRevisions>
    </reviewItem>
    <reviewItem>
      <errorID>65a90097-92c0-467a-ab11-7832e392231f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7503831</paraID>
      <start>41</start>
      <end>42</end>
      <status>unmodified</status>
      <modifiedWord/>
      <trackRevisions>false</trackRevisions>
    </reviewItem>
    <reviewItem>
      <errorID>7f39cbde-1a89-407b-a750-0584fbd432e6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10E0FB2C</paraID>
      <start>31</start>
      <end>32</end>
      <status>unmodified</status>
      <modifiedWord/>
      <trackRevisions>false</trackRevisions>
    </reviewItem>
    <reviewItem>
      <errorID>327e40a1-6b6d-4294-a859-1892942807c9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153A5351</paraID>
      <start>31</start>
      <end>32</end>
      <status>unmodified</status>
      <modifiedWord/>
      <trackRevisions>false</trackRevisions>
    </reviewItem>
    <reviewItem>
      <errorID>8efcdb6a-b7fd-411d-bb2c-b3e0ac59cb9a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17DDEBA8</paraID>
      <start>124</start>
      <end>125</end>
      <status>unmodified</status>
      <modifiedWord/>
      <trackRevisions>false</trackRevisions>
    </reviewItem>
    <reviewItem>
      <errorID>c047bd48-da12-46db-8605-24b77bfb62cb</errorID>
      <errorWord>中华人民共和国水污染防治法</errorWord>
      <group>L1_Knowledge</group>
      <groupName>知识性问题</groupName>
      <ability>L2_Knowledge</ability>
      <abilityName>其他知识</abilityName>
      <candidateList/>
      <explain>当前法律法规未收录或尚未生效，注意核查是否正确。</explain>
      <paraID> A51065F</paraID>
      <start>1</start>
      <end>14</end>
      <status>unmodified</status>
      <modifiedWord/>
      <trackRevisions>false</trackRevisions>
    </reviewItem>
    <reviewItem>
      <errorID>256e9ac5-fa65-4f14-9ea0-3fff7f637a63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1C023E04</paraID>
      <start>0</start>
      <end>1</end>
      <status>unmodified</status>
      <modifiedWord/>
      <trackRevisions>false</trackRevisions>
    </reviewItem>
    <reviewItem>
      <errorID>36f47941-5e1f-448f-9b0d-1afe8d476056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6BCACC9F</paraID>
      <start>14</start>
      <end>15</end>
      <status>unmodified</status>
      <modifiedWord/>
      <trackRevisions>false</trackRevisions>
    </reviewItem>
    <reviewItem>
      <errorID>93bbc024-1a7f-4bdb-82e3-7e8e47538084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D3DEAA9</paraID>
      <start>24</start>
      <end>25</end>
      <status>unmodified</status>
      <modifiedWord/>
      <trackRevisions>false</trackRevisions>
    </reviewItem>
    <reviewItem>
      <errorID>34055d35-0f9a-4e22-8c44-26ec2f28a5cd</errorID>
      <errorWord>~</errorWord>
      <group>L1_Format</group>
      <groupName>格式问题</groupName>
      <ability>L2_HalfPunc</ability>
      <abilityName>全半角检查</abilityName>
      <candidateList>
        <item>～</item>
      </candidateList>
      <explain>文本全半角错误。</explain>
      <paraID>3B5A6F8F</paraID>
      <start>11</start>
      <end>12</end>
      <status>unmodified</status>
      <modifiedWord/>
      <trackRevisions>false</trackRevisions>
    </reviewItem>
    <reviewItem>
      <errorID>b0059709-6db6-4416-8357-65e0b841511b</errorID>
      <errorWord>~</errorWord>
      <group>L1_Format</group>
      <groupName>格式问题</groupName>
      <ability>L2_HalfPunc</ability>
      <abilityName>全半角检查</abilityName>
      <candidateList>
        <item>～</item>
      </candidateList>
      <explain>文本全半角错误。</explain>
      <paraID>3B5A6F8F</paraID>
      <start>23</start>
      <end>24</end>
      <status>unmodified</status>
      <modifiedWord/>
      <trackRevisions>false</trackRevisions>
    </reviewItem>
    <reviewItem>
      <errorID>2d60666e-7f95-43a5-8870-bf539d26f6cb</errorID>
      <errorWord>~</errorWord>
      <group>L1_Format</group>
      <groupName>格式问题</groupName>
      <ability>L2_HalfPunc</ability>
      <abilityName>全半角检查</abilityName>
      <candidateList>
        <item>～</item>
      </candidateList>
      <explain>文本全半角错误。</explain>
      <paraID>3B5A6F8F</paraID>
      <start>52</start>
      <end>53</end>
      <status>unmodified</status>
      <modifiedWord/>
      <trackRevisions>false</trackRevisions>
    </reviewItem>
    <reviewItem>
      <errorID>b6a84996-b5bf-4f99-a0ae-384d92196caa</errorID>
      <errorWord>沿</errorWord>
      <group>L1_Word</group>
      <groupName>字词问题</groupName>
      <ability>L2_Typo</ability>
      <abilityName>字词错误</abilityName>
      <candidateList>
        <item>缘</item>
      </candidateList>
      <explain>存在发音相近字词的误用。</explain>
      <paraID> 710B108</paraID>
      <start>72</start>
      <end>73</end>
      <status>unmodified</status>
      <modifiedWord/>
      <trackRevisions>false</trackRevisions>
    </reviewItem>
    <reviewItem>
      <errorID>ad7d628f-022e-4337-a1d3-366bdaf7aa77</errorID>
      <errorWord>中华人民共和国环境保护法</errorWord>
      <group>L1_Knowledge</group>
      <groupName>知识性问题</groupName>
      <ability>L2_Knowledge</ability>
      <abilityName>其他知识</abilityName>
      <candidateList/>
      <explain>当前法律法规未收录或尚未生效，注意核查是否正确。</explain>
      <paraID>4917A575</paraID>
      <start>3</start>
      <end>15</end>
      <status>unmodified</status>
      <modifiedWord/>
      <trackRevisions>false</trackRevisions>
    </reviewItem>
    <reviewItem>
      <errorID>5ce654de-83b4-441d-a5c4-1a01a51969df</errorID>
      <errorWord>法律、法规</errorWord>
      <group>L1_Word</group>
      <groupName>字词问题</groupName>
      <ability>L2_Typo</ability>
      <abilityName>字词错误</abilityName>
      <candidateList>
        <item>法律法规</item>
      </candidateList>
      <explain/>
      <paraID>4917A575</paraID>
      <start>52</start>
      <end>57</end>
      <status>unmodified</status>
      <modifiedWord/>
      <trackRevisions>false</trackRevisions>
    </reviewItem>
    <reviewItem>
      <errorID>1f9ad48e-22fa-4253-a701-18f63a148e49</errorID>
      <errorWord>为在</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5CFD260B</paraID>
      <start>95</start>
      <end>96</end>
      <status>modified</status>
      <modifiedWord>为</modifiedWord>
      <trackRevisions>false</trackRevisions>
    </reviewItem>
    <reviewItem>
      <errorID>0c712949-b0c9-4046-843d-c9a39d907814</errorID>
      <errorWord>,</errorWord>
      <group>L1_Format</group>
      <groupName>格式问题</groupName>
      <ability>L2_HalfPunc</ability>
      <abilityName>全半角检查</abilityName>
      <candidateList>
        <item>，</item>
      </candidateList>
      <explain>文本全半角错误。</explain>
      <paraID>2CD63FC9</paraID>
      <start>8</start>
      <end>9</end>
      <status>unmodified</status>
      <modifiedWord/>
      <trackRevisions>false</trackRevisions>
    </reviewItem>
    <reviewItem>
      <errorID>c4a97a21-ddec-42b5-8ae0-72815c4b9a9f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8C7A293</paraID>
      <start>48</start>
      <end>49</end>
      <status>unmodified</status>
      <modifiedWord/>
      <trackRevisions>false</trackRevisions>
    </reviewItem>
    <reviewItem>
      <errorID>711805fa-368d-49a9-9248-5eceff9e48a8</errorID>
      <errorWord>砂子</errorWord>
      <group>L1_Word</group>
      <groupName>字词问题</groupName>
      <ability>L2_Typo</ability>
      <abilityName>字词错误</abilityName>
      <candidateList>
        <item>沙子</item>
      </candidateList>
      <explain>存在发音相同字词的误用。</explain>
      <paraID> E7C1426</paraID>
      <start>0</start>
      <end>2</end>
      <status>unmodified</status>
      <modifiedWord/>
      <trackRevisions>false</trackRevisions>
    </reviewItem>
    <reviewItem>
      <errorID>80d51979-4402-44fd-bff0-1b8397e298f4</errorID>
      <errorWord>沿</errorWord>
      <group>L1_Word</group>
      <groupName>字词问题</groupName>
      <ability>L2_Typo</ability>
      <abilityName>字词错误</abilityName>
      <candidateList>
        <item>缘</item>
      </candidateList>
      <explain>存在发音相近字词的误用。</explain>
      <paraID>6AA4F13A</paraID>
      <start>5</start>
      <end>6</end>
      <status>unmodified</status>
      <modifiedWord/>
      <trackRevisions>false</trackRevisions>
    </reviewItem>
    <reviewItem>
      <errorID>8e324b2b-60f0-4354-bf55-e86615b87158</errorID>
      <errorWord>砂子</errorWord>
      <group>L1_Word</group>
      <groupName>字词问题</groupName>
      <ability>L2_Typo</ability>
      <abilityName>字词错误</abilityName>
      <candidateList>
        <item>沙子</item>
      </candidateList>
      <explain>存在发音相同字词的误用。</explain>
      <paraID>472EEF13</paraID>
      <start>0</start>
      <end>2</end>
      <status>unmodified</status>
      <modifiedWord/>
      <trackRevisions>false</trackRevisions>
    </reviewItem>
    <reviewItem>
      <errorID>c58b6ea2-84c8-42fd-9b24-11b7c35a3444</errorID>
      <errorWord>计</errorWord>
      <group>L1_Word</group>
      <groupName>字词问题</groupName>
      <ability>L2_Typo</ability>
      <abilityName>字词错误</abilityName>
      <candidateList>
        <item>计算</item>
      </candidateList>
      <explain/>
      <paraID> EA905D4</paraID>
      <start>103</start>
      <end>104</end>
      <status>unmodified</status>
      <modifiedWord/>
      <trackRevisions>false</trackRevisions>
    </reviewItem>
    <reviewItem>
      <errorID>581f8551-0288-4d7c-98c8-f404bab3b0c3</errorID>
      <errorWord>沿</errorWord>
      <group>L1_Word</group>
      <groupName>字词问题</groupName>
      <ability>L2_Typo</ability>
      <abilityName>字词错误</abilityName>
      <candidateList>
        <item>缘</item>
      </candidateList>
      <explain>存在发音相近字词的误用。</explain>
      <paraID>1D270CBD</paraID>
      <start>72</start>
      <end>73</end>
      <status>unmodified</status>
      <modifiedWord/>
      <trackRevisions>false</trackRevisions>
    </reviewItem>
    <reviewItem>
      <errorID>0ffed2ac-fd2f-4ffb-a928-5a1df5ee5fec</errorID>
      <errorWord>路沿</errorWord>
      <group>L1_Word</group>
      <groupName>字词问题</groupName>
      <ability>L2_Typo</ability>
      <abilityName>字词错误</abilityName>
      <candidateList>
        <item>路缘</item>
      </candidateList>
      <explain/>
      <paraID> 17D2F06</paraID>
      <start>53</start>
      <end>55</end>
      <status>unmodified</status>
      <modifiedWord/>
      <trackRevisions>false</trackRevisions>
    </reviewItem>
    <reviewItem>
      <errorID>3dc0835c-ceac-45ed-aa9b-65dd0fe0df1a</errorID>
      <errorWord>沿</errorWord>
      <group>L1_Word</group>
      <groupName>字词问题</groupName>
      <ability>L2_Typo</ability>
      <abilityName>字词错误</abilityName>
      <candidateList>
        <item>缘</item>
      </candidateList>
      <explain>存在发音相近字词的误用。</explain>
      <paraID>34022291</paraID>
      <start>66</start>
      <end>67</end>
      <status>unmodified</status>
      <modifiedWord/>
      <trackRevisions>false</trackRevisions>
    </reviewItem>
    <reviewItem>
      <errorID>3b6ef6b4-c68b-4c10-9278-bece2fd562dd</errorID>
      <errorWord>（</errorWord>
      <group>L1_Format</group>
      <groupName>格式问题</groupName>
      <ability>L2_HalfPunc</ability>
      <abilityName>全半角检查</abilityName>
      <candidateList>
        <item>(</item>
      </candidateList>
      <explain>文本全半角错误。</explain>
      <paraID>7DAB8149</paraID>
      <start>0</start>
      <end>1</end>
      <status>unmodified</status>
      <modifiedWord/>
      <trackRevisions>false</trackRevisions>
    </reviewItem>
    <reviewItem>
      <errorID>62e54dd8-bd7b-4b51-a5fe-fe28109f69fa</errorID>
      <errorWord>）</errorWord>
      <group>L1_Format</group>
      <groupName>格式问题</groupName>
      <ability>L2_HalfPunc</ability>
      <abilityName>全半角检查</abilityName>
      <candidateList>
        <item>)</item>
      </candidateList>
      <explain>文本全半角错误。</explain>
      <paraID>7DAB8149</paraID>
      <start>6</start>
      <end>7</end>
      <status>unmodified</status>
      <modifiedWord/>
      <trackRevisions>false</trackRevisions>
    </reviewItem>
    <reviewItem>
      <errorID>b256a8b2-d1b1-43a9-b743-304be4e1b64a</errorID>
      <errorWord>"</errorWord>
      <group>L1_Format</group>
      <groupName>格式问题</groupName>
      <ability>L2_HalfPunc</ability>
      <abilityName>全半角检查</abilityName>
      <candidateList/>
      <explain>文本全半角错误。</explain>
      <paraID>589AFDEE</paraID>
      <start>117</start>
      <end>118</end>
      <status>unmodified</status>
      <modifiedWord/>
      <trackRevisions>false</trackRevisions>
    </reviewItem>
    <reviewItem>
      <errorID>6063b6d2-b137-4cf6-b521-29fd87ceecd0</errorID>
      <errorWord>"</errorWord>
      <group>L1_Format</group>
      <groupName>格式问题</groupName>
      <ability>L2_HalfPunc</ability>
      <abilityName>全半角检查</abilityName>
      <candidateList>
        <item>”</item>
      </candidateList>
      <explain>文本全半角错误。</explain>
      <paraID>589AFDEE</paraID>
      <start>132</start>
      <end>133</end>
      <status>unmodified</status>
      <modifiedWord/>
      <trackRevisions>false</trackRevisions>
    </reviewItem>
    <reviewItem>
      <errorID>5b405afa-f4eb-4ffd-a029-8ec296d2a10b</errorID>
      <errorWord>ug/m3</errorWord>
      <group>L1_Word</group>
      <groupName>字词问题</groupName>
      <ability>L2_Typo</ability>
      <abilityName>字词错误</abilityName>
      <candidateList>
        <item>μg/m3</item>
      </candidateList>
      <explain/>
      <paraID>6996B30A</paraID>
      <start>5</start>
      <end>10</end>
      <status>unmodified</status>
      <modifiedWord/>
      <trackRevisions>false</trackRevisions>
    </reviewItem>
    <reviewItem>
      <errorID>06c5d50b-87b5-43f0-992d-8b79853c2d61</errorID>
      <errorWord>ug/m3</errorWord>
      <group>L1_Word</group>
      <groupName>字词问题</groupName>
      <ability>L2_Typo</ability>
      <abilityName>字词错误</abilityName>
      <candidateList>
        <item>μg/m3</item>
      </candidateList>
      <explain/>
      <paraID>3650B322</paraID>
      <start>4</start>
      <end>9</end>
      <status>unmodified</status>
      <modifiedWord/>
      <trackRevisions>false</trackRevisions>
    </reviewItem>
    <reviewItem>
      <errorID>13aa3568-baee-4880-baec-74aa8e4ac09b</errorID>
      <errorWord>：</errorWord>
      <group>L1_Format</group>
      <groupName>格式问题</groupName>
      <ability>L2_HalfPunc</ability>
      <abilityName>全半角检查</abilityName>
      <candidateList>
        <item>:</item>
      </candidateList>
      <explain>文本全半角错误。</explain>
      <paraID>23F1B61D</paraID>
      <start>1</start>
      <end>2</end>
      <status>unmodified</status>
      <modifiedWord/>
      <trackRevisions>false</trackRevisions>
    </reviewItem>
    <reviewItem>
      <errorID>2035f4a2-2301-4f84-bb1e-3c8f57ad8202</errorID>
      <errorWord>，</errorWord>
      <group>L1_Format</group>
      <groupName>格式问题</groupName>
      <ability>L2_HalfPunc</ability>
      <abilityName>全半角检查</abilityName>
      <candidateList>
        <item>, </item>
      </candidateList>
      <explain>文本全半角错误。</explain>
      <paraID>23F1B61D</paraID>
      <start>14</start>
      <end>15</end>
      <status>unmodified</status>
      <modifiedWord/>
      <trackRevisions>false</trackRevisions>
    </reviewItem>
    <reviewItem>
      <errorID>4958fc68-451a-4795-8a81-d60b88037eba</errorID>
      <errorWord>：</errorWord>
      <group>L1_Format</group>
      <groupName>格式问题</groupName>
      <ability>L2_HalfPunc</ability>
      <abilityName>全半角检查</abilityName>
      <candidateList>
        <item>:</item>
      </candidateList>
      <explain>文本全半角错误。</explain>
      <paraID>23F1B61D</paraID>
      <start>16</start>
      <end>17</end>
      <status>unmodified</status>
      <modifiedWord/>
      <trackRevisions>false</trackRevisions>
    </reviewItem>
    <reviewItem>
      <errorID>8e82c831-a94d-4efe-be8f-32c0d0ae9917</errorID>
      <errorWord>（</errorWord>
      <group>L1_Punc</group>
      <groupName>标点问题</groupName>
      <ability>L2_Punc</ability>
      <abilityName>标点符号检查</abilityName>
      <candidateList/>
      <explain>同一形式括号套用。</explain>
      <paraID>195F85E2</paraID>
      <start>22</start>
      <end>23</end>
      <status>unmodified</status>
      <modifiedWord/>
      <trackRevisions>false</trackRevisions>
    </reviewItem>
    <reviewItem>
      <errorID>2aff6127-c829-4508-a1b0-a1987e11b812</errorID>
      <errorWord>）</errorWord>
      <group>L1_Punc</group>
      <groupName>标点问题</groupName>
      <ability>L2_Punc</ability>
      <abilityName>标点符号检查</abilityName>
      <candidateList/>
      <explain>同一形式括号套用。</explain>
      <paraID>195F85E2</paraID>
      <start>26</start>
      <end>27</end>
      <status>unmodified</status>
      <modifiedWord/>
      <trackRevisions>false</trackRevisions>
    </reviewItem>
    <reviewItem>
      <errorID>b770b783-4cc2-4577-a0e5-35971060d328</errorID>
      <errorWord>（</errorWord>
      <group>L1_Format</group>
      <groupName>格式问题</groupName>
      <ability>L2_HalfPunc</ability>
      <abilityName>全半角检查</abilityName>
      <candidateList>
        <item>(</item>
      </candidateList>
      <explain>文本全半角错误。</explain>
      <paraID>1B77DCEB</paraID>
      <start>4</start>
      <end>5</end>
      <status>unmodified</status>
      <modifiedWord/>
      <trackRevisions>false</trackRevisions>
    </reviewItem>
    <reviewItem>
      <errorID>6e0c3cd9-59d4-46b2-823b-763e2e8d0c8d</errorID>
      <errorWord>）</errorWord>
      <group>L1_Format</group>
      <groupName>格式问题</groupName>
      <ability>L2_HalfPunc</ability>
      <abilityName>全半角检查</abilityName>
      <candidateList>
        <item>)</item>
      </candidateList>
      <explain>文本全半角错误。</explain>
      <paraID>1B77DCEB</paraID>
      <start>6</start>
      <end>7</end>
      <status>unmodified</status>
      <modifiedWord/>
      <trackRevisions>false</trackRevisions>
    </reviewItem>
    <reviewItem>
      <errorID>93ae78f0-eb77-4d9a-bbb0-7709b6dbed03</errorID>
      <errorWord>（</errorWord>
      <group>L1_Format</group>
      <groupName>格式问题</groupName>
      <ability>L2_HalfPunc</ability>
      <abilityName>全半角检查</abilityName>
      <candidateList>
        <item>(</item>
      </candidateList>
      <explain>文本全半角错误。</explain>
      <paraID>4C21BEB7</paraID>
      <start>4</start>
      <end>5</end>
      <status>unmodified</status>
      <modifiedWord/>
      <trackRevisions>false</trackRevisions>
    </reviewItem>
    <reviewItem>
      <errorID>1a75ce31-59bb-4e4d-8ce4-bcfbaa511a9d</errorID>
      <errorWord>）</errorWord>
      <group>L1_Format</group>
      <groupName>格式问题</groupName>
      <ability>L2_HalfPunc</ability>
      <abilityName>全半角检查</abilityName>
      <candidateList>
        <item>)</item>
      </candidateList>
      <explain>文本全半角错误。</explain>
      <paraID>4C21BEB7</paraID>
      <start>6</start>
      <end>7</end>
      <status>unmodified</status>
      <modifiedWord/>
      <trackRevisions>false</trackRevisions>
    </reviewItem>
    <reviewItem>
      <errorID>019938d2-4ac5-4a3e-834d-c263d2203539</errorID>
      <errorWord>-</errorWord>
      <group>L1_Format</group>
      <groupName>格式问题</groupName>
      <ability>L2_HalfPunc</ability>
      <abilityName>全半角检查</abilityName>
      <candidateList>
        <item>－</item>
      </candidateList>
      <explain>文本全半角错误。</explain>
      <paraID>7D4A8723</paraID>
      <start>89</start>
      <end>90</end>
      <status>unmodified</status>
      <modifiedWord/>
      <trackRevisions>false</trackRevisions>
    </reviewItem>
    <reviewItem>
      <errorID>899bc3dc-68cc-4bef-a3a7-cab9b1d929e9</errorID>
      <errorWord>-</errorWord>
      <group>L1_Format</group>
      <groupName>格式问题</groupName>
      <ability>L2_HalfPunc</ability>
      <abilityName>全半角检查</abilityName>
      <candidateList>
        <item>－</item>
      </candidateList>
      <explain>文本全半角错误。</explain>
      <paraID>7D4A8723</paraID>
      <start>116</start>
      <end>117</end>
      <status>unmodified</status>
      <modifiedWord/>
      <trackRevisions>false</trackRevisions>
    </reviewItem>
    <reviewItem>
      <errorID>c7db3e6c-f1ef-4042-94da-8679efe59b73</errorID>
      <errorWord>，</errorWord>
      <group>L1_Format</group>
      <groupName>格式问题</groupName>
      <ability>L2_HalfPunc</ability>
      <abilityName>全半角检查</abilityName>
      <candidateList>
        <item>,</item>
      </candidateList>
      <explain>文本全半角错误。</explain>
      <paraID> 3194311</paraID>
      <start>13</start>
      <end>14</end>
      <status>unmodified</status>
      <modifiedWord/>
      <trackRevisions>false</trackRevisions>
    </reviewItem>
    <reviewItem>
      <errorID>2751ac2d-7e13-407a-a171-39bb98af8185</errorID>
      <errorWord>2014年05月</errorWord>
      <group>L1_Knowledge</group>
      <groupName>知识性问题</groupName>
      <ability>L2_Time</ability>
      <abilityName>日期时间</abilityName>
      <candidateList>
        <item>2014年5月</item>
      </candidateList>
      <explain>根据日常书写习惯，月份一般会省略前导零。</explain>
      <paraID> 72AF9C2</paraID>
      <start>142</start>
      <end>150</end>
      <status>unmodified</status>
      <modifiedWord/>
      <trackRevisions>false</trackRevisions>
    </reviewItem>
    <reviewItem>
      <errorID>36e5a0b0-a266-4b5c-a84c-32ed9b1da12b</errorID>
      <errorWord>2017年04月</errorWord>
      <group>L1_Knowledge</group>
      <groupName>知识性问题</groupName>
      <ability>L2_Time</ability>
      <abilityName>日期时间</abilityName>
      <candidateList>
        <item>2017年4月</item>
      </candidateList>
      <explain>根据日常书写习惯，月份一般会省略前导零。</explain>
      <paraID> 72AF9C2</paraID>
      <start>170</start>
      <end>178</end>
      <status>unmodified</status>
      <modifiedWord/>
      <trackRevisions>false</trackRevisions>
    </reviewItem>
    <reviewItem>
      <errorID>fad24ced-8a1b-4392-9cf9-7daa8327a612</errorID>
      <errorWord>（</errorWord>
      <group>L1_Format</group>
      <groupName>格式问题</groupName>
      <ability>L2_HalfPunc</ability>
      <abilityName>全半角检查</abilityName>
      <candidateList>
        <item>(</item>
      </candidateList>
      <explain>文本全半角错误。</explain>
      <paraID>7E280CC2</paraID>
      <start>1</start>
      <end>2</end>
      <status>unmodified</status>
      <modifiedWord/>
      <trackRevisions>false</trackRevisions>
    </reviewItem>
    <reviewItem>
      <errorID>2f242f3a-b73e-4c58-a900-98fa3881789e</errorID>
      <errorWord>）</errorWord>
      <group>L1_Format</group>
      <groupName>格式问题</groupName>
      <ability>L2_HalfPunc</ability>
      <abilityName>全半角检查</abilityName>
      <candidateList>
        <item>)</item>
      </candidateList>
      <explain>文本全半角错误。</explain>
      <paraID>7E280CC2</paraID>
      <start>4</start>
      <end>5</end>
      <status>unmodified</status>
      <modifiedWord/>
      <trackRevisions>false</trackRevisions>
    </reviewItem>
    <reviewItem>
      <errorID>64b8b352-d784-4cf8-839a-461c94d0b53f</errorID>
      <errorWord>,</errorWord>
      <group>L1_Format</group>
      <groupName>格式问题</groupName>
      <ability>L2_HalfPunc</ability>
      <abilityName>全半角检查</abilityName>
      <candidateList>
        <item>，</item>
      </candidateList>
      <explain>文本全半角错误。</explain>
      <paraID>780F3819</paraID>
      <start>2</start>
      <end>3</end>
      <status>unmodified</status>
      <modifiedWord/>
      <trackRevisions>false</trackRevisions>
    </reviewItem>
    <reviewItem>
      <errorID>3b8dbe12-0e32-40aa-8f14-ddcc6e6f92c7</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1CDD8E5A</paraID>
      <start>0</start>
      <end>1</end>
      <status>unmodified</status>
      <modifiedWord/>
      <trackRevisions>false</trackRevisions>
    </reviewItem>
    <reviewItem>
      <errorID>3b8dbe12-0e32-40aa-8f14-ddcc6e6f92c7</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768EC525</paraID>
      <start>0</start>
      <end>1</end>
      <status>unmodified</status>
      <modifiedWord/>
      <trackRevisions>false</trackRevisions>
    </reviewItem>
    <reviewItem>
      <errorID>3b8dbe12-0e32-40aa-8f14-ddcc6e6f92c7</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 6025738</paraID>
      <start>0</start>
      <end>1</end>
      <status>unmodified</status>
      <modifiedWord/>
      <trackRevisions>false</trackRevisions>
    </reviewItem>
    <reviewItem>
      <errorID>3b8dbe12-0e32-40aa-8f14-ddcc6e6f92c7</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5607E3AA</paraID>
      <start>0</start>
      <end>1</end>
      <status>unmodified</status>
      <modifiedWord/>
      <trackRevisions>false</trackRevisions>
    </reviewItem>
    <reviewItem>
      <errorID>38d3227f-8b6c-4d57-86bd-d73740b074a6</errorID>
      <errorWord>,</errorWord>
      <group>L1_Format</group>
      <groupName>格式问题</groupName>
      <ability>L2_HalfPunc</ability>
      <abilityName>全半角检查</abilityName>
      <candidateList>
        <item>，</item>
      </candidateList>
      <explain>文本全半角错误。</explain>
      <paraID>782519D4</paraID>
      <start>5</start>
      <end>6</end>
      <status>unmodified</status>
      <modifiedWord/>
      <trackRevisions>false</trackRevisions>
    </reviewItem>
    <reviewItem>
      <errorID>d9593f93-d01c-4623-9952-1b588efc654b</errorID>
      <errorWord>（</errorWord>
      <group>L1_Punc</group>
      <groupName>标点问题</groupName>
      <ability>L2_Punc</ability>
      <abilityName>标点符号检查</abilityName>
      <candidateList>
        <item/>
      </candidateList>
      <explain>同一形式括号套用。</explain>
      <paraID>4F4A2378</paraID>
      <start>8</start>
      <end>9</end>
      <status>unmodified</status>
      <modifiedWord/>
      <trackRevisions>false</trackRevisions>
    </reviewItem>
    <reviewItem>
      <errorID>7867fa7e-1fa4-4c97-931c-c14549ef41e2</errorID>
      <errorWord>）</errorWord>
      <group>L1_Punc</group>
      <groupName>标点问题</groupName>
      <ability>L2_Punc</ability>
      <abilityName>标点符号检查</abilityName>
      <candidateList/>
      <explain>同一形式括号套用。</explain>
      <paraID>4F4A2378</paraID>
      <start>14</start>
      <end>15</end>
      <status>unmodified</status>
      <modifiedWord/>
      <trackRevisions>false</trackRevisions>
    </reviewItem>
    <reviewItem>
      <errorID>f3a1c6ba-3eb2-42f2-848d-dc7e945da71f</errorID>
      <errorWord>（</errorWord>
      <group>L1_Punc</group>
      <groupName>标点问题</groupName>
      <ability>L2_Punc</ability>
      <abilityName>标点符号检查</abilityName>
      <candidateList>
        <item/>
      </candidateList>
      <explain>同一形式括号套用。</explain>
      <paraID>7FF08D75</paraID>
      <start>0</start>
      <end>1</end>
      <status>unmodified</status>
      <modifiedWord/>
      <trackRevisions>false</trackRevisions>
    </reviewItem>
    <reviewItem>
      <errorID>dd748cc7-b37d-4516-b5a9-e8435ed08965</errorID>
      <errorWord>）</errorWord>
      <group>L1_Punc</group>
      <groupName>标点问题</groupName>
      <ability>L2_Punc</ability>
      <abilityName>标点符号检查</abilityName>
      <candidateList/>
      <explain>同一形式括号套用。</explain>
      <paraID>7FF08D75</paraID>
      <start>6</start>
      <end>7</end>
      <status>unmodified</status>
      <modifiedWord/>
      <trackRevisions>false</trackRevisions>
    </reviewItem>
    <reviewItem>
      <errorID>f579b3d3-3a7e-4bd6-ae03-c32f20ecf913</errorID>
      <errorWord>（</errorWord>
      <group>L1_Punc</group>
      <groupName>标点问题</groupName>
      <ability>L2_Punc</ability>
      <abilityName>标点符号检查</abilityName>
      <candidateList>
        <item/>
      </candidateList>
      <explain>同一形式括号套用。</explain>
      <paraID>5FCA18C6</paraID>
      <start>4</start>
      <end>5</end>
      <status>unmodified</status>
      <modifiedWord/>
      <trackRevisions>false</trackRevisions>
    </reviewItem>
    <reviewItem>
      <errorID>dc2ef96d-c45c-4d90-ac48-831f64814572</errorID>
      <errorWord>）</errorWord>
      <group>L1_Punc</group>
      <groupName>标点问题</groupName>
      <ability>L2_Punc</ability>
      <abilityName>标点符号检查</abilityName>
      <candidateList/>
      <explain>同一形式括号套用。</explain>
      <paraID>5FCA18C6</paraID>
      <start>10</start>
      <end>11</end>
      <status>unmodified</status>
      <modifiedWord/>
      <trackRevisions>false</trackRevisions>
    </reviewItem>
    <reviewItem>
      <errorID>7b18893e-0dfb-4e7c-a72a-49b2a09bde3f</errorID>
      <errorWord>-</errorWord>
      <group>L1_Format</group>
      <groupName>格式问题</groupName>
      <ability>L2_HalfPunc</ability>
      <abilityName>全半角检查</abilityName>
      <candidateList>
        <item>－</item>
      </candidateList>
      <explain>文本全半角错误。</explain>
      <paraID>16EE425A</paraID>
      <start>159</start>
      <end>160</end>
      <status>unmodified</status>
      <modifiedWord/>
      <trackRevisions>false</trackRevisions>
    </reviewItem>
    <reviewItem>
      <errorID>ed84bd8c-b2ea-433b-9a4b-346615d3a3c8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61B2BD1B</paraID>
      <start>120</start>
      <end>121</end>
      <status>unmodified</status>
      <modifiedWord/>
      <trackRevisions>false</trackRevisions>
    </reviewItem>
    <reviewItem>
      <errorID>224b351c-6874-4883-bb54-cd019262448b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2772E0D5</paraID>
      <start>24</start>
      <end>25</end>
      <status>unmodified</status>
      <modifiedWord/>
      <trackRevisions>false</trackRevisions>
    </reviewItem>
    <reviewItem>
      <errorID>da6cb33f-087f-419e-8940-fa9231fbd7d9</errorID>
      <errorWord>减小</errorWord>
      <group>L1_Word</group>
      <groupName>字词问题</groupName>
      <ability>L2_Typo</ability>
      <abilityName>字词错误</abilityName>
      <candidateList>
        <item>减少</item>
      </candidateList>
      <explain>〈动〉减去一部分：～人员｜～麻烦｜工作中的缺点～了。</explain>
      <paraID>1EE46533</paraID>
      <start>57</start>
      <end>59</end>
      <status>unmodified</status>
      <modifiedWord/>
      <trackRevisions>false</trackRevisions>
    </reviewItem>
    <reviewItem>
      <errorID>69883f4b-36e8-4579-a6b1-2d30390056ec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4B0BCBD9</paraID>
      <start>48</start>
      <end>49</end>
      <status>unmodified</status>
      <modifiedWord/>
      <trackRevisions>false</trackRevisions>
    </reviewItem>
    <reviewItem>
      <errorID>be818950-de37-4770-b9fb-9699c933b3ba</errorID>
      <errorWord>减小</errorWord>
      <group>L1_Word</group>
      <groupName>字词问题</groupName>
      <ability>L2_Typo</ability>
      <abilityName>字词错误</abilityName>
      <candidateList>
        <item>减少</item>
      </candidateList>
      <explain>〈动〉减去一部分：～人员｜～麻烦｜工作中的缺点～了。</explain>
      <paraID>476BA595</paraID>
      <start>59</start>
      <end>61</end>
      <status>unmodified</status>
      <modifiedWord/>
      <trackRevisions>false</trackRevisions>
    </reviewItem>
    <reviewItem>
      <errorID>1e72367a-3bb3-4ab9-876b-7c88d40c3527</errorID>
      <errorWord>环保治理</errorWord>
      <group>L1_Word</group>
      <groupName>字词问题</groupName>
      <ability>L2_Typo</ability>
      <abilityName>字词错误</abilityName>
      <candidateList>
        <item>环境治理</item>
      </candidateList>
      <explain/>
      <paraID>309C457D</paraID>
      <start>27</start>
      <end>31</end>
      <status>unmodified</status>
      <modifiedWord/>
      <trackRevisions>false</trackRevisions>
    </reviewItem>
    <reviewItem>
      <errorID>00e07626-e5a5-4305-ab81-7ea0cc590fd0</errorID>
      <errorWord>-</errorWord>
      <group>L1_Format</group>
      <groupName>格式问题</groupName>
      <ability>L2_HalfPunc</ability>
      <abilityName>全半角检查</abilityName>
      <candidateList>
        <item>－</item>
      </candidateList>
      <explain>文本全半角错误。</explain>
      <paraID>20587847</paraID>
      <start>63</start>
      <end>64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62237f-0481-4c97-a3ed-ba9f64fddb13}">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58</Pages>
  <Words>12083</Words>
  <Characters>13102</Characters>
  <Lines>1</Lines>
  <Paragraphs>1</Paragraphs>
  <TotalTime>29</TotalTime>
  <ScaleCrop>false</ScaleCrop>
  <LinksUpToDate>false</LinksUpToDate>
  <CharactersWithSpaces>13145</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2022-02-15T09:47:00Z</cp:lastPrinted>
  <dcterms:modified xsi:type="dcterms:W3CDTF">2026-05-26T11:52:30Z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E871A9B1509548359B780F971D0BEE5B_13</vt:lpwstr>
  </property>
  <property fmtid="{D5CDD505-2E9C-101B-9397-08002B2CF9AE}" pid="4" name="KSOTemplateDocerSaveRecord">
    <vt:lpwstr>eyJoZGlkIjoiMzU0Nzg5MDhiYWNlODhjOWFjNGJjNmU1YWIyZmY2MWMiLCJ1c2VySWQiOiIxMzAzNzMwMTgxIn0=</vt:lpwstr>
  </property>
</Properties>
</file>