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outlineLvl w:val="0"/>
        <w:rPr>
          <w:rFonts w:hint="eastAsia" w:ascii="黑体" w:hAnsi="黑体" w:eastAsia="黑体"/>
          <w:snapToGrid w:val="0"/>
          <w:sz w:val="30"/>
          <w:szCs w:val="30"/>
          <w:lang w:eastAsia="zh-CN"/>
        </w:rPr>
        <w:sectPr>
          <w:headerReference r:id="rId3" w:type="default"/>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黑体" w:hAnsi="黑体" w:eastAsia="黑体"/>
          <w:snapToGrid w:val="0"/>
          <w:sz w:val="30"/>
          <w:szCs w:val="30"/>
          <w:lang w:eastAsia="zh-CN"/>
        </w:rPr>
        <w:drawing>
          <wp:inline distT="0" distB="0" distL="114300" distR="114300">
            <wp:extent cx="5505450" cy="77914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505450" cy="7791450"/>
                    </a:xfrm>
                    <a:prstGeom prst="rect">
                      <a:avLst/>
                    </a:prstGeom>
                    <a:noFill/>
                    <a:ln>
                      <a:noFill/>
                    </a:ln>
                  </pic:spPr>
                </pic:pic>
              </a:graphicData>
            </a:graphic>
          </wp:inline>
        </w:drawing>
      </w:r>
    </w:p>
    <w:p>
      <w:pPr>
        <w:pStyle w:val="18"/>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2"/>
        <w:tblW w:w="88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37"/>
        <w:gridCol w:w="2486"/>
        <w:gridCol w:w="2217"/>
        <w:gridCol w:w="26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8" w:type="dxa"/>
            <w:noWrap w:val="0"/>
            <w:tcMar>
              <w:top w:w="16" w:type="dxa"/>
              <w:left w:w="16" w:type="dxa"/>
              <w:right w:w="16" w:type="dxa"/>
            </w:tcMar>
            <w:vAlign w:val="center"/>
          </w:tcPr>
          <w:p>
            <w:pPr>
              <w:pStyle w:val="40"/>
              <w:bidi w:val="0"/>
            </w:pPr>
            <w:r>
              <w:rPr>
                <w:rFonts w:hint="eastAsia"/>
              </w:rPr>
              <w:t>建设项目名称</w:t>
            </w:r>
          </w:p>
        </w:tc>
        <w:tc>
          <w:tcPr>
            <w:tcW w:w="7225" w:type="dxa"/>
            <w:gridSpan w:val="3"/>
            <w:noWrap w:val="0"/>
            <w:vAlign w:val="center"/>
          </w:tcPr>
          <w:p>
            <w:pPr>
              <w:pStyle w:val="40"/>
              <w:bidi w:val="0"/>
            </w:pPr>
            <w:r>
              <w:rPr>
                <w:rFonts w:hint="eastAsia"/>
                <w:lang w:val="en-US" w:eastAsia="zh-CN"/>
              </w:rPr>
              <w:t>新疆锦帆商砼有限公司若羌—羚羊（花土沟东）750千伏输变电工程临时混凝土搅拌站建设项目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8" w:type="dxa"/>
            <w:noWrap w:val="0"/>
            <w:tcMar>
              <w:top w:w="16" w:type="dxa"/>
              <w:left w:w="16" w:type="dxa"/>
              <w:right w:w="16" w:type="dxa"/>
            </w:tcMar>
            <w:vAlign w:val="center"/>
          </w:tcPr>
          <w:p>
            <w:pPr>
              <w:pStyle w:val="40"/>
              <w:bidi w:val="0"/>
            </w:pPr>
            <w:r>
              <w:rPr>
                <w:rFonts w:hint="eastAsia"/>
                <w:highlight w:val="none"/>
              </w:rPr>
              <w:t>项目代码</w:t>
            </w:r>
          </w:p>
        </w:tc>
        <w:tc>
          <w:tcPr>
            <w:tcW w:w="7225" w:type="dxa"/>
            <w:gridSpan w:val="3"/>
            <w:noWrap w:val="0"/>
            <w:vAlign w:val="center"/>
          </w:tcPr>
          <w:p>
            <w:pPr>
              <w:pStyle w:val="40"/>
              <w:bidi w:val="0"/>
              <w:rPr>
                <w:rFonts w:hint="default" w:eastAsia="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8" w:type="dxa"/>
            <w:noWrap w:val="0"/>
            <w:tcMar>
              <w:top w:w="16" w:type="dxa"/>
              <w:left w:w="16" w:type="dxa"/>
              <w:right w:w="16" w:type="dxa"/>
            </w:tcMar>
            <w:vAlign w:val="center"/>
          </w:tcPr>
          <w:p>
            <w:pPr>
              <w:pStyle w:val="40"/>
              <w:bidi w:val="0"/>
              <w:rPr>
                <w:rFonts w:hint="eastAsia"/>
              </w:rPr>
            </w:pPr>
            <w:r>
              <w:rPr>
                <w:rFonts w:hint="eastAsia"/>
              </w:rPr>
              <w:t>建设单位联系人</w:t>
            </w:r>
          </w:p>
        </w:tc>
        <w:tc>
          <w:tcPr>
            <w:tcW w:w="2371" w:type="dxa"/>
            <w:noWrap w:val="0"/>
            <w:vAlign w:val="center"/>
          </w:tcPr>
          <w:p>
            <w:pPr>
              <w:pStyle w:val="40"/>
              <w:bidi w:val="0"/>
              <w:rPr>
                <w:rFonts w:hint="default" w:eastAsia="宋体"/>
                <w:lang w:val="en-US" w:eastAsia="zh-CN"/>
              </w:rPr>
            </w:pPr>
          </w:p>
        </w:tc>
        <w:tc>
          <w:tcPr>
            <w:tcW w:w="2212" w:type="dxa"/>
            <w:noWrap w:val="0"/>
            <w:vAlign w:val="center"/>
          </w:tcPr>
          <w:p>
            <w:pPr>
              <w:pStyle w:val="40"/>
              <w:bidi w:val="0"/>
            </w:pPr>
          </w:p>
        </w:tc>
        <w:tc>
          <w:tcPr>
            <w:tcW w:w="2642" w:type="dxa"/>
            <w:noWrap w:val="0"/>
            <w:vAlign w:val="center"/>
          </w:tcPr>
          <w:p>
            <w:pPr>
              <w:pStyle w:val="40"/>
              <w:bidi w:val="0"/>
              <w:rPr>
                <w:rFonts w:hint="default" w:eastAsia="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8" w:type="dxa"/>
            <w:noWrap w:val="0"/>
            <w:tcMar>
              <w:top w:w="16" w:type="dxa"/>
              <w:left w:w="16" w:type="dxa"/>
              <w:right w:w="16" w:type="dxa"/>
            </w:tcMar>
            <w:vAlign w:val="center"/>
          </w:tcPr>
          <w:p>
            <w:pPr>
              <w:pStyle w:val="40"/>
              <w:bidi w:val="0"/>
            </w:pPr>
            <w:r>
              <w:rPr>
                <w:rFonts w:hint="eastAsia"/>
              </w:rPr>
              <w:t>建设地点</w:t>
            </w:r>
          </w:p>
        </w:tc>
        <w:tc>
          <w:tcPr>
            <w:tcW w:w="7225" w:type="dxa"/>
            <w:gridSpan w:val="3"/>
            <w:noWrap w:val="0"/>
            <w:vAlign w:val="center"/>
          </w:tcPr>
          <w:p>
            <w:pPr>
              <w:pStyle w:val="40"/>
              <w:bidi w:val="0"/>
              <w:rPr>
                <w:rFonts w:hint="default" w:eastAsia="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8" w:type="dxa"/>
            <w:noWrap w:val="0"/>
            <w:tcMar>
              <w:top w:w="16" w:type="dxa"/>
              <w:left w:w="16" w:type="dxa"/>
              <w:right w:w="16" w:type="dxa"/>
            </w:tcMar>
            <w:vAlign w:val="center"/>
          </w:tcPr>
          <w:p>
            <w:pPr>
              <w:pStyle w:val="40"/>
              <w:bidi w:val="0"/>
            </w:pPr>
            <w:r>
              <w:rPr>
                <w:rFonts w:hint="eastAsia"/>
              </w:rPr>
              <w:t>地理坐标</w:t>
            </w:r>
          </w:p>
        </w:tc>
        <w:tc>
          <w:tcPr>
            <w:tcW w:w="7225" w:type="dxa"/>
            <w:gridSpan w:val="3"/>
            <w:noWrap w:val="0"/>
            <w:vAlign w:val="center"/>
          </w:tcPr>
          <w:p>
            <w:pPr>
              <w:pStyle w:val="40"/>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48" w:type="dxa"/>
            <w:noWrap w:val="0"/>
            <w:tcMar>
              <w:top w:w="16" w:type="dxa"/>
              <w:left w:w="16" w:type="dxa"/>
              <w:right w:w="16" w:type="dxa"/>
            </w:tcMar>
            <w:vAlign w:val="center"/>
          </w:tcPr>
          <w:p>
            <w:pPr>
              <w:pStyle w:val="40"/>
              <w:bidi w:val="0"/>
              <w:rPr>
                <w:rFonts w:hint="eastAsia"/>
              </w:rPr>
            </w:pPr>
            <w:r>
              <w:rPr>
                <w:rFonts w:hint="eastAsia"/>
              </w:rPr>
              <w:t>国民经济</w:t>
            </w:r>
          </w:p>
          <w:p>
            <w:pPr>
              <w:pStyle w:val="40"/>
              <w:bidi w:val="0"/>
            </w:pPr>
            <w:r>
              <w:rPr>
                <w:rFonts w:hint="eastAsia"/>
              </w:rPr>
              <w:t>行业类别</w:t>
            </w:r>
          </w:p>
        </w:tc>
        <w:tc>
          <w:tcPr>
            <w:tcW w:w="2371" w:type="dxa"/>
            <w:noWrap w:val="0"/>
            <w:vAlign w:val="center"/>
          </w:tcPr>
          <w:p>
            <w:pPr>
              <w:pStyle w:val="40"/>
              <w:bidi w:val="0"/>
              <w:rPr>
                <w:rFonts w:hint="default" w:eastAsia="宋体"/>
                <w:lang w:val="en-US" w:eastAsia="zh-CN"/>
              </w:rPr>
            </w:pPr>
            <w:r>
              <w:rPr>
                <w:rFonts w:hint="default"/>
              </w:rPr>
              <w:t>C3</w:t>
            </w:r>
            <w:r>
              <w:rPr>
                <w:rFonts w:hint="default"/>
                <w:lang w:val="en-US" w:eastAsia="zh-CN"/>
              </w:rPr>
              <w:t>021水泥制品制造</w:t>
            </w:r>
          </w:p>
        </w:tc>
        <w:tc>
          <w:tcPr>
            <w:tcW w:w="2212" w:type="dxa"/>
            <w:noWrap w:val="0"/>
            <w:vAlign w:val="center"/>
          </w:tcPr>
          <w:p>
            <w:pPr>
              <w:pStyle w:val="40"/>
              <w:bidi w:val="0"/>
            </w:pPr>
            <w:bookmarkStart w:id="0" w:name="_Hlk49843745"/>
            <w:bookmarkStart w:id="11" w:name="_GoBack"/>
            <w:bookmarkEnd w:id="11"/>
            <w:r>
              <w:rPr>
                <w:rFonts w:hint="eastAsia"/>
              </w:rPr>
              <w:t>建设项目</w:t>
            </w:r>
          </w:p>
          <w:p>
            <w:pPr>
              <w:pStyle w:val="40"/>
              <w:bidi w:val="0"/>
            </w:pPr>
            <w:r>
              <w:rPr>
                <w:rFonts w:hint="eastAsia"/>
              </w:rPr>
              <w:t>行业类别</w:t>
            </w:r>
            <w:bookmarkEnd w:id="0"/>
          </w:p>
        </w:tc>
        <w:tc>
          <w:tcPr>
            <w:tcW w:w="2642" w:type="dxa"/>
            <w:noWrap w:val="0"/>
            <w:vAlign w:val="center"/>
          </w:tcPr>
          <w:p>
            <w:pPr>
              <w:keepNext w:val="0"/>
              <w:keepLines w:val="0"/>
              <w:widowControl/>
              <w:suppressLineNumbers w:val="0"/>
              <w:jc w:val="left"/>
              <w:rPr>
                <w:rFonts w:hint="default"/>
                <w:lang w:val="en-US" w:eastAsia="zh-CN"/>
              </w:rPr>
            </w:pPr>
            <w:r>
              <w:rPr>
                <w:rFonts w:hint="eastAsia"/>
                <w:lang w:val="en-US" w:eastAsia="zh-CN"/>
              </w:rPr>
              <w:t>二十七、非金属矿物制品业 30-石膏、水泥制品及类似制品制造302-商品混凝土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48" w:type="dxa"/>
            <w:noWrap w:val="0"/>
            <w:tcMar>
              <w:top w:w="16" w:type="dxa"/>
              <w:left w:w="16" w:type="dxa"/>
              <w:right w:w="16" w:type="dxa"/>
            </w:tcMar>
            <w:vAlign w:val="center"/>
          </w:tcPr>
          <w:p>
            <w:pPr>
              <w:pStyle w:val="40"/>
              <w:bidi w:val="0"/>
            </w:pPr>
            <w:r>
              <w:rPr>
                <w:rFonts w:hint="eastAsia"/>
              </w:rPr>
              <w:t>建设性质</w:t>
            </w:r>
          </w:p>
        </w:tc>
        <w:tc>
          <w:tcPr>
            <w:tcW w:w="2371" w:type="dxa"/>
            <w:noWrap w:val="0"/>
            <w:vAlign w:val="center"/>
          </w:tcPr>
          <w:p>
            <w:pPr>
              <w:pStyle w:val="40"/>
              <w:bidi w:val="0"/>
              <w:jc w:val="both"/>
            </w:pPr>
            <w:r>
              <w:rPr>
                <w:rFonts w:hint="eastAsia"/>
                <w:lang w:eastAsia="zh-CN"/>
              </w:rPr>
              <w:t>☑</w:t>
            </w:r>
            <w:r>
              <w:rPr>
                <w:rFonts w:hint="eastAsia"/>
              </w:rPr>
              <w:t>新建（迁建）</w:t>
            </w:r>
          </w:p>
          <w:p>
            <w:pPr>
              <w:pStyle w:val="40"/>
              <w:bidi w:val="0"/>
              <w:jc w:val="both"/>
              <w:rPr>
                <w:rFonts w:hint="eastAsia"/>
              </w:rPr>
            </w:pPr>
            <w:r>
              <w:rPr>
                <w:rFonts w:hint="eastAsia"/>
              </w:rPr>
              <w:t>□改建</w:t>
            </w:r>
          </w:p>
          <w:p>
            <w:pPr>
              <w:pStyle w:val="40"/>
              <w:bidi w:val="0"/>
              <w:jc w:val="both"/>
              <w:rPr>
                <w:rFonts w:hint="eastAsia"/>
              </w:rPr>
            </w:pPr>
            <w:r>
              <w:rPr>
                <w:rFonts w:hint="eastAsia"/>
              </w:rPr>
              <w:t>□扩建</w:t>
            </w:r>
          </w:p>
          <w:p>
            <w:pPr>
              <w:pStyle w:val="40"/>
              <w:bidi w:val="0"/>
              <w:jc w:val="both"/>
            </w:pPr>
            <w:r>
              <w:rPr>
                <w:rFonts w:hint="eastAsia"/>
              </w:rPr>
              <w:t>□技术改造</w:t>
            </w:r>
          </w:p>
        </w:tc>
        <w:tc>
          <w:tcPr>
            <w:tcW w:w="2212" w:type="dxa"/>
            <w:noWrap w:val="0"/>
            <w:vAlign w:val="center"/>
          </w:tcPr>
          <w:p>
            <w:pPr>
              <w:pStyle w:val="40"/>
              <w:bidi w:val="0"/>
              <w:rPr>
                <w:rFonts w:hint="eastAsia"/>
              </w:rPr>
            </w:pPr>
            <w:r>
              <w:rPr>
                <w:rFonts w:hint="eastAsia"/>
              </w:rPr>
              <w:t>建设项目</w:t>
            </w:r>
          </w:p>
          <w:p>
            <w:pPr>
              <w:pStyle w:val="40"/>
              <w:bidi w:val="0"/>
            </w:pPr>
            <w:r>
              <w:rPr>
                <w:rFonts w:hint="eastAsia"/>
              </w:rPr>
              <w:t>申报情形</w:t>
            </w:r>
          </w:p>
        </w:tc>
        <w:tc>
          <w:tcPr>
            <w:tcW w:w="2642" w:type="dxa"/>
            <w:noWrap w:val="0"/>
            <w:vAlign w:val="center"/>
          </w:tcPr>
          <w:p>
            <w:pPr>
              <w:pStyle w:val="40"/>
              <w:bidi w:val="0"/>
              <w:jc w:val="both"/>
            </w:pPr>
            <w:r>
              <w:rPr>
                <w:rFonts w:hint="eastAsia"/>
              </w:rPr>
              <w:sym w:font="Wingdings 2" w:char="0052"/>
            </w:r>
            <w:r>
              <w:rPr>
                <w:rFonts w:hint="eastAsia"/>
              </w:rPr>
              <w:t>首次申报项目</w:t>
            </w:r>
            <w:r>
              <w:t xml:space="preserve">          </w:t>
            </w:r>
          </w:p>
          <w:p>
            <w:pPr>
              <w:pStyle w:val="40"/>
              <w:bidi w:val="0"/>
              <w:jc w:val="both"/>
            </w:pPr>
            <w:r>
              <w:rPr>
                <w:rFonts w:hint="eastAsia"/>
              </w:rPr>
              <w:t>□不予批准后再次申报项目</w:t>
            </w:r>
          </w:p>
          <w:p>
            <w:pPr>
              <w:pStyle w:val="40"/>
              <w:bidi w:val="0"/>
              <w:jc w:val="both"/>
            </w:pPr>
            <w:r>
              <w:rPr>
                <w:rFonts w:hint="eastAsia"/>
              </w:rPr>
              <w:sym w:font="Wingdings 2" w:char="00A3"/>
            </w:r>
            <w:r>
              <w:rPr>
                <w:rFonts w:hint="eastAsia"/>
              </w:rPr>
              <w:t>超五年重新审核项目</w:t>
            </w:r>
            <w:r>
              <w:t xml:space="preserve">    </w:t>
            </w:r>
          </w:p>
          <w:p>
            <w:pPr>
              <w:pStyle w:val="40"/>
              <w:bidi w:val="0"/>
              <w:jc w:val="both"/>
            </w:pPr>
            <w:r>
              <w:rPr>
                <w:rFonts w:hint="eastAsia"/>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648" w:type="dxa"/>
            <w:noWrap w:val="0"/>
            <w:tcMar>
              <w:top w:w="16" w:type="dxa"/>
              <w:left w:w="16" w:type="dxa"/>
              <w:right w:w="16" w:type="dxa"/>
            </w:tcMar>
            <w:vAlign w:val="center"/>
          </w:tcPr>
          <w:p>
            <w:pPr>
              <w:pStyle w:val="40"/>
              <w:bidi w:val="0"/>
              <w:rPr>
                <w:rFonts w:hint="eastAsia"/>
                <w:highlight w:val="none"/>
              </w:rPr>
            </w:pPr>
            <w:r>
              <w:rPr>
                <w:rFonts w:hint="eastAsia"/>
                <w:highlight w:val="none"/>
              </w:rPr>
              <w:t>项目审批（核准</w:t>
            </w:r>
            <w:r>
              <w:rPr>
                <w:highlight w:val="none"/>
              </w:rPr>
              <w:t>/</w:t>
            </w:r>
          </w:p>
          <w:p>
            <w:pPr>
              <w:pStyle w:val="40"/>
              <w:bidi w:val="0"/>
              <w:rPr>
                <w:highlight w:val="green"/>
              </w:rPr>
            </w:pPr>
            <w:r>
              <w:rPr>
                <w:rFonts w:hint="eastAsia"/>
                <w:highlight w:val="none"/>
              </w:rPr>
              <w:t>备案）部门（选填）</w:t>
            </w:r>
          </w:p>
        </w:tc>
        <w:tc>
          <w:tcPr>
            <w:tcW w:w="2371" w:type="dxa"/>
            <w:noWrap w:val="0"/>
            <w:vAlign w:val="center"/>
          </w:tcPr>
          <w:p>
            <w:pPr>
              <w:pStyle w:val="40"/>
              <w:bidi w:val="0"/>
              <w:rPr>
                <w:rFonts w:hint="default" w:eastAsia="宋体"/>
                <w:highlight w:val="green"/>
                <w:lang w:val="en-US" w:eastAsia="zh-CN"/>
              </w:rPr>
            </w:pPr>
            <w:r>
              <w:rPr>
                <w:rFonts w:hint="eastAsia"/>
                <w:highlight w:val="none"/>
                <w:lang w:val="en-US" w:eastAsia="zh-CN"/>
              </w:rPr>
              <w:t>若羌县发展和改革委员会</w:t>
            </w:r>
          </w:p>
        </w:tc>
        <w:tc>
          <w:tcPr>
            <w:tcW w:w="2212" w:type="dxa"/>
            <w:noWrap w:val="0"/>
            <w:vAlign w:val="center"/>
          </w:tcPr>
          <w:p>
            <w:pPr>
              <w:pStyle w:val="40"/>
              <w:bidi w:val="0"/>
              <w:rPr>
                <w:rFonts w:hint="eastAsia"/>
                <w:highlight w:val="none"/>
              </w:rPr>
            </w:pPr>
            <w:r>
              <w:rPr>
                <w:rFonts w:hint="eastAsia"/>
                <w:highlight w:val="none"/>
              </w:rPr>
              <w:t>项目审批（核准</w:t>
            </w:r>
            <w:r>
              <w:rPr>
                <w:highlight w:val="none"/>
              </w:rPr>
              <w:t>/</w:t>
            </w:r>
          </w:p>
          <w:p>
            <w:pPr>
              <w:pStyle w:val="40"/>
              <w:bidi w:val="0"/>
              <w:rPr>
                <w:rFonts w:hint="eastAsia"/>
                <w:highlight w:val="green"/>
              </w:rPr>
            </w:pPr>
            <w:r>
              <w:rPr>
                <w:rFonts w:hint="eastAsia"/>
                <w:highlight w:val="none"/>
              </w:rPr>
              <w:t>备案）文号（选填）</w:t>
            </w:r>
          </w:p>
        </w:tc>
        <w:tc>
          <w:tcPr>
            <w:tcW w:w="2642" w:type="dxa"/>
            <w:noWrap w:val="0"/>
            <w:vAlign w:val="center"/>
          </w:tcPr>
          <w:p>
            <w:pPr>
              <w:pStyle w:val="40"/>
              <w:bidi w:val="0"/>
              <w:rPr>
                <w:rFonts w:hint="default" w:eastAsia="宋体"/>
                <w:lang w:val="en-US" w:eastAsia="zh-CN"/>
              </w:rPr>
            </w:pPr>
            <w:r>
              <w:rPr>
                <w:rFonts w:hint="eastAsia"/>
                <w:lang w:val="en-US" w:eastAsia="zh-CN"/>
              </w:rPr>
              <w:t>2509181206652824000113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8" w:type="dxa"/>
            <w:noWrap w:val="0"/>
            <w:tcMar>
              <w:top w:w="16" w:type="dxa"/>
              <w:left w:w="16" w:type="dxa"/>
              <w:right w:w="16" w:type="dxa"/>
            </w:tcMar>
            <w:vAlign w:val="center"/>
          </w:tcPr>
          <w:p>
            <w:pPr>
              <w:pStyle w:val="40"/>
              <w:bidi w:val="0"/>
            </w:pPr>
            <w:r>
              <w:rPr>
                <w:rFonts w:hint="eastAsia"/>
              </w:rPr>
              <w:t>总投资（万元）</w:t>
            </w:r>
          </w:p>
        </w:tc>
        <w:tc>
          <w:tcPr>
            <w:tcW w:w="2371" w:type="dxa"/>
            <w:noWrap w:val="0"/>
            <w:vAlign w:val="center"/>
          </w:tcPr>
          <w:p>
            <w:pPr>
              <w:pStyle w:val="40"/>
              <w:bidi w:val="0"/>
              <w:rPr>
                <w:rFonts w:hint="default" w:eastAsia="宋体"/>
                <w:highlight w:val="green"/>
                <w:lang w:val="en-US" w:eastAsia="zh-CN"/>
              </w:rPr>
            </w:pPr>
            <w:r>
              <w:rPr>
                <w:rFonts w:hint="eastAsia"/>
                <w:highlight w:val="none"/>
                <w:lang w:val="en-US" w:eastAsia="zh-CN"/>
              </w:rPr>
              <w:t>20</w:t>
            </w:r>
          </w:p>
        </w:tc>
        <w:tc>
          <w:tcPr>
            <w:tcW w:w="2212" w:type="dxa"/>
            <w:noWrap w:val="0"/>
            <w:tcMar>
              <w:top w:w="16" w:type="dxa"/>
              <w:left w:w="16" w:type="dxa"/>
              <w:right w:w="16" w:type="dxa"/>
            </w:tcMar>
            <w:vAlign w:val="center"/>
          </w:tcPr>
          <w:p>
            <w:pPr>
              <w:pStyle w:val="40"/>
              <w:bidi w:val="0"/>
            </w:pPr>
            <w:r>
              <w:rPr>
                <w:rFonts w:hint="eastAsia"/>
                <w:highlight w:val="none"/>
              </w:rPr>
              <w:t>环保投资（万元）</w:t>
            </w:r>
          </w:p>
        </w:tc>
        <w:tc>
          <w:tcPr>
            <w:tcW w:w="2642" w:type="dxa"/>
            <w:noWrap w:val="0"/>
            <w:vAlign w:val="center"/>
          </w:tcPr>
          <w:p>
            <w:pPr>
              <w:pStyle w:val="40"/>
              <w:bidi w:val="0"/>
              <w:rPr>
                <w:rFonts w:hint="default" w:eastAsia="宋体"/>
                <w:lang w:val="en-US" w:eastAsia="zh-CN"/>
              </w:rPr>
            </w:pPr>
            <w:r>
              <w:rPr>
                <w:rFonts w:hint="eastAsia"/>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8" w:type="dxa"/>
            <w:noWrap w:val="0"/>
            <w:tcMar>
              <w:top w:w="16" w:type="dxa"/>
              <w:left w:w="16" w:type="dxa"/>
              <w:right w:w="16" w:type="dxa"/>
            </w:tcMar>
            <w:vAlign w:val="center"/>
          </w:tcPr>
          <w:p>
            <w:pPr>
              <w:pStyle w:val="40"/>
              <w:bidi w:val="0"/>
            </w:pPr>
            <w:r>
              <w:rPr>
                <w:rFonts w:hint="eastAsia"/>
                <w:highlight w:val="none"/>
              </w:rPr>
              <w:t>环保投资占比（</w:t>
            </w:r>
            <w:r>
              <w:rPr>
                <w:highlight w:val="none"/>
              </w:rPr>
              <w:t>%</w:t>
            </w:r>
            <w:r>
              <w:rPr>
                <w:rFonts w:hint="eastAsia"/>
                <w:highlight w:val="none"/>
              </w:rPr>
              <w:t>）</w:t>
            </w:r>
          </w:p>
        </w:tc>
        <w:tc>
          <w:tcPr>
            <w:tcW w:w="2371" w:type="dxa"/>
            <w:noWrap w:val="0"/>
            <w:vAlign w:val="center"/>
          </w:tcPr>
          <w:p>
            <w:pPr>
              <w:pStyle w:val="40"/>
              <w:bidi w:val="0"/>
              <w:rPr>
                <w:rFonts w:hint="default" w:eastAsia="宋体"/>
                <w:lang w:val="en-US" w:eastAsia="zh-CN"/>
              </w:rPr>
            </w:pPr>
            <w:r>
              <w:rPr>
                <w:rFonts w:hint="eastAsia"/>
                <w:lang w:val="en-US" w:eastAsia="zh-CN"/>
              </w:rPr>
              <w:t>45</w:t>
            </w:r>
          </w:p>
        </w:tc>
        <w:tc>
          <w:tcPr>
            <w:tcW w:w="2212" w:type="dxa"/>
            <w:noWrap w:val="0"/>
            <w:tcMar>
              <w:top w:w="16" w:type="dxa"/>
              <w:left w:w="16" w:type="dxa"/>
              <w:right w:w="16" w:type="dxa"/>
            </w:tcMar>
            <w:vAlign w:val="center"/>
          </w:tcPr>
          <w:p>
            <w:pPr>
              <w:pStyle w:val="40"/>
              <w:bidi w:val="0"/>
            </w:pPr>
            <w:r>
              <w:rPr>
                <w:rFonts w:hint="eastAsia"/>
              </w:rPr>
              <w:t>施工工期</w:t>
            </w:r>
          </w:p>
        </w:tc>
        <w:tc>
          <w:tcPr>
            <w:tcW w:w="2642" w:type="dxa"/>
            <w:noWrap w:val="0"/>
            <w:vAlign w:val="center"/>
          </w:tcPr>
          <w:p>
            <w:pPr>
              <w:pStyle w:val="40"/>
              <w:bidi w:val="0"/>
              <w:rPr>
                <w:rFonts w:hint="default" w:eastAsia="宋体"/>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8" w:type="dxa"/>
            <w:noWrap w:val="0"/>
            <w:tcMar>
              <w:top w:w="16" w:type="dxa"/>
              <w:left w:w="16" w:type="dxa"/>
              <w:right w:w="16" w:type="dxa"/>
            </w:tcMar>
            <w:vAlign w:val="center"/>
          </w:tcPr>
          <w:p>
            <w:pPr>
              <w:pStyle w:val="40"/>
              <w:bidi w:val="0"/>
              <w:rPr>
                <w:rFonts w:hint="eastAsia"/>
              </w:rPr>
            </w:pPr>
            <w:r>
              <w:rPr>
                <w:rFonts w:hint="eastAsia"/>
              </w:rPr>
              <w:t>是否开工建设</w:t>
            </w:r>
          </w:p>
        </w:tc>
        <w:tc>
          <w:tcPr>
            <w:tcW w:w="2371" w:type="dxa"/>
            <w:noWrap w:val="0"/>
            <w:vAlign w:val="center"/>
          </w:tcPr>
          <w:p>
            <w:pPr>
              <w:pStyle w:val="40"/>
              <w:bidi w:val="0"/>
              <w:jc w:val="left"/>
            </w:pPr>
            <w:r>
              <w:rPr>
                <w:rFonts w:hint="eastAsia"/>
              </w:rPr>
              <w:sym w:font="Wingdings 2" w:char="00A3"/>
            </w:r>
            <w:r>
              <w:rPr>
                <w:rFonts w:hint="eastAsia"/>
              </w:rPr>
              <w:t>否</w:t>
            </w:r>
          </w:p>
          <w:p>
            <w:pPr>
              <w:pStyle w:val="40"/>
              <w:bidi w:val="0"/>
              <w:jc w:val="left"/>
            </w:pPr>
            <w:r>
              <w:rPr>
                <w:rFonts w:hint="eastAsia"/>
              </w:rPr>
              <w:sym w:font="Wingdings 2" w:char="0052"/>
            </w:r>
            <w:r>
              <w:rPr>
                <w:rFonts w:hint="eastAsia"/>
              </w:rPr>
              <w:t>是：</w:t>
            </w:r>
            <w:r>
              <w:rPr>
                <w:rFonts w:hint="eastAsia"/>
                <w:u w:val="single"/>
                <w:lang w:val="en-US" w:eastAsia="zh-CN"/>
              </w:rPr>
              <w:t>项目已建成，内容如下：1条商品混凝土生产线（年产5.4万方，包含3个粉料筒仓、办公区及堆场等）</w:t>
            </w:r>
          </w:p>
        </w:tc>
        <w:tc>
          <w:tcPr>
            <w:tcW w:w="2212" w:type="dxa"/>
            <w:noWrap w:val="0"/>
            <w:tcMar>
              <w:top w:w="16" w:type="dxa"/>
              <w:left w:w="16" w:type="dxa"/>
              <w:right w:w="16" w:type="dxa"/>
            </w:tcMar>
            <w:vAlign w:val="center"/>
          </w:tcPr>
          <w:p>
            <w:pPr>
              <w:pStyle w:val="40"/>
              <w:bidi w:val="0"/>
              <w:rPr>
                <w:highlight w:val="none"/>
              </w:rPr>
            </w:pPr>
            <w:r>
              <w:rPr>
                <w:rFonts w:hint="eastAsia"/>
                <w:highlight w:val="none"/>
              </w:rPr>
              <w:t>用地（用海）</w:t>
            </w:r>
          </w:p>
          <w:p>
            <w:pPr>
              <w:pStyle w:val="40"/>
              <w:bidi w:val="0"/>
              <w:rPr>
                <w:rFonts w:hint="eastAsia"/>
              </w:rPr>
            </w:pPr>
            <w:r>
              <w:rPr>
                <w:rFonts w:hint="eastAsia"/>
                <w:highlight w:val="none"/>
              </w:rPr>
              <w:t>面积（</w:t>
            </w:r>
            <w:r>
              <w:rPr>
                <w:highlight w:val="none"/>
              </w:rPr>
              <w:t>m</w:t>
            </w:r>
            <w:r>
              <w:rPr>
                <w:highlight w:val="none"/>
                <w:vertAlign w:val="superscript"/>
              </w:rPr>
              <w:t>2</w:t>
            </w:r>
            <w:r>
              <w:rPr>
                <w:rFonts w:hint="eastAsia"/>
                <w:highlight w:val="none"/>
              </w:rPr>
              <w:t>）</w:t>
            </w:r>
          </w:p>
        </w:tc>
        <w:tc>
          <w:tcPr>
            <w:tcW w:w="2642" w:type="dxa"/>
            <w:noWrap w:val="0"/>
            <w:vAlign w:val="center"/>
          </w:tcPr>
          <w:p>
            <w:pPr>
              <w:pStyle w:val="40"/>
              <w:bidi w:val="0"/>
              <w:rPr>
                <w:rFonts w:hint="default" w:eastAsia="宋体"/>
                <w:lang w:val="en-US" w:eastAsia="zh-CN"/>
              </w:rPr>
            </w:pPr>
            <w:r>
              <w:rPr>
                <w:rFonts w:hint="eastAsia"/>
                <w:lang w:val="en-US" w:eastAsia="zh-CN"/>
              </w:rPr>
              <w:t>3037.18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648" w:type="dxa"/>
            <w:noWrap w:val="0"/>
            <w:vAlign w:val="center"/>
          </w:tcPr>
          <w:p>
            <w:pPr>
              <w:pStyle w:val="40"/>
              <w:bidi w:val="0"/>
            </w:pPr>
            <w:r>
              <w:rPr>
                <w:rFonts w:hint="eastAsia"/>
              </w:rPr>
              <w:t>专项评价设置情况</w:t>
            </w:r>
          </w:p>
        </w:tc>
        <w:tc>
          <w:tcPr>
            <w:tcW w:w="7225" w:type="dxa"/>
            <w:gridSpan w:val="3"/>
            <w:noWrap w:val="0"/>
            <w:vAlign w:val="center"/>
          </w:tcPr>
          <w:p>
            <w:pPr>
              <w:pStyle w:val="40"/>
              <w:bidi w:val="0"/>
              <w:rPr>
                <w:rFonts w:hint="eastAsia"/>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648" w:type="dxa"/>
            <w:noWrap w:val="0"/>
            <w:vAlign w:val="center"/>
          </w:tcPr>
          <w:p>
            <w:pPr>
              <w:pStyle w:val="40"/>
              <w:bidi w:val="0"/>
              <w:rPr>
                <w:rFonts w:hint="eastAsia"/>
              </w:rPr>
            </w:pPr>
            <w:r>
              <w:rPr>
                <w:rFonts w:hint="eastAsia"/>
              </w:rPr>
              <w:t>规划情况</w:t>
            </w:r>
          </w:p>
        </w:tc>
        <w:tc>
          <w:tcPr>
            <w:tcW w:w="7225" w:type="dxa"/>
            <w:gridSpan w:val="3"/>
            <w:noWrap w:val="0"/>
            <w:vAlign w:val="center"/>
          </w:tcPr>
          <w:p>
            <w:pPr>
              <w:pStyle w:val="40"/>
              <w:bidi w:val="0"/>
              <w:rPr>
                <w:rFonts w:hint="eastAsia"/>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648" w:type="dxa"/>
            <w:noWrap w:val="0"/>
            <w:vAlign w:val="center"/>
          </w:tcPr>
          <w:p>
            <w:pPr>
              <w:adjustRightInd w:val="0"/>
              <w:snapToGrid w:val="0"/>
              <w:jc w:val="center"/>
              <w:rPr>
                <w:rFonts w:ascii="宋体" w:hAnsi="宋体" w:cs="宋体"/>
                <w:szCs w:val="21"/>
              </w:rPr>
            </w:pPr>
            <w:r>
              <w:rPr>
                <w:rFonts w:hint="eastAsia" w:ascii="宋体" w:hAnsi="宋体" w:cs="宋体"/>
                <w:szCs w:val="21"/>
              </w:rPr>
              <w:t>规划环境影响</w:t>
            </w:r>
          </w:p>
          <w:p>
            <w:pPr>
              <w:adjustRightInd w:val="0"/>
              <w:snapToGrid w:val="0"/>
              <w:jc w:val="center"/>
              <w:rPr>
                <w:rFonts w:hint="eastAsia" w:ascii="宋体" w:hAnsi="宋体" w:cs="宋体"/>
                <w:kern w:val="0"/>
                <w:szCs w:val="21"/>
              </w:rPr>
            </w:pPr>
            <w:r>
              <w:rPr>
                <w:rFonts w:hint="eastAsia" w:ascii="宋体" w:hAnsi="宋体" w:cs="宋体"/>
                <w:szCs w:val="21"/>
              </w:rPr>
              <w:t>评价情况</w:t>
            </w:r>
          </w:p>
        </w:tc>
        <w:tc>
          <w:tcPr>
            <w:tcW w:w="7225" w:type="dxa"/>
            <w:gridSpan w:val="3"/>
            <w:noWrap w:val="0"/>
            <w:vAlign w:val="center"/>
          </w:tcPr>
          <w:p>
            <w:pPr>
              <w:pStyle w:val="40"/>
              <w:bidi w:val="0"/>
              <w:rPr>
                <w:rFonts w:hint="eastAsia"/>
                <w:lang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648" w:type="dxa"/>
            <w:noWrap w:val="0"/>
            <w:vAlign w:val="center"/>
          </w:tcPr>
          <w:p>
            <w:pPr>
              <w:pStyle w:val="40"/>
              <w:bidi w:val="0"/>
              <w:rPr>
                <w:rFonts w:ascii="宋体" w:hAnsi="宋体" w:cs="宋体"/>
                <w:kern w:val="0"/>
                <w:szCs w:val="21"/>
              </w:rPr>
            </w:pPr>
            <w:r>
              <w:rPr>
                <w:rFonts w:hint="eastAsia"/>
              </w:rPr>
              <w:t>规划及规划环境影响评价符合性分析</w:t>
            </w:r>
          </w:p>
        </w:tc>
        <w:tc>
          <w:tcPr>
            <w:tcW w:w="7225" w:type="dxa"/>
            <w:gridSpan w:val="3"/>
            <w:noWrap w:val="0"/>
            <w:vAlign w:val="center"/>
          </w:tcPr>
          <w:p>
            <w:pPr>
              <w:pStyle w:val="40"/>
              <w:bidi w:val="0"/>
              <w:rPr>
                <w:rFonts w:hint="eastAsia"/>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44" w:hRule="atLeast"/>
          <w:jc w:val="center"/>
        </w:trPr>
        <w:tc>
          <w:tcPr>
            <w:tcW w:w="1648" w:type="dxa"/>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其他符合性分析</w:t>
            </w:r>
          </w:p>
        </w:tc>
        <w:tc>
          <w:tcPr>
            <w:tcW w:w="7225" w:type="dxa"/>
            <w:gridSpan w:val="3"/>
            <w:noWrap w:val="0"/>
            <w:vAlign w:val="center"/>
          </w:tcPr>
          <w:p>
            <w:pPr>
              <w:pStyle w:val="2"/>
              <w:bidi w:val="0"/>
              <w:rPr>
                <w:rFonts w:hint="eastAsia"/>
                <w:lang w:val="en-US" w:eastAsia="zh-CN"/>
              </w:rPr>
            </w:pPr>
            <w:r>
              <w:rPr>
                <w:rFonts w:hint="eastAsia"/>
                <w:lang w:val="en-US" w:eastAsia="zh-CN"/>
              </w:rPr>
              <w:t>1.产业政策符合性</w:t>
            </w:r>
          </w:p>
          <w:p>
            <w:pPr>
              <w:pStyle w:val="8"/>
              <w:keepNext w:val="0"/>
              <w:keepLines w:val="0"/>
              <w:pageBreakBefore w:val="0"/>
              <w:widowControl/>
              <w:kinsoku/>
              <w:wordWrap w:val="0"/>
              <w:overflowPunct/>
              <w:topLinePunct w:val="0"/>
              <w:autoSpaceDE/>
              <w:autoSpaceDN/>
              <w:bidi w:val="0"/>
              <w:adjustRightInd/>
              <w:snapToGrid w:val="0"/>
              <w:textAlignment w:val="auto"/>
              <w:rPr>
                <w:rFonts w:hint="eastAsia"/>
                <w:highlight w:val="green"/>
                <w:lang w:val="en-US" w:eastAsia="zh-CN"/>
              </w:rPr>
            </w:pPr>
            <w:r>
              <w:rPr>
                <w:rFonts w:hint="default"/>
                <w:lang w:val="en-US" w:eastAsia="zh-CN"/>
              </w:rPr>
              <w:t>本项目属于</w:t>
            </w:r>
            <w:r>
              <w:rPr>
                <w:rFonts w:hint="eastAsia"/>
                <w:lang w:val="en-US" w:eastAsia="zh-CN"/>
              </w:rPr>
              <w:t>国民经济代码</w:t>
            </w:r>
            <w:r>
              <w:rPr>
                <w:rFonts w:hint="default"/>
              </w:rPr>
              <w:t>C3</w:t>
            </w:r>
            <w:r>
              <w:rPr>
                <w:rFonts w:hint="default"/>
                <w:lang w:val="en-US" w:eastAsia="zh-CN"/>
              </w:rPr>
              <w:t>021水泥制品制造</w:t>
            </w:r>
            <w:r>
              <w:rPr>
                <w:rFonts w:hint="eastAsia"/>
                <w:lang w:val="en-US" w:eastAsia="zh-CN"/>
              </w:rPr>
              <w:t>，根据《产业结构调整指导目录（2024年本）》，本项目不属于鼓励类、限制类与淘汰类，因此属于允许类，符合国家产业政策。</w:t>
            </w:r>
            <w:r>
              <w:rPr>
                <w:rFonts w:hint="eastAsia"/>
                <w:highlight w:val="none"/>
                <w:lang w:val="en-US" w:eastAsia="zh-CN"/>
              </w:rPr>
              <w:t>2025年12月12日，新疆锦帆商砼有限公司取得若羌县发展和改革委员会出具的项目备案证，备案证编码：2509181206652824000113，项目代码：2509-652824-60-05-931792。</w:t>
            </w:r>
          </w:p>
          <w:p>
            <w:pPr>
              <w:pStyle w:val="8"/>
              <w:bidi w:val="0"/>
              <w:rPr>
                <w:rFonts w:hint="default"/>
              </w:rPr>
            </w:pPr>
            <w:r>
              <w:rPr>
                <w:rFonts w:hint="eastAsia"/>
                <w:lang w:val="en-US" w:eastAsia="zh-CN"/>
              </w:rPr>
              <w:t>综上，</w:t>
            </w:r>
            <w:r>
              <w:rPr>
                <w:rFonts w:hint="default"/>
              </w:rPr>
              <w:t>本项目的建设符合国家产业政策要求。</w:t>
            </w:r>
          </w:p>
          <w:p>
            <w:pPr>
              <w:pStyle w:val="49"/>
              <w:bidi w:val="0"/>
              <w:rPr>
                <w:rFonts w:hint="eastAsia"/>
                <w:lang w:val="en-US" w:eastAsia="zh-CN"/>
              </w:rPr>
            </w:pPr>
            <w:r>
              <w:rPr>
                <w:rFonts w:hint="eastAsia"/>
                <w:lang w:val="en-US" w:eastAsia="zh-CN"/>
              </w:rPr>
              <w:t>2.与《若羌县国土空间总体规划（2021—2035年）》符合性分析</w:t>
            </w:r>
          </w:p>
          <w:p>
            <w:pPr>
              <w:pStyle w:val="8"/>
              <w:bidi w:val="0"/>
              <w:rPr>
                <w:rFonts w:hint="eastAsia"/>
                <w:lang w:val="en-US" w:eastAsia="zh-CN"/>
              </w:rPr>
            </w:pPr>
            <w:r>
              <w:rPr>
                <w:rFonts w:hint="eastAsia"/>
                <w:lang w:val="en-US" w:eastAsia="zh-CN"/>
              </w:rPr>
              <w:t>（1）规划用地性质符合性：项目位于若羌县政府方位角92.8°，直线距离约50千米处，道路北侧，依据《若羌县国土空间总体规划（2021-2035年）》，本项目用地为临时用地，选址地块位于若羌县国土空间总体规划确定的城镇开发边界外，项目选址合理合规，用地符合国土空间开发保护与用途管制要求。</w:t>
            </w:r>
          </w:p>
          <w:p>
            <w:pPr>
              <w:pStyle w:val="8"/>
              <w:bidi w:val="0"/>
              <w:rPr>
                <w:rFonts w:hint="default" w:eastAsia="宋体"/>
                <w:lang w:val="en-US" w:eastAsia="zh-CN"/>
              </w:rPr>
            </w:pPr>
            <w:r>
              <w:rPr>
                <w:rFonts w:hint="eastAsia"/>
                <w:lang w:val="en-US" w:eastAsia="zh-CN"/>
              </w:rPr>
              <w:t>（2）生态环境协调性：本项目选址位于城镇开发边界外，不涉及生态保护红线，不存在环境制约因素。依据规划加强空间管控，做好区域国土空间规划和“三线一单”等的衔接。严格污染物总量管控，确保项目运营后区域环境质量满足环境功能要求。</w:t>
            </w:r>
          </w:p>
          <w:p>
            <w:pPr>
              <w:pStyle w:val="2"/>
              <w:bidi w:val="0"/>
              <w:rPr>
                <w:rFonts w:hint="eastAsia"/>
                <w:lang w:val="en-US" w:eastAsia="zh-CN"/>
              </w:rPr>
            </w:pPr>
            <w:r>
              <w:rPr>
                <w:rFonts w:hint="eastAsia"/>
                <w:lang w:val="en-US" w:eastAsia="zh-CN"/>
              </w:rPr>
              <w:t>3.</w:t>
            </w:r>
            <w:r>
              <w:rPr>
                <w:rFonts w:hint="eastAsia"/>
                <w:lang w:eastAsia="zh-CN"/>
              </w:rPr>
              <w:t>“</w:t>
            </w:r>
            <w:r>
              <w:rPr>
                <w:rFonts w:hint="default"/>
                <w:lang w:val="en-US" w:eastAsia="zh-CN"/>
              </w:rPr>
              <w:t>生态环境分区管控</w:t>
            </w:r>
            <w:r>
              <w:rPr>
                <w:rFonts w:hint="eastAsia"/>
                <w:lang w:eastAsia="zh-CN"/>
              </w:rPr>
              <w:t>”</w:t>
            </w:r>
            <w:r>
              <w:rPr>
                <w:rFonts w:hint="default"/>
                <w:lang w:val="en-US" w:eastAsia="zh-CN"/>
              </w:rPr>
              <w:t>要求</w:t>
            </w:r>
            <w:r>
              <w:rPr>
                <w:rFonts w:hint="default"/>
              </w:rPr>
              <w:t>符合性分析</w:t>
            </w:r>
          </w:p>
          <w:p>
            <w:pPr>
              <w:pStyle w:val="2"/>
              <w:bidi w:val="0"/>
              <w:rPr>
                <w:rFonts w:hint="default"/>
                <w:lang w:eastAsia="zh-CN"/>
              </w:rPr>
            </w:pPr>
            <w:r>
              <w:rPr>
                <w:rFonts w:hint="eastAsia"/>
                <w:lang w:val="en-US" w:eastAsia="zh-CN"/>
              </w:rPr>
              <w:t>3.1</w:t>
            </w:r>
            <w:r>
              <w:rPr>
                <w:rFonts w:hint="default"/>
                <w:lang w:val="en-US" w:eastAsia="zh-CN"/>
              </w:rPr>
              <w:t>《关于印发〈新疆维吾尔自治区生态环境分区管控动态更新成果〉的通知》（新环环评发〔2024〕157号）符合性分析</w:t>
            </w:r>
          </w:p>
          <w:p>
            <w:pPr>
              <w:pStyle w:val="8"/>
              <w:bidi w:val="0"/>
              <w:rPr>
                <w:rFonts w:hint="default"/>
                <w:lang w:val="en-US" w:eastAsia="zh-CN"/>
              </w:rPr>
            </w:pPr>
            <w:r>
              <w:rPr>
                <w:rFonts w:hint="default"/>
                <w:lang w:val="en-US" w:eastAsia="zh-CN"/>
              </w:rPr>
              <w:t>项目与《关于印发〈新疆维吾尔自治区生态环境分区管控动态更新成果〉的通知》（新环环评发〔2024〕157号）符合性分析详见下表。</w:t>
            </w:r>
          </w:p>
          <w:p>
            <w:pPr>
              <w:pStyle w:val="42"/>
              <w:bidi w:val="0"/>
              <w:rPr>
                <w:rFonts w:hint="default"/>
                <w:lang w:val="en-US" w:eastAsia="zh-CN"/>
              </w:rPr>
            </w:pPr>
            <w:r>
              <w:rPr>
                <w:rFonts w:hint="default"/>
                <w:lang w:val="en-US" w:eastAsia="zh-CN"/>
              </w:rPr>
              <w:t>表1-</w:t>
            </w:r>
            <w:r>
              <w:rPr>
                <w:rFonts w:hint="eastAsia"/>
                <w:lang w:val="en-US" w:eastAsia="zh-CN"/>
              </w:rPr>
              <w:t>1</w:t>
            </w:r>
            <w:r>
              <w:rPr>
                <w:rFonts w:hint="default"/>
                <w:lang w:val="en-US" w:eastAsia="zh-CN"/>
              </w:rPr>
              <w:t xml:space="preserve">  与《新疆维吾尔自治区生态环境分区管控动态更新成果》符合性分析</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902"/>
              <w:gridCol w:w="2352"/>
              <w:gridCol w:w="2380"/>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65" w:type="pct"/>
                  <w:gridSpan w:val="2"/>
                  <w:noWrap w:val="0"/>
                  <w:vAlign w:val="center"/>
                </w:tcPr>
                <w:p>
                  <w:pPr>
                    <w:pStyle w:val="40"/>
                    <w:bidi w:val="0"/>
                    <w:rPr>
                      <w:rFonts w:hint="eastAsia"/>
                      <w:lang w:val="en-US" w:eastAsia="zh-CN"/>
                    </w:rPr>
                  </w:pPr>
                  <w:r>
                    <w:rPr>
                      <w:rFonts w:hint="eastAsia"/>
                      <w:lang w:val="en-US" w:eastAsia="zh-CN"/>
                    </w:rPr>
                    <w:t>管控要求</w:t>
                  </w:r>
                </w:p>
              </w:tc>
              <w:tc>
                <w:tcPr>
                  <w:tcW w:w="1654" w:type="pct"/>
                  <w:noWrap w:val="0"/>
                  <w:vAlign w:val="center"/>
                </w:tcPr>
                <w:p>
                  <w:pPr>
                    <w:pStyle w:val="40"/>
                    <w:bidi w:val="0"/>
                    <w:rPr>
                      <w:rFonts w:hint="default"/>
                      <w:lang w:val="en-US" w:eastAsia="zh-CN"/>
                    </w:rPr>
                  </w:pPr>
                  <w:r>
                    <w:rPr>
                      <w:rFonts w:hint="eastAsia"/>
                      <w:lang w:val="en-US" w:eastAsia="zh-CN"/>
                    </w:rPr>
                    <w:t>部分环境管理政策有关要求</w:t>
                  </w:r>
                </w:p>
              </w:tc>
              <w:tc>
                <w:tcPr>
                  <w:tcW w:w="1674" w:type="pct"/>
                  <w:noWrap w:val="0"/>
                  <w:vAlign w:val="center"/>
                </w:tcPr>
                <w:p>
                  <w:pPr>
                    <w:pStyle w:val="40"/>
                    <w:bidi w:val="0"/>
                    <w:rPr>
                      <w:rFonts w:hint="default"/>
                      <w:lang w:val="en-US" w:eastAsia="zh-CN"/>
                    </w:rPr>
                  </w:pPr>
                  <w:r>
                    <w:rPr>
                      <w:rFonts w:hint="eastAsia"/>
                      <w:lang w:val="en-US" w:eastAsia="zh-CN"/>
                    </w:rPr>
                    <w:t>本项目情况</w:t>
                  </w:r>
                </w:p>
              </w:tc>
              <w:tc>
                <w:tcPr>
                  <w:tcW w:w="504" w:type="pct"/>
                  <w:noWrap w:val="0"/>
                  <w:vAlign w:val="center"/>
                </w:tcPr>
                <w:p>
                  <w:pPr>
                    <w:pStyle w:val="40"/>
                    <w:bidi w:val="0"/>
                    <w:rPr>
                      <w:rFonts w:hint="default"/>
                      <w:lang w:val="en-US" w:eastAsia="zh-CN"/>
                    </w:rPr>
                  </w:pPr>
                  <w:r>
                    <w:rPr>
                      <w:rFonts w:hint="eastAsia"/>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restart"/>
                  <w:noWrap w:val="0"/>
                  <w:vAlign w:val="center"/>
                </w:tcPr>
                <w:p>
                  <w:pPr>
                    <w:pStyle w:val="40"/>
                    <w:bidi w:val="0"/>
                    <w:rPr>
                      <w:rFonts w:hint="default"/>
                      <w:lang w:val="en-US" w:eastAsia="zh-CN"/>
                    </w:rPr>
                  </w:pPr>
                  <w:r>
                    <w:rPr>
                      <w:rFonts w:hint="default"/>
                      <w:lang w:val="en-US" w:eastAsia="zh-CN"/>
                    </w:rPr>
                    <w:t>A1</w:t>
                  </w:r>
                  <w:r>
                    <w:rPr>
                      <w:rFonts w:hint="eastAsia"/>
                      <w:lang w:val="en-US" w:eastAsia="zh-CN"/>
                    </w:rPr>
                    <w:t>空间布局约束</w:t>
                  </w:r>
                </w:p>
              </w:tc>
              <w:tc>
                <w:tcPr>
                  <w:tcW w:w="634" w:type="pct"/>
                  <w:vMerge w:val="restart"/>
                  <w:noWrap w:val="0"/>
                  <w:vAlign w:val="center"/>
                </w:tcPr>
                <w:p>
                  <w:pPr>
                    <w:pStyle w:val="40"/>
                    <w:bidi w:val="0"/>
                    <w:rPr>
                      <w:rFonts w:hint="default"/>
                      <w:lang w:val="en-US" w:eastAsia="zh-CN"/>
                    </w:rPr>
                  </w:pPr>
                  <w:r>
                    <w:rPr>
                      <w:rFonts w:hint="default"/>
                      <w:lang w:val="en-US" w:eastAsia="zh-CN"/>
                    </w:rPr>
                    <w:t>A1.1禁止开发建设的活动</w:t>
                  </w:r>
                </w:p>
              </w:tc>
              <w:tc>
                <w:tcPr>
                  <w:tcW w:w="1654" w:type="pct"/>
                  <w:noWrap w:val="0"/>
                  <w:vAlign w:val="center"/>
                </w:tcPr>
                <w:p>
                  <w:pPr>
                    <w:pStyle w:val="40"/>
                    <w:bidi w:val="0"/>
                    <w:jc w:val="both"/>
                    <w:rPr>
                      <w:rFonts w:hint="default"/>
                      <w:lang w:val="en-US" w:eastAsia="zh-CN"/>
                    </w:rPr>
                  </w:pPr>
                  <w:r>
                    <w:rPr>
                      <w:rFonts w:hint="default"/>
                      <w:lang w:val="en-US" w:eastAsia="zh-CN"/>
                    </w:rPr>
                    <w:t>〔A1.1-1〕禁止新建、扩建《产业结构调整指导目录</w:t>
                  </w:r>
                  <w:r>
                    <w:rPr>
                      <w:rFonts w:hint="eastAsia"/>
                      <w:lang w:val="en-US" w:eastAsia="zh-CN"/>
                    </w:rPr>
                    <w:t>（</w:t>
                  </w:r>
                  <w:r>
                    <w:rPr>
                      <w:rFonts w:hint="default"/>
                      <w:lang w:val="en-US" w:eastAsia="zh-CN"/>
                    </w:rPr>
                    <w:t>2024年本</w:t>
                  </w:r>
                  <w:r>
                    <w:rPr>
                      <w:rFonts w:hint="eastAsia"/>
                      <w:lang w:val="en-US" w:eastAsia="zh-CN"/>
                    </w:rPr>
                    <w:t>）</w:t>
                  </w:r>
                  <w:r>
                    <w:rPr>
                      <w:rFonts w:hint="default"/>
                      <w:lang w:val="en-US" w:eastAsia="zh-CN"/>
                    </w:rPr>
                    <w:t>》中淘汰类项目。禁止引入《市场准入负面清单</w:t>
                  </w:r>
                  <w:r>
                    <w:rPr>
                      <w:rFonts w:hint="eastAsia"/>
                      <w:lang w:val="en-US" w:eastAsia="zh-CN"/>
                    </w:rPr>
                    <w:t>（</w:t>
                  </w:r>
                  <w:r>
                    <w:rPr>
                      <w:rFonts w:hint="default"/>
                      <w:lang w:val="en-US" w:eastAsia="zh-CN"/>
                    </w:rPr>
                    <w:t>2022年版</w:t>
                  </w:r>
                  <w:r>
                    <w:rPr>
                      <w:rFonts w:hint="eastAsia"/>
                      <w:lang w:val="en-US" w:eastAsia="zh-CN"/>
                    </w:rPr>
                    <w:t>）》</w:t>
                  </w:r>
                  <w:r>
                    <w:rPr>
                      <w:rFonts w:hint="default"/>
                      <w:lang w:val="en-US" w:eastAsia="zh-CN"/>
                    </w:rPr>
                    <w:t>禁止准入类事项。</w:t>
                  </w:r>
                </w:p>
              </w:tc>
              <w:tc>
                <w:tcPr>
                  <w:tcW w:w="1674" w:type="pct"/>
                  <w:noWrap w:val="0"/>
                  <w:vAlign w:val="center"/>
                </w:tcPr>
                <w:p>
                  <w:pPr>
                    <w:pStyle w:val="40"/>
                    <w:bidi w:val="0"/>
                    <w:jc w:val="both"/>
                    <w:rPr>
                      <w:rFonts w:hint="eastAsia"/>
                      <w:lang w:val="en-US" w:eastAsia="zh-CN"/>
                    </w:rPr>
                  </w:pPr>
                  <w:r>
                    <w:rPr>
                      <w:rFonts w:hint="eastAsia"/>
                      <w:lang w:val="en-US" w:eastAsia="zh-CN"/>
                    </w:rPr>
                    <w:t>本项目不属于鼓励类、限制类与淘汰类，因此属于允许类，符合国家产业政策</w:t>
                  </w:r>
                  <w:r>
                    <w:rPr>
                      <w:rFonts w:hint="default"/>
                    </w:rPr>
                    <w:t>；</w:t>
                  </w:r>
                  <w:r>
                    <w:rPr>
                      <w:rFonts w:hint="eastAsia"/>
                      <w:lang w:val="en-US" w:eastAsia="zh-CN"/>
                    </w:rPr>
                    <w:t>不属于</w:t>
                  </w:r>
                  <w:r>
                    <w:rPr>
                      <w:rFonts w:hint="default"/>
                      <w:lang w:val="en-US" w:eastAsia="zh-CN"/>
                    </w:rPr>
                    <w:t>《市场准入负面清单</w:t>
                  </w:r>
                  <w:r>
                    <w:rPr>
                      <w:rFonts w:hint="eastAsia"/>
                      <w:lang w:val="en-US" w:eastAsia="zh-CN"/>
                    </w:rPr>
                    <w:t>（</w:t>
                  </w:r>
                  <w:r>
                    <w:rPr>
                      <w:rFonts w:hint="default"/>
                      <w:lang w:val="en-US" w:eastAsia="zh-CN"/>
                    </w:rPr>
                    <w:t>202</w:t>
                  </w:r>
                  <w:r>
                    <w:rPr>
                      <w:rFonts w:hint="eastAsia"/>
                      <w:lang w:val="en-US" w:eastAsia="zh-CN"/>
                    </w:rPr>
                    <w:t>5</w:t>
                  </w:r>
                  <w:r>
                    <w:rPr>
                      <w:rFonts w:hint="default"/>
                      <w:lang w:val="en-US" w:eastAsia="zh-CN"/>
                    </w:rPr>
                    <w:t>年版</w:t>
                  </w:r>
                  <w:r>
                    <w:rPr>
                      <w:rFonts w:hint="eastAsia"/>
                      <w:lang w:val="en-US" w:eastAsia="zh-CN"/>
                    </w:rPr>
                    <w:t>）》的项目。</w:t>
                  </w:r>
                  <w:r>
                    <w:rPr>
                      <w:rFonts w:hint="default"/>
                    </w:rPr>
                    <w:t>符合</w:t>
                  </w:r>
                  <w:r>
                    <w:rPr>
                      <w:rFonts w:hint="eastAsia"/>
                      <w:lang w:val="en-US" w:eastAsia="zh-CN"/>
                    </w:rPr>
                    <w:t>相关要求</w:t>
                  </w:r>
                  <w:r>
                    <w:rPr>
                      <w:rFonts w:hint="eastAsia"/>
                      <w:lang w:eastAsia="zh-CN"/>
                    </w:rPr>
                    <w:t>。</w:t>
                  </w:r>
                </w:p>
              </w:tc>
              <w:tc>
                <w:tcPr>
                  <w:tcW w:w="504" w:type="pct"/>
                  <w:noWrap w:val="0"/>
                  <w:vAlign w:val="center"/>
                </w:tcPr>
                <w:p>
                  <w:pPr>
                    <w:pStyle w:val="4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continue"/>
                  <w:noWrap w:val="0"/>
                  <w:vAlign w:val="center"/>
                </w:tcPr>
                <w:p>
                  <w:pPr>
                    <w:pStyle w:val="40"/>
                    <w:bidi w:val="0"/>
                    <w:rPr>
                      <w:rFonts w:hint="eastAsia"/>
                    </w:rPr>
                  </w:pPr>
                </w:p>
              </w:tc>
              <w:tc>
                <w:tcPr>
                  <w:tcW w:w="634" w:type="pct"/>
                  <w:vMerge w:val="continue"/>
                  <w:noWrap w:val="0"/>
                  <w:vAlign w:val="center"/>
                </w:tcPr>
                <w:p>
                  <w:pPr>
                    <w:pStyle w:val="40"/>
                    <w:bidi w:val="0"/>
                    <w:rPr>
                      <w:rFonts w:hint="default"/>
                      <w:lang w:val="en-US" w:eastAsia="zh-CN"/>
                    </w:rPr>
                  </w:pPr>
                </w:p>
              </w:tc>
              <w:tc>
                <w:tcPr>
                  <w:tcW w:w="1654" w:type="pct"/>
                  <w:noWrap w:val="0"/>
                  <w:vAlign w:val="center"/>
                </w:tcPr>
                <w:p>
                  <w:pPr>
                    <w:pStyle w:val="40"/>
                    <w:bidi w:val="0"/>
                    <w:jc w:val="both"/>
                    <w:rPr>
                      <w:rFonts w:hint="default"/>
                      <w:lang w:val="en-US" w:eastAsia="zh-CN"/>
                    </w:rPr>
                  </w:pPr>
                  <w:r>
                    <w:rPr>
                      <w:rFonts w:hint="default"/>
                      <w:lang w:val="en-US" w:eastAsia="zh-CN"/>
                    </w:rPr>
                    <w:t>〔A1.1-</w:t>
                  </w:r>
                  <w:r>
                    <w:rPr>
                      <w:rFonts w:hint="eastAsia"/>
                      <w:lang w:val="en-US" w:eastAsia="zh-CN"/>
                    </w:rPr>
                    <w:t>6</w:t>
                  </w:r>
                  <w:r>
                    <w:rPr>
                      <w:rFonts w:hint="default"/>
                      <w:lang w:val="en-US" w:eastAsia="zh-CN"/>
                    </w:rPr>
                    <w:t>〕禁止在</w:t>
                  </w:r>
                  <w:r>
                    <w:rPr>
                      <w:rFonts w:hint="eastAsia"/>
                      <w:lang w:val="en-US" w:eastAsia="zh-CN"/>
                    </w:rPr>
                    <w:t>自治区行政区域内引进能（水）耗不符合相关国家标准中准入要求且污染物排放和环境风险防控不符合国家（地方）标准及有关产业准入条件的高污染（排放）、高能（水）耗、高环境风险的工业项目。</w:t>
                  </w:r>
                </w:p>
              </w:tc>
              <w:tc>
                <w:tcPr>
                  <w:tcW w:w="1674" w:type="pct"/>
                  <w:noWrap w:val="0"/>
                  <w:vAlign w:val="center"/>
                </w:tcPr>
                <w:p>
                  <w:pPr>
                    <w:pStyle w:val="40"/>
                    <w:bidi w:val="0"/>
                    <w:jc w:val="both"/>
                    <w:rPr>
                      <w:rFonts w:hint="default"/>
                      <w:lang w:val="en-US" w:eastAsia="zh-CN"/>
                    </w:rPr>
                  </w:pPr>
                  <w:r>
                    <w:rPr>
                      <w:rFonts w:hint="eastAsia"/>
                      <w:lang w:val="en-US" w:eastAsia="zh-CN"/>
                    </w:rPr>
                    <w:t>本项目属于水泥制品制造</w:t>
                  </w:r>
                  <w:r>
                    <w:rPr>
                      <w:rFonts w:hint="eastAsia" w:ascii="Times New Roman" w:hAnsi="Times New Roman" w:eastAsia="宋体" w:cs="Times New Roman"/>
                      <w:lang w:val="en-US" w:eastAsia="zh-CN"/>
                    </w:rPr>
                    <w:t>，不</w:t>
                  </w:r>
                  <w:r>
                    <w:rPr>
                      <w:rFonts w:hint="eastAsia"/>
                      <w:lang w:val="en-US" w:eastAsia="zh-CN"/>
                    </w:rPr>
                    <w:t>属于高污染（排放）、高能（水）耗、高环境风险的工业项目。</w:t>
                  </w:r>
                </w:p>
              </w:tc>
              <w:tc>
                <w:tcPr>
                  <w:tcW w:w="504" w:type="pct"/>
                  <w:noWrap w:val="0"/>
                  <w:vAlign w:val="center"/>
                </w:tcPr>
                <w:p>
                  <w:pPr>
                    <w:pStyle w:val="40"/>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noWrap w:val="0"/>
                  <w:vAlign w:val="center"/>
                </w:tcPr>
                <w:p>
                  <w:pPr>
                    <w:pStyle w:val="40"/>
                    <w:bidi w:val="0"/>
                    <w:rPr>
                      <w:rFonts w:hint="default"/>
                      <w:lang w:val="en-US" w:eastAsia="zh-CN"/>
                    </w:rPr>
                  </w:pPr>
                  <w:r>
                    <w:rPr>
                      <w:rFonts w:hint="default"/>
                      <w:lang w:val="en-US" w:eastAsia="zh-CN"/>
                    </w:rPr>
                    <w:t>A2污染物排放管控</w:t>
                  </w:r>
                </w:p>
              </w:tc>
              <w:tc>
                <w:tcPr>
                  <w:tcW w:w="634" w:type="pct"/>
                  <w:noWrap w:val="0"/>
                  <w:vAlign w:val="center"/>
                </w:tcPr>
                <w:p>
                  <w:pPr>
                    <w:pStyle w:val="40"/>
                    <w:bidi w:val="0"/>
                    <w:rPr>
                      <w:rFonts w:hint="default"/>
                      <w:lang w:val="en-US" w:eastAsia="zh-CN"/>
                    </w:rPr>
                  </w:pPr>
                  <w:r>
                    <w:rPr>
                      <w:rFonts w:hint="default"/>
                      <w:lang w:val="en-US" w:eastAsia="zh-CN"/>
                    </w:rPr>
                    <w:t>A2</w:t>
                  </w:r>
                  <w:r>
                    <w:rPr>
                      <w:rFonts w:hint="eastAsia"/>
                      <w:lang w:val="en-US" w:eastAsia="zh-CN"/>
                    </w:rPr>
                    <w:t>.2污染控制措施要求</w:t>
                  </w:r>
                </w:p>
              </w:tc>
              <w:tc>
                <w:tcPr>
                  <w:tcW w:w="1654" w:type="pct"/>
                  <w:noWrap w:val="0"/>
                  <w:vAlign w:val="center"/>
                </w:tcPr>
                <w:p>
                  <w:pPr>
                    <w:pStyle w:val="40"/>
                    <w:bidi w:val="0"/>
                    <w:jc w:val="both"/>
                    <w:rPr>
                      <w:rFonts w:hint="default"/>
                      <w:lang w:val="en-US" w:eastAsia="zh-CN"/>
                    </w:rPr>
                  </w:pPr>
                  <w:r>
                    <w:rPr>
                      <w:rFonts w:hint="default"/>
                      <w:lang w:val="en-US" w:eastAsia="zh-CN"/>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w:t>
                  </w:r>
                  <w:r>
                    <w:rPr>
                      <w:rFonts w:hint="eastAsia"/>
                      <w:lang w:val="en-US" w:eastAsia="zh-CN"/>
                    </w:rPr>
                    <w:t>、</w:t>
                  </w:r>
                  <w:r>
                    <w:rPr>
                      <w:rFonts w:hint="default"/>
                      <w:lang w:val="en-US" w:eastAsia="zh-CN"/>
                    </w:rPr>
                    <w:t>大宗货物</w:t>
                  </w:r>
                  <w:r>
                    <w:rPr>
                      <w:rFonts w:hint="eastAsia"/>
                      <w:lang w:val="en-US" w:eastAsia="zh-CN"/>
                    </w:rPr>
                    <w:t>“</w:t>
                  </w:r>
                  <w:r>
                    <w:rPr>
                      <w:rFonts w:hint="default"/>
                      <w:lang w:val="en-US" w:eastAsia="zh-CN"/>
                    </w:rPr>
                    <w:t>公转铁</w:t>
                  </w:r>
                  <w:r>
                    <w:rPr>
                      <w:rFonts w:hint="eastAsia"/>
                      <w:lang w:val="en-US" w:eastAsia="zh-CN"/>
                    </w:rPr>
                    <w:t>”</w:t>
                  </w:r>
                  <w:r>
                    <w:rPr>
                      <w:rFonts w:hint="default"/>
                      <w:lang w:val="en-US" w:eastAsia="zh-CN"/>
                    </w:rPr>
                    <w:t>、柴油货车治理、锅炉</w:t>
                  </w:r>
                  <w:r>
                    <w:rPr>
                      <w:rFonts w:hint="eastAsia"/>
                      <w:lang w:val="en-US" w:eastAsia="zh-CN"/>
                    </w:rPr>
                    <w:t>炉窑</w:t>
                  </w:r>
                  <w:r>
                    <w:rPr>
                      <w:rFonts w:hint="default"/>
                      <w:lang w:val="en-US" w:eastAsia="zh-CN"/>
                    </w:rPr>
                    <w:t>综合治理等工程项目。全面推行绿色施工，持续推动城市建成区重污染企业搬迁或关闭退出。</w:t>
                  </w:r>
                </w:p>
              </w:tc>
              <w:tc>
                <w:tcPr>
                  <w:tcW w:w="1674" w:type="pct"/>
                  <w:noWrap w:val="0"/>
                  <w:vAlign w:val="center"/>
                </w:tcPr>
                <w:p>
                  <w:pPr>
                    <w:pStyle w:val="40"/>
                    <w:bidi w:val="0"/>
                    <w:jc w:val="both"/>
                    <w:rPr>
                      <w:rFonts w:hint="default"/>
                      <w:lang w:val="en-US" w:eastAsia="zh-CN"/>
                    </w:rPr>
                  </w:pPr>
                  <w:r>
                    <w:rPr>
                      <w:rFonts w:hint="eastAsia"/>
                      <w:lang w:val="en-US" w:eastAsia="zh-CN"/>
                    </w:rPr>
                    <w:t>本项目产生的废气经相应的环保设施处理后能够达标排放，对环境空气质量影响较小，不会降低区域环境空气质量。</w:t>
                  </w:r>
                </w:p>
              </w:tc>
              <w:tc>
                <w:tcPr>
                  <w:tcW w:w="504" w:type="pct"/>
                  <w:noWrap w:val="0"/>
                  <w:vAlign w:val="center"/>
                </w:tcPr>
                <w:p>
                  <w:pPr>
                    <w:pStyle w:val="4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noWrap w:val="0"/>
                  <w:vAlign w:val="center"/>
                </w:tcPr>
                <w:p>
                  <w:pPr>
                    <w:pStyle w:val="40"/>
                    <w:bidi w:val="0"/>
                    <w:rPr>
                      <w:rFonts w:hint="default"/>
                      <w:lang w:val="en-US" w:eastAsia="zh-CN"/>
                    </w:rPr>
                  </w:pPr>
                  <w:r>
                    <w:rPr>
                      <w:rFonts w:hint="eastAsia"/>
                      <w:lang w:val="en-US" w:eastAsia="zh-CN"/>
                    </w:rPr>
                    <w:t>A3环境风险防控</w:t>
                  </w:r>
                </w:p>
              </w:tc>
              <w:tc>
                <w:tcPr>
                  <w:tcW w:w="634" w:type="pct"/>
                  <w:noWrap w:val="0"/>
                  <w:vAlign w:val="center"/>
                </w:tcPr>
                <w:p>
                  <w:pPr>
                    <w:pStyle w:val="40"/>
                    <w:bidi w:val="0"/>
                    <w:rPr>
                      <w:rFonts w:hint="default"/>
                      <w:lang w:val="en-US" w:eastAsia="zh-CN"/>
                    </w:rPr>
                  </w:pPr>
                  <w:r>
                    <w:rPr>
                      <w:rFonts w:hint="eastAsia"/>
                      <w:lang w:val="en-US" w:eastAsia="zh-CN"/>
                    </w:rPr>
                    <w:t>A3.2联防联控要求</w:t>
                  </w:r>
                </w:p>
              </w:tc>
              <w:tc>
                <w:tcPr>
                  <w:tcW w:w="1654" w:type="pct"/>
                  <w:noWrap w:val="0"/>
                  <w:vAlign w:val="center"/>
                </w:tcPr>
                <w:p>
                  <w:pPr>
                    <w:pStyle w:val="40"/>
                    <w:bidi w:val="0"/>
                    <w:jc w:val="both"/>
                    <w:rPr>
                      <w:rFonts w:hint="default"/>
                      <w:lang w:val="en-US" w:eastAsia="zh-CN"/>
                    </w:rPr>
                  </w:pPr>
                  <w:r>
                    <w:rPr>
                      <w:rFonts w:hint="default"/>
                      <w:lang w:val="en-US" w:eastAsia="zh-CN"/>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674" w:type="pct"/>
                  <w:noWrap w:val="0"/>
                  <w:vAlign w:val="center"/>
                </w:tcPr>
                <w:p>
                  <w:pPr>
                    <w:pStyle w:val="40"/>
                    <w:bidi w:val="0"/>
                    <w:jc w:val="both"/>
                    <w:rPr>
                      <w:rFonts w:hint="default"/>
                      <w:lang w:val="en-US" w:eastAsia="zh-CN"/>
                    </w:rPr>
                  </w:pPr>
                  <w:r>
                    <w:rPr>
                      <w:rFonts w:hint="default"/>
                      <w:lang w:val="en-US" w:eastAsia="zh-CN"/>
                    </w:rPr>
                    <w:t>本项目建立环境突发事件应急管理领导机构、完善环境突发应急预案体系、配备完善应急物资等手段来加强环境风险防控</w:t>
                  </w:r>
                  <w:r>
                    <w:rPr>
                      <w:rFonts w:hint="eastAsia"/>
                      <w:lang w:val="en-US" w:eastAsia="zh-CN"/>
                    </w:rPr>
                    <w:t>，</w:t>
                  </w:r>
                  <w:r>
                    <w:rPr>
                      <w:rFonts w:hint="default"/>
                      <w:lang w:val="en-US" w:eastAsia="zh-CN"/>
                    </w:rPr>
                    <w:t>加强应急物资储备及应急物资信息化建设</w:t>
                  </w:r>
                  <w:r>
                    <w:rPr>
                      <w:rFonts w:hint="eastAsia"/>
                      <w:lang w:val="en-US" w:eastAsia="zh-CN"/>
                    </w:rPr>
                    <w:t>，</w:t>
                  </w:r>
                  <w:r>
                    <w:rPr>
                      <w:rFonts w:hint="default"/>
                      <w:lang w:val="en-US" w:eastAsia="zh-CN"/>
                    </w:rPr>
                    <w:t>增强实战能力。</w:t>
                  </w:r>
                </w:p>
              </w:tc>
              <w:tc>
                <w:tcPr>
                  <w:tcW w:w="504" w:type="pct"/>
                  <w:noWrap w:val="0"/>
                  <w:vAlign w:val="center"/>
                </w:tcPr>
                <w:p>
                  <w:pPr>
                    <w:pStyle w:val="4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pct"/>
                  <w:noWrap w:val="0"/>
                  <w:vAlign w:val="center"/>
                </w:tcPr>
                <w:p>
                  <w:pPr>
                    <w:pStyle w:val="40"/>
                    <w:bidi w:val="0"/>
                    <w:rPr>
                      <w:rFonts w:hint="default"/>
                      <w:lang w:val="en-US" w:eastAsia="zh-CN"/>
                    </w:rPr>
                  </w:pPr>
                  <w:r>
                    <w:rPr>
                      <w:rFonts w:hint="eastAsia"/>
                      <w:lang w:val="en-US" w:eastAsia="zh-CN"/>
                    </w:rPr>
                    <w:t>A4资源利用要求</w:t>
                  </w:r>
                </w:p>
              </w:tc>
              <w:tc>
                <w:tcPr>
                  <w:tcW w:w="634" w:type="pct"/>
                  <w:noWrap w:val="0"/>
                  <w:vAlign w:val="center"/>
                </w:tcPr>
                <w:p>
                  <w:pPr>
                    <w:pStyle w:val="40"/>
                    <w:bidi w:val="0"/>
                    <w:rPr>
                      <w:rFonts w:hint="default"/>
                      <w:lang w:val="en-US" w:eastAsia="zh-CN"/>
                    </w:rPr>
                  </w:pPr>
                  <w:r>
                    <w:rPr>
                      <w:rFonts w:hint="eastAsia"/>
                      <w:lang w:val="en-US" w:eastAsia="zh-CN"/>
                    </w:rPr>
                    <w:t>A4.3能源利用</w:t>
                  </w:r>
                </w:p>
              </w:tc>
              <w:tc>
                <w:tcPr>
                  <w:tcW w:w="1654" w:type="pct"/>
                  <w:noWrap w:val="0"/>
                  <w:vAlign w:val="center"/>
                </w:tcPr>
                <w:p>
                  <w:pPr>
                    <w:pStyle w:val="40"/>
                    <w:bidi w:val="0"/>
                    <w:jc w:val="both"/>
                    <w:rPr>
                      <w:rFonts w:hint="default"/>
                      <w:lang w:val="en-US" w:eastAsia="zh-CN"/>
                    </w:rPr>
                  </w:pPr>
                  <w:r>
                    <w:rPr>
                      <w:rFonts w:hint="default"/>
                      <w:lang w:val="en-US" w:eastAsia="zh-CN"/>
                    </w:rPr>
                    <w:t>〔A4.3-</w:t>
                  </w:r>
                  <w:r>
                    <w:rPr>
                      <w:rFonts w:hint="eastAsia"/>
                      <w:lang w:val="en-US" w:eastAsia="zh-CN"/>
                    </w:rPr>
                    <w:t>5</w:t>
                  </w:r>
                  <w:r>
                    <w:rPr>
                      <w:rFonts w:hint="default"/>
                      <w:lang w:val="en-US" w:eastAsia="zh-CN"/>
                    </w:rPr>
                    <w:t>〕</w:t>
                  </w:r>
                  <w:r>
                    <w:rPr>
                      <w:rFonts w:hint="eastAsia"/>
                      <w:lang w:val="en-US" w:eastAsia="zh-CN"/>
                    </w:rPr>
                    <w:t>以碳达峰碳中和工作为引领，着力提高能源资源利用效率。引导重点行业深入实施清洁生产改造，钢铁、建材、石油化工等重点行业以及其他行业重点用能单位持续开展节能降耗。</w:t>
                  </w:r>
                </w:p>
              </w:tc>
              <w:tc>
                <w:tcPr>
                  <w:tcW w:w="1674" w:type="pct"/>
                  <w:noWrap w:val="0"/>
                  <w:vAlign w:val="center"/>
                </w:tcPr>
                <w:p>
                  <w:pPr>
                    <w:pStyle w:val="40"/>
                    <w:bidi w:val="0"/>
                    <w:jc w:val="both"/>
                    <w:rPr>
                      <w:rFonts w:hint="default"/>
                      <w:lang w:val="en-US" w:eastAsia="zh-CN"/>
                    </w:rPr>
                  </w:pPr>
                  <w:r>
                    <w:rPr>
                      <w:rFonts w:hint="eastAsia"/>
                      <w:lang w:val="en-US" w:eastAsia="zh-CN"/>
                    </w:rPr>
                    <w:t>本项目不属于重点行业。</w:t>
                  </w:r>
                </w:p>
              </w:tc>
              <w:tc>
                <w:tcPr>
                  <w:tcW w:w="504" w:type="pct"/>
                  <w:noWrap w:val="0"/>
                  <w:vAlign w:val="center"/>
                </w:tcPr>
                <w:p>
                  <w:pPr>
                    <w:pStyle w:val="40"/>
                    <w:bidi w:val="0"/>
                    <w:rPr>
                      <w:rFonts w:hint="default"/>
                      <w:lang w:val="en-US" w:eastAsia="zh-CN"/>
                    </w:rPr>
                  </w:pPr>
                  <w:r>
                    <w:rPr>
                      <w:rFonts w:hint="eastAsia"/>
                      <w:lang w:val="en-US" w:eastAsia="zh-CN"/>
                    </w:rPr>
                    <w:t>符合</w:t>
                  </w:r>
                </w:p>
              </w:tc>
            </w:tr>
          </w:tbl>
          <w:p>
            <w:pPr>
              <w:pStyle w:val="2"/>
              <w:bidi w:val="0"/>
              <w:rPr>
                <w:rFonts w:hint="default"/>
                <w:lang w:val="en-US" w:eastAsia="zh-CN"/>
              </w:rPr>
            </w:pPr>
            <w:r>
              <w:rPr>
                <w:rFonts w:hint="eastAsia"/>
                <w:lang w:val="en-US" w:eastAsia="zh-CN"/>
              </w:rPr>
              <w:t>3.2《巴音郭楞蒙古自治州“三线一单”生态环境分区管控动态更新成果（2023年）》符合性分析</w:t>
            </w:r>
          </w:p>
          <w:p>
            <w:pPr>
              <w:pStyle w:val="8"/>
              <w:keepNext w:val="0"/>
              <w:keepLines w:val="0"/>
              <w:pageBreakBefore w:val="0"/>
              <w:widowControl/>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本工程建设地点位于若羌县</w:t>
            </w:r>
            <w:r>
              <w:rPr>
                <w:rFonts w:hint="eastAsia"/>
                <w:lang w:eastAsia="zh-CN"/>
              </w:rPr>
              <w:t>，</w:t>
            </w:r>
            <w:r>
              <w:rPr>
                <w:rFonts w:hint="eastAsia"/>
                <w:lang w:val="en-US" w:eastAsia="zh-CN"/>
              </w:rPr>
              <w:t>根据《巴音郭楞蒙古自治州“三线一单”生态环境分区管控动态更新成果（2023年）》（巴政办发〔2024〕32号），本工程所在环境管控单元管控要求详见下表。</w:t>
            </w:r>
          </w:p>
          <w:p>
            <w:pPr>
              <w:pStyle w:val="42"/>
              <w:bidi w:val="0"/>
              <w:rPr>
                <w:rFonts w:hint="default"/>
                <w:lang w:val="en-US" w:eastAsia="zh-CN"/>
              </w:rPr>
            </w:pPr>
            <w:r>
              <w:rPr>
                <w:rFonts w:hint="eastAsia"/>
                <w:lang w:val="en-US" w:eastAsia="zh-CN"/>
              </w:rPr>
              <w:t>表1-2    《巴音郭楞蒙古自治州生态环境准入清单》符合性分析</w:t>
            </w:r>
          </w:p>
          <w:tbl>
            <w:tblPr>
              <w:tblStyle w:val="23"/>
              <w:tblW w:w="6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32"/>
              <w:gridCol w:w="2607"/>
              <w:gridCol w:w="2415"/>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gridSpan w:val="2"/>
                  <w:noWrap w:val="0"/>
                  <w:vAlign w:val="center"/>
                </w:tcPr>
                <w:p>
                  <w:pPr>
                    <w:pStyle w:val="40"/>
                    <w:bidi w:val="0"/>
                    <w:rPr>
                      <w:rFonts w:hint="eastAsia"/>
                      <w:lang w:val="en-US" w:eastAsia="zh-CN"/>
                    </w:rPr>
                  </w:pPr>
                  <w:r>
                    <w:rPr>
                      <w:rFonts w:hint="default"/>
                      <w:lang w:val="en-US" w:eastAsia="zh-CN"/>
                    </w:rPr>
                    <w:t>环境管控单元编码</w:t>
                  </w:r>
                </w:p>
              </w:tc>
              <w:tc>
                <w:tcPr>
                  <w:tcW w:w="2619" w:type="dxa"/>
                  <w:noWrap w:val="0"/>
                  <w:vAlign w:val="center"/>
                </w:tcPr>
                <w:p>
                  <w:pPr>
                    <w:keepNext w:val="0"/>
                    <w:keepLines w:val="0"/>
                    <w:widowControl/>
                    <w:suppressLineNumbers w:val="0"/>
                    <w:jc w:val="center"/>
                    <w:rPr>
                      <w:rFonts w:hint="eastAsia"/>
                      <w:lang w:val="en-US" w:eastAsia="zh-CN"/>
                    </w:rPr>
                  </w:pPr>
                  <w:r>
                    <w:rPr>
                      <w:rFonts w:hint="default" w:ascii="Times New Roman" w:hAnsi="Times New Roman" w:eastAsia="宋体" w:cs="Times New Roman"/>
                      <w:color w:val="000000"/>
                      <w:kern w:val="0"/>
                      <w:sz w:val="20"/>
                      <w:szCs w:val="20"/>
                      <w:lang w:val="en-US" w:eastAsia="zh-CN" w:bidi="ar"/>
                    </w:rPr>
                    <w:t>ZH65282430001</w:t>
                  </w:r>
                </w:p>
              </w:tc>
              <w:tc>
                <w:tcPr>
                  <w:tcW w:w="2434" w:type="dxa"/>
                  <w:vMerge w:val="restart"/>
                  <w:noWrap w:val="0"/>
                  <w:vAlign w:val="center"/>
                </w:tcPr>
                <w:p>
                  <w:pPr>
                    <w:pStyle w:val="40"/>
                    <w:bidi w:val="0"/>
                    <w:rPr>
                      <w:rFonts w:hint="eastAsia"/>
                      <w:lang w:eastAsia="zh-CN"/>
                    </w:rPr>
                  </w:pPr>
                  <w:r>
                    <w:rPr>
                      <w:rFonts w:hint="eastAsia"/>
                      <w:lang w:val="en-US" w:eastAsia="zh-CN"/>
                    </w:rPr>
                    <w:t>本工程情况</w:t>
                  </w:r>
                </w:p>
              </w:tc>
              <w:tc>
                <w:tcPr>
                  <w:tcW w:w="789" w:type="dxa"/>
                  <w:vMerge w:val="restart"/>
                  <w:noWrap w:val="0"/>
                  <w:vAlign w:val="center"/>
                </w:tcPr>
                <w:p>
                  <w:pPr>
                    <w:pStyle w:val="40"/>
                    <w:bidi w:val="0"/>
                    <w:rPr>
                      <w:rFonts w:hint="default"/>
                      <w:lang w:val="en-US" w:eastAsia="zh-CN"/>
                    </w:rPr>
                  </w:pPr>
                  <w:r>
                    <w:rPr>
                      <w:rFonts w:hint="eastAsia"/>
                      <w:lang w:val="en-US" w:eastAsia="zh-CN"/>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gridSpan w:val="2"/>
                  <w:noWrap w:val="0"/>
                  <w:vAlign w:val="center"/>
                </w:tcPr>
                <w:p>
                  <w:pPr>
                    <w:pStyle w:val="40"/>
                    <w:bidi w:val="0"/>
                    <w:rPr>
                      <w:rFonts w:hint="eastAsia"/>
                      <w:lang w:val="en-US" w:eastAsia="zh-CN"/>
                    </w:rPr>
                  </w:pPr>
                  <w:r>
                    <w:rPr>
                      <w:rFonts w:hint="eastAsia"/>
                      <w:lang w:val="en-US" w:eastAsia="zh-CN"/>
                    </w:rPr>
                    <w:t>环境管控单元名称</w:t>
                  </w:r>
                </w:p>
              </w:tc>
              <w:tc>
                <w:tcPr>
                  <w:tcW w:w="2619" w:type="dxa"/>
                  <w:noWrap w:val="0"/>
                  <w:vAlign w:val="center"/>
                </w:tcPr>
                <w:p>
                  <w:pPr>
                    <w:pStyle w:val="40"/>
                    <w:bidi w:val="0"/>
                    <w:rPr>
                      <w:rFonts w:hint="default"/>
                      <w:lang w:val="en-US" w:eastAsia="zh-CN"/>
                    </w:rPr>
                  </w:pPr>
                  <w:r>
                    <w:rPr>
                      <w:rFonts w:hint="eastAsia"/>
                      <w:lang w:val="en-US" w:eastAsia="zh-CN"/>
                    </w:rPr>
                    <w:t>若羌县一般管控区</w:t>
                  </w:r>
                </w:p>
              </w:tc>
              <w:tc>
                <w:tcPr>
                  <w:tcW w:w="2434" w:type="dxa"/>
                  <w:vMerge w:val="continue"/>
                  <w:noWrap w:val="0"/>
                  <w:vAlign w:val="center"/>
                </w:tcPr>
                <w:p>
                  <w:pPr>
                    <w:pStyle w:val="40"/>
                    <w:bidi w:val="0"/>
                    <w:rPr>
                      <w:rFonts w:hint="eastAsia"/>
                      <w:lang w:eastAsia="zh-CN"/>
                    </w:rPr>
                  </w:pPr>
                </w:p>
              </w:tc>
              <w:tc>
                <w:tcPr>
                  <w:tcW w:w="789" w:type="dxa"/>
                  <w:vMerge w:val="continue"/>
                  <w:noWrap w:val="0"/>
                  <w:vAlign w:val="center"/>
                </w:tcPr>
                <w:p>
                  <w:pPr>
                    <w:pStyle w:val="4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gridSpan w:val="2"/>
                  <w:noWrap w:val="0"/>
                  <w:vAlign w:val="center"/>
                </w:tcPr>
                <w:p>
                  <w:pPr>
                    <w:pStyle w:val="40"/>
                    <w:bidi w:val="0"/>
                    <w:rPr>
                      <w:rFonts w:hint="eastAsia"/>
                      <w:lang w:val="en-US" w:eastAsia="zh-CN"/>
                    </w:rPr>
                  </w:pPr>
                  <w:r>
                    <w:t>环境管控单元类别</w:t>
                  </w:r>
                </w:p>
              </w:tc>
              <w:tc>
                <w:tcPr>
                  <w:tcW w:w="2619" w:type="dxa"/>
                  <w:noWrap w:val="0"/>
                  <w:vAlign w:val="center"/>
                </w:tcPr>
                <w:p>
                  <w:pPr>
                    <w:pStyle w:val="40"/>
                    <w:bidi w:val="0"/>
                    <w:rPr>
                      <w:rFonts w:hint="eastAsia"/>
                      <w:lang w:val="en-US" w:eastAsia="zh-CN"/>
                    </w:rPr>
                  </w:pPr>
                  <w:r>
                    <w:rPr>
                      <w:rFonts w:hint="eastAsia"/>
                      <w:lang w:val="en-US" w:eastAsia="zh-CN"/>
                    </w:rPr>
                    <w:t>一般</w:t>
                  </w:r>
                  <w:r>
                    <w:rPr>
                      <w:rFonts w:hint="default"/>
                      <w:lang w:val="en-US" w:eastAsia="zh-CN"/>
                    </w:rPr>
                    <w:t>管控单元</w:t>
                  </w:r>
                </w:p>
              </w:tc>
              <w:tc>
                <w:tcPr>
                  <w:tcW w:w="2434" w:type="dxa"/>
                  <w:vMerge w:val="continue"/>
                  <w:noWrap w:val="0"/>
                  <w:vAlign w:val="center"/>
                </w:tcPr>
                <w:p>
                  <w:pPr>
                    <w:pStyle w:val="40"/>
                    <w:bidi w:val="0"/>
                    <w:rPr>
                      <w:rFonts w:hint="eastAsia"/>
                      <w:lang w:eastAsia="zh-CN"/>
                    </w:rPr>
                  </w:pPr>
                </w:p>
              </w:tc>
              <w:tc>
                <w:tcPr>
                  <w:tcW w:w="789" w:type="dxa"/>
                  <w:vMerge w:val="continue"/>
                  <w:noWrap w:val="0"/>
                  <w:vAlign w:val="center"/>
                </w:tcPr>
                <w:p>
                  <w:pPr>
                    <w:pStyle w:val="4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dxa"/>
                  <w:vMerge w:val="restart"/>
                  <w:noWrap w:val="0"/>
                  <w:vAlign w:val="center"/>
                </w:tcPr>
                <w:p>
                  <w:pPr>
                    <w:pStyle w:val="40"/>
                    <w:bidi w:val="0"/>
                  </w:pPr>
                  <w:r>
                    <w:rPr>
                      <w:rFonts w:hint="eastAsia"/>
                      <w:lang w:val="en-US" w:eastAsia="zh-CN"/>
                    </w:rPr>
                    <w:t>管控要求</w:t>
                  </w:r>
                </w:p>
              </w:tc>
              <w:tc>
                <w:tcPr>
                  <w:tcW w:w="735" w:type="dxa"/>
                  <w:noWrap w:val="0"/>
                  <w:vAlign w:val="center"/>
                </w:tcPr>
                <w:p>
                  <w:pPr>
                    <w:pStyle w:val="40"/>
                    <w:bidi w:val="0"/>
                    <w:rPr>
                      <w:rFonts w:hint="eastAsia"/>
                      <w:lang w:val="en-US" w:eastAsia="zh-CN"/>
                    </w:rPr>
                  </w:pPr>
                  <w:r>
                    <w:rPr>
                      <w:rFonts w:hint="default"/>
                      <w:lang w:val="en-US" w:eastAsia="zh-CN"/>
                    </w:rPr>
                    <w:t>空间布局约束</w:t>
                  </w:r>
                </w:p>
              </w:tc>
              <w:tc>
                <w:tcPr>
                  <w:tcW w:w="2619" w:type="dxa"/>
                  <w:noWrap w:val="0"/>
                  <w:vAlign w:val="center"/>
                </w:tcPr>
                <w:p>
                  <w:pPr>
                    <w:pStyle w:val="60"/>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1.建设项目用地原则上不得占用基本农田，确需占用基本农田的建设项目须符合《中华人民共和国基本农田保护条例》中相关要求，占用耕地、林地或草地的建设项目须按照国家、自治区相关补偿要求进行补偿。</w:t>
                  </w:r>
                </w:p>
                <w:p>
                  <w:pPr>
                    <w:pStyle w:val="60"/>
                    <w:keepNext w:val="0"/>
                    <w:keepLines w:val="0"/>
                    <w:suppressLineNumbers w:val="0"/>
                    <w:bidi w:val="0"/>
                    <w:spacing w:before="0" w:beforeAutospacing="0" w:after="0" w:afterAutospacing="0"/>
                    <w:ind w:left="0" w:leftChars="0" w:right="0" w:rightChars="0"/>
                    <w:jc w:val="both"/>
                    <w:rPr>
                      <w:rFonts w:hint="default"/>
                      <w:lang w:val="en-US" w:eastAsia="zh-CN"/>
                    </w:rPr>
                  </w:pPr>
                  <w:r>
                    <w:rPr>
                      <w:rFonts w:hint="default"/>
                      <w:lang w:val="en-US" w:eastAsia="zh-CN"/>
                    </w:rPr>
                    <w:t>5.禁止向沙漠、滩涂、盐碱地、沼泽地等非法排污、倾倒有毒有害物质。</w:t>
                  </w:r>
                </w:p>
              </w:tc>
              <w:tc>
                <w:tcPr>
                  <w:tcW w:w="2434" w:type="dxa"/>
                  <w:noWrap w:val="0"/>
                  <w:vAlign w:val="center"/>
                </w:tcPr>
                <w:p>
                  <w:pPr>
                    <w:pStyle w:val="40"/>
                    <w:bidi w:val="0"/>
                    <w:jc w:val="both"/>
                    <w:rPr>
                      <w:rFonts w:hint="eastAsia"/>
                      <w:lang w:val="en-US" w:eastAsia="zh-CN"/>
                    </w:rPr>
                  </w:pPr>
                  <w:r>
                    <w:rPr>
                      <w:rFonts w:hint="eastAsia"/>
                      <w:lang w:val="en-US" w:eastAsia="zh-CN"/>
                    </w:rPr>
                    <w:t>本项目位于若羌县政府方位角92.8°，直线距离约50千米处，道路北侧，项目用地为临时用地，不占用基本农田。</w:t>
                  </w:r>
                </w:p>
                <w:p>
                  <w:pPr>
                    <w:pStyle w:val="40"/>
                    <w:bidi w:val="0"/>
                    <w:jc w:val="both"/>
                    <w:rPr>
                      <w:rFonts w:hint="eastAsia"/>
                      <w:lang w:eastAsia="zh-CN"/>
                    </w:rPr>
                  </w:pPr>
                  <w:r>
                    <w:rPr>
                      <w:rFonts w:hint="eastAsia"/>
                      <w:lang w:val="en-US" w:eastAsia="zh-CN"/>
                    </w:rPr>
                    <w:t>本项目产生的生活垃圾分类收集，定期清运；除尘灰回用于生产，废布袋定期由设备厂家进行回收处理，废润滑油、废润滑油桶暂存于危废贮存点，定期交由有资质单位进行无害化处置。</w:t>
                  </w:r>
                </w:p>
              </w:tc>
              <w:tc>
                <w:tcPr>
                  <w:tcW w:w="789" w:type="dxa"/>
                  <w:noWrap w:val="0"/>
                  <w:vAlign w:val="center"/>
                </w:tcPr>
                <w:p>
                  <w:pPr>
                    <w:pStyle w:val="4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dxa"/>
                  <w:vMerge w:val="continue"/>
                  <w:noWrap w:val="0"/>
                  <w:vAlign w:val="center"/>
                </w:tcPr>
                <w:p>
                  <w:pPr>
                    <w:pStyle w:val="40"/>
                    <w:bidi w:val="0"/>
                    <w:rPr>
                      <w:rFonts w:hint="eastAsia"/>
                      <w:lang w:val="en-US" w:eastAsia="zh-CN"/>
                    </w:rPr>
                  </w:pPr>
                </w:p>
              </w:tc>
              <w:tc>
                <w:tcPr>
                  <w:tcW w:w="735" w:type="dxa"/>
                  <w:noWrap w:val="0"/>
                  <w:vAlign w:val="center"/>
                </w:tcPr>
                <w:p>
                  <w:pPr>
                    <w:pStyle w:val="40"/>
                    <w:bidi w:val="0"/>
                    <w:rPr>
                      <w:rFonts w:hint="default"/>
                      <w:lang w:val="en-US" w:eastAsia="zh-CN"/>
                    </w:rPr>
                  </w:pPr>
                  <w:r>
                    <w:rPr>
                      <w:rFonts w:hint="default"/>
                      <w:lang w:val="en-US" w:eastAsia="zh-CN"/>
                    </w:rPr>
                    <w:t>污染物排放管控</w:t>
                  </w:r>
                </w:p>
              </w:tc>
              <w:tc>
                <w:tcPr>
                  <w:tcW w:w="2619" w:type="dxa"/>
                  <w:noWrap w:val="0"/>
                  <w:vAlign w:val="center"/>
                </w:tcPr>
                <w:p>
                  <w:pPr>
                    <w:pStyle w:val="60"/>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4.对化学品生产企业、工业集聚区、尾矿库、矿山开采区、危险废物处置场、垃圾填埋场等地下水污染源及周边区域，逐步开展地下水环境状况调查评估，加强风险管控。</w:t>
                  </w:r>
                </w:p>
                <w:p>
                  <w:pPr>
                    <w:pStyle w:val="60"/>
                    <w:keepNext w:val="0"/>
                    <w:keepLines w:val="0"/>
                    <w:suppressLineNumbers w:val="0"/>
                    <w:bidi w:val="0"/>
                    <w:spacing w:before="0" w:beforeAutospacing="0" w:after="0" w:afterAutospacing="0"/>
                    <w:ind w:left="0" w:leftChars="0" w:right="0" w:rightChars="0"/>
                    <w:jc w:val="both"/>
                    <w:rPr>
                      <w:rFonts w:hint="default"/>
                      <w:lang w:val="en-US" w:eastAsia="zh-CN"/>
                    </w:rPr>
                  </w:pPr>
                  <w:r>
                    <w:rPr>
                      <w:rFonts w:hint="default"/>
                      <w:lang w:val="en-US" w:eastAsia="zh-CN"/>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2434" w:type="dxa"/>
                  <w:noWrap w:val="0"/>
                  <w:vAlign w:val="center"/>
                </w:tcPr>
                <w:p>
                  <w:pPr>
                    <w:pStyle w:val="40"/>
                    <w:bidi w:val="0"/>
                    <w:jc w:val="both"/>
                    <w:rPr>
                      <w:rFonts w:hint="default"/>
                      <w:lang w:val="en-US" w:eastAsia="zh-CN"/>
                    </w:rPr>
                  </w:pPr>
                  <w:r>
                    <w:rPr>
                      <w:rFonts w:hint="default"/>
                      <w:lang w:val="en-US" w:eastAsia="zh-CN"/>
                    </w:rPr>
                    <w:t>本项目不</w:t>
                  </w:r>
                  <w:r>
                    <w:rPr>
                      <w:rFonts w:hint="eastAsia"/>
                      <w:lang w:val="en-US" w:eastAsia="zh-CN"/>
                    </w:rPr>
                    <w:t>涉及</w:t>
                  </w:r>
                  <w:r>
                    <w:rPr>
                      <w:rFonts w:hint="default"/>
                      <w:lang w:val="en-US" w:eastAsia="zh-CN"/>
                    </w:rPr>
                    <w:t>该管控要求。</w:t>
                  </w:r>
                </w:p>
              </w:tc>
              <w:tc>
                <w:tcPr>
                  <w:tcW w:w="789" w:type="dxa"/>
                  <w:noWrap w:val="0"/>
                  <w:vAlign w:val="center"/>
                </w:tcPr>
                <w:p>
                  <w:pPr>
                    <w:pStyle w:val="40"/>
                    <w:bidi w:val="0"/>
                    <w:rPr>
                      <w:rFonts w:hint="eastAsia"/>
                      <w:lang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dxa"/>
                  <w:vMerge w:val="continue"/>
                  <w:noWrap w:val="0"/>
                  <w:vAlign w:val="center"/>
                </w:tcPr>
                <w:p>
                  <w:pPr>
                    <w:pStyle w:val="40"/>
                    <w:bidi w:val="0"/>
                    <w:rPr>
                      <w:rFonts w:hint="eastAsia"/>
                      <w:lang w:val="en-US" w:eastAsia="zh-CN"/>
                    </w:rPr>
                  </w:pPr>
                </w:p>
              </w:tc>
              <w:tc>
                <w:tcPr>
                  <w:tcW w:w="735" w:type="dxa"/>
                  <w:noWrap w:val="0"/>
                  <w:vAlign w:val="center"/>
                </w:tcPr>
                <w:p>
                  <w:pPr>
                    <w:pStyle w:val="40"/>
                    <w:bidi w:val="0"/>
                    <w:rPr>
                      <w:rFonts w:hint="default"/>
                      <w:lang w:val="en-US" w:eastAsia="zh-CN"/>
                    </w:rPr>
                  </w:pPr>
                  <w:r>
                    <w:rPr>
                      <w:rFonts w:hint="default"/>
                      <w:lang w:val="en-US" w:eastAsia="zh-CN"/>
                    </w:rPr>
                    <w:t>环境风险防控</w:t>
                  </w:r>
                </w:p>
              </w:tc>
              <w:tc>
                <w:tcPr>
                  <w:tcW w:w="2619" w:type="dxa"/>
                  <w:noWrap w:val="0"/>
                  <w:vAlign w:val="center"/>
                </w:tcPr>
                <w:p>
                  <w:pPr>
                    <w:pStyle w:val="60"/>
                    <w:keepNext w:val="0"/>
                    <w:keepLines w:val="0"/>
                    <w:suppressLineNumbers w:val="0"/>
                    <w:bidi w:val="0"/>
                    <w:spacing w:before="0" w:beforeAutospacing="0" w:after="0" w:afterAutospacing="0"/>
                    <w:ind w:left="0" w:leftChars="0" w:right="0" w:rightChars="0"/>
                    <w:jc w:val="both"/>
                    <w:rPr>
                      <w:rFonts w:hint="default"/>
                      <w:lang w:val="en-US" w:eastAsia="zh-CN"/>
                    </w:rPr>
                  </w:pPr>
                  <w:r>
                    <w:rPr>
                      <w:rFonts w:hint="default"/>
                      <w:lang w:val="en-US" w:eastAsia="zh-CN"/>
                    </w:rPr>
                    <w:t>4.定期对企业及周边土壤进行监测；对不符合法律法规和相关标准要求的，应当根据监测结果，要求运营单位采取相应改进措施。土壤环境监管重点行业企业拆除生产设施设备、构筑物和污染治理设施，要事先制定残留污染物清理和安全处置方案，并报所在地县级生态环境、工业和信息化部门备案；要严格按照有关规定实施安全处理处置，防范拆除活动污染土壤。</w:t>
                  </w:r>
                </w:p>
              </w:tc>
              <w:tc>
                <w:tcPr>
                  <w:tcW w:w="2434" w:type="dxa"/>
                  <w:noWrap w:val="0"/>
                  <w:vAlign w:val="center"/>
                </w:tcPr>
                <w:p>
                  <w:pPr>
                    <w:pStyle w:val="40"/>
                    <w:bidi w:val="0"/>
                    <w:jc w:val="both"/>
                    <w:rPr>
                      <w:rFonts w:hint="default"/>
                      <w:lang w:val="en-US" w:eastAsia="zh-CN"/>
                    </w:rPr>
                  </w:pPr>
                  <w:r>
                    <w:rPr>
                      <w:rFonts w:hint="eastAsia"/>
                      <w:lang w:val="en-US" w:eastAsia="zh-CN"/>
                    </w:rPr>
                    <w:t>项目周边无环境敏感保护目标。</w:t>
                  </w:r>
                </w:p>
              </w:tc>
              <w:tc>
                <w:tcPr>
                  <w:tcW w:w="789" w:type="dxa"/>
                  <w:noWrap w:val="0"/>
                  <w:vAlign w:val="center"/>
                </w:tcPr>
                <w:p>
                  <w:pPr>
                    <w:pStyle w:val="40"/>
                    <w:bidi w:val="0"/>
                    <w:rPr>
                      <w:rFonts w:hint="eastAsia"/>
                      <w:lang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dxa"/>
                  <w:vMerge w:val="continue"/>
                  <w:noWrap w:val="0"/>
                  <w:vAlign w:val="center"/>
                </w:tcPr>
                <w:p>
                  <w:pPr>
                    <w:pStyle w:val="40"/>
                    <w:bidi w:val="0"/>
                    <w:rPr>
                      <w:rFonts w:hint="eastAsia"/>
                      <w:lang w:val="en-US" w:eastAsia="zh-CN"/>
                    </w:rPr>
                  </w:pPr>
                </w:p>
              </w:tc>
              <w:tc>
                <w:tcPr>
                  <w:tcW w:w="735" w:type="dxa"/>
                  <w:noWrap w:val="0"/>
                  <w:vAlign w:val="center"/>
                </w:tcPr>
                <w:p>
                  <w:pPr>
                    <w:pStyle w:val="40"/>
                    <w:bidi w:val="0"/>
                    <w:rPr>
                      <w:rFonts w:hint="default"/>
                      <w:lang w:val="en-US" w:eastAsia="zh-CN"/>
                    </w:rPr>
                  </w:pPr>
                  <w:r>
                    <w:rPr>
                      <w:rFonts w:hint="default"/>
                      <w:lang w:val="en-US" w:eastAsia="zh-CN"/>
                    </w:rPr>
                    <w:t>资源利用效率</w:t>
                  </w:r>
                </w:p>
              </w:tc>
              <w:tc>
                <w:tcPr>
                  <w:tcW w:w="2619" w:type="dxa"/>
                  <w:noWrap w:val="0"/>
                  <w:vAlign w:val="center"/>
                </w:tcPr>
                <w:p>
                  <w:pPr>
                    <w:pStyle w:val="60"/>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1.全面推进秸秆综合利用，鼓励秸秆资源化、饲料化、肥料化利用，推动秸秆还田与离田收集。</w:t>
                  </w:r>
                </w:p>
                <w:p>
                  <w:pPr>
                    <w:pStyle w:val="60"/>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2.减少化肥农药使用量，增加有机肥使用量，实现化肥农药使用量负增长。</w:t>
                  </w:r>
                </w:p>
                <w:p>
                  <w:pPr>
                    <w:pStyle w:val="60"/>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3.推广渠道防渗、管道输水、喷灌、微灌等节水灌溉技术，完善灌溉用水计量设施。推进规模化高效节水灌溉，推广农作物节水抗旱技术。建立灌区墒情测报网络，提高农业用水效率，降低农业用水比重。</w:t>
                  </w:r>
                </w:p>
                <w:p>
                  <w:pPr>
                    <w:pStyle w:val="60"/>
                    <w:keepNext w:val="0"/>
                    <w:keepLines w:val="0"/>
                    <w:suppressLineNumbers w:val="0"/>
                    <w:bidi w:val="0"/>
                    <w:spacing w:before="0" w:beforeAutospacing="0" w:after="0" w:afterAutospacing="0"/>
                    <w:ind w:left="0" w:leftChars="0" w:right="0" w:rightChars="0"/>
                    <w:jc w:val="both"/>
                    <w:rPr>
                      <w:rFonts w:hint="default"/>
                      <w:lang w:val="en-US" w:eastAsia="zh-CN"/>
                    </w:rPr>
                  </w:pPr>
                  <w:r>
                    <w:rPr>
                      <w:rFonts w:hint="default"/>
                      <w:lang w:val="en-US" w:eastAsia="zh-CN"/>
                    </w:rPr>
                    <w:t>4.废石综合回用、尾矿砂利用率参考《新疆维吾尔自治区重点行业环境准入条件（修订）》等相关文件要求。</w:t>
                  </w:r>
                </w:p>
              </w:tc>
              <w:tc>
                <w:tcPr>
                  <w:tcW w:w="2434" w:type="dxa"/>
                  <w:noWrap w:val="0"/>
                  <w:vAlign w:val="center"/>
                </w:tcPr>
                <w:p>
                  <w:pPr>
                    <w:pStyle w:val="40"/>
                    <w:bidi w:val="0"/>
                    <w:jc w:val="both"/>
                    <w:rPr>
                      <w:rFonts w:hint="default"/>
                      <w:lang w:val="en-US" w:eastAsia="zh-CN"/>
                    </w:rPr>
                  </w:pPr>
                  <w:r>
                    <w:rPr>
                      <w:rFonts w:hint="eastAsia"/>
                      <w:lang w:val="en-US" w:eastAsia="zh-CN"/>
                    </w:rPr>
                    <w:t>本项目不涉及该管控要求。</w:t>
                  </w:r>
                </w:p>
              </w:tc>
              <w:tc>
                <w:tcPr>
                  <w:tcW w:w="789" w:type="dxa"/>
                  <w:noWrap w:val="0"/>
                  <w:vAlign w:val="center"/>
                </w:tcPr>
                <w:p>
                  <w:pPr>
                    <w:pStyle w:val="40"/>
                    <w:bidi w:val="0"/>
                    <w:rPr>
                      <w:rFonts w:hint="eastAsia"/>
                      <w:lang w:eastAsia="zh-CN"/>
                    </w:rPr>
                  </w:pPr>
                  <w:r>
                    <w:rPr>
                      <w:rFonts w:hint="eastAsia"/>
                      <w:lang w:val="en-US" w:eastAsia="zh-CN"/>
                    </w:rPr>
                    <w:t>符合</w:t>
                  </w:r>
                </w:p>
              </w:tc>
            </w:tr>
          </w:tbl>
          <w:p>
            <w:pPr>
              <w:pStyle w:val="2"/>
              <w:bidi w:val="0"/>
              <w:rPr>
                <w:rFonts w:hint="default"/>
                <w:lang w:val="en-US" w:eastAsia="zh-CN"/>
              </w:rPr>
            </w:pPr>
            <w:r>
              <w:rPr>
                <w:rFonts w:hint="eastAsia"/>
                <w:lang w:val="en-US" w:eastAsia="zh-CN"/>
              </w:rPr>
              <w:t>4.《巴音郭楞蒙古自治州生态环境“十四五”规划》符合性分析</w:t>
            </w:r>
          </w:p>
          <w:p>
            <w:pPr>
              <w:pStyle w:val="8"/>
              <w:bidi w:val="0"/>
              <w:rPr>
                <w:rFonts w:hint="eastAsia"/>
                <w:lang w:val="en-US" w:eastAsia="zh-CN"/>
              </w:rPr>
            </w:pPr>
            <w:r>
              <w:rPr>
                <w:rFonts w:hint="eastAsia"/>
                <w:lang w:val="en-US" w:eastAsia="zh-CN"/>
              </w:rPr>
              <w:t>本项目与《巴音郭楞蒙古自治州生态环境“十四五”规划》符合性分析详见下表。</w:t>
            </w:r>
          </w:p>
          <w:p>
            <w:pPr>
              <w:pStyle w:val="42"/>
              <w:bidi w:val="0"/>
              <w:rPr>
                <w:rFonts w:hint="default"/>
                <w:lang w:val="en-US" w:eastAsia="zh-CN"/>
              </w:rPr>
            </w:pPr>
            <w:r>
              <w:rPr>
                <w:rFonts w:hint="eastAsia"/>
                <w:lang w:val="en-US" w:eastAsia="zh-CN"/>
              </w:rPr>
              <w:t>表1-3    《巴音郭楞蒙古自治州生态环境“十四五”规划》符合性分析</w:t>
            </w:r>
          </w:p>
          <w:tbl>
            <w:tblPr>
              <w:tblStyle w:val="23"/>
              <w:tblW w:w="7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3"/>
              <w:gridCol w:w="2770"/>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noWrap w:val="0"/>
                  <w:vAlign w:val="center"/>
                </w:tcPr>
                <w:p>
                  <w:pPr>
                    <w:pStyle w:val="40"/>
                    <w:bidi w:val="0"/>
                    <w:rPr>
                      <w:rFonts w:hint="default"/>
                      <w:lang w:val="en-US" w:eastAsia="zh-CN"/>
                    </w:rPr>
                  </w:pPr>
                  <w:r>
                    <w:rPr>
                      <w:rFonts w:hint="default"/>
                      <w:lang w:val="en-US" w:eastAsia="zh-CN"/>
                    </w:rPr>
                    <w:t>规划</w:t>
                  </w:r>
                  <w:r>
                    <w:rPr>
                      <w:rFonts w:hint="eastAsia"/>
                      <w:lang w:val="en-US" w:eastAsia="zh-CN"/>
                    </w:rPr>
                    <w:t>要求</w:t>
                  </w:r>
                </w:p>
              </w:tc>
              <w:tc>
                <w:tcPr>
                  <w:tcW w:w="2770" w:type="dxa"/>
                  <w:noWrap w:val="0"/>
                  <w:vAlign w:val="center"/>
                </w:tcPr>
                <w:p>
                  <w:pPr>
                    <w:pStyle w:val="40"/>
                    <w:bidi w:val="0"/>
                    <w:rPr>
                      <w:rFonts w:hint="default"/>
                      <w:lang w:val="en-US" w:eastAsia="zh-CN"/>
                    </w:rPr>
                  </w:pPr>
                  <w:r>
                    <w:rPr>
                      <w:rFonts w:hint="eastAsia"/>
                      <w:lang w:val="en-US" w:eastAsia="zh-CN"/>
                    </w:rPr>
                    <w:t>本项目情况</w:t>
                  </w:r>
                </w:p>
              </w:tc>
              <w:tc>
                <w:tcPr>
                  <w:tcW w:w="715" w:type="dxa"/>
                  <w:noWrap w:val="0"/>
                  <w:vAlign w:val="center"/>
                </w:tcPr>
                <w:p>
                  <w:pPr>
                    <w:pStyle w:val="40"/>
                    <w:bidi w:val="0"/>
                    <w:rPr>
                      <w:rFonts w:hint="default"/>
                      <w:lang w:val="en-US" w:eastAsia="zh-CN"/>
                    </w:rPr>
                  </w:pPr>
                  <w:r>
                    <w:rPr>
                      <w:rFonts w:hint="eastAsia"/>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553" w:type="dxa"/>
                  <w:noWrap w:val="0"/>
                  <w:vAlign w:val="center"/>
                </w:tcPr>
                <w:p>
                  <w:pPr>
                    <w:pStyle w:val="40"/>
                    <w:bidi w:val="0"/>
                    <w:jc w:val="both"/>
                    <w:rPr>
                      <w:rFonts w:hint="default"/>
                      <w:lang w:val="en-US" w:eastAsia="zh-CN"/>
                    </w:rPr>
                  </w:pPr>
                  <w:r>
                    <w:rPr>
                      <w:rFonts w:hint="default"/>
                      <w:lang w:val="en-US" w:eastAsia="zh-CN"/>
                    </w:rPr>
                    <w:t>强化大气污染分区控制和分类管理，加强污染源解析，实行差异化控制要求，制定有针对性的污染防治措施。库尔勒等大气复合型污染区域，重点针对不同时段PM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、O</w:t>
                  </w:r>
                  <w:r>
                    <w:rPr>
                      <w:rFonts w:hint="default"/>
                      <w:vertAlign w:val="subscript"/>
                      <w:lang w:val="en-US" w:eastAsia="zh-CN"/>
                    </w:rPr>
                    <w:t>3</w:t>
                  </w:r>
                  <w:r>
                    <w:rPr>
                      <w:rFonts w:hint="default"/>
                      <w:lang w:val="en-US" w:eastAsia="zh-CN"/>
                    </w:rPr>
                    <w:t>等突出问题，加强采暖季燃煤污染控制以及机动车、VOCs（挥发性有机物）污染防治；库尉轮地区及且若区域沙尘污染严重区，重点做好防风固沙、生态环境保护修复等工作，同时持续加强传统煤烟型、扬尘污染的控制，实现空气质量持续改善</w:t>
                  </w:r>
                  <w:r>
                    <w:rPr>
                      <w:rFonts w:hint="eastAsia"/>
                      <w:lang w:val="en-US" w:eastAsia="zh-CN"/>
                    </w:rPr>
                    <w:t>。</w:t>
                  </w:r>
                </w:p>
              </w:tc>
              <w:tc>
                <w:tcPr>
                  <w:tcW w:w="2770" w:type="dxa"/>
                  <w:noWrap w:val="0"/>
                  <w:vAlign w:val="center"/>
                </w:tcPr>
                <w:p>
                  <w:pPr>
                    <w:pStyle w:val="40"/>
                    <w:bidi w:val="0"/>
                    <w:jc w:val="both"/>
                    <w:rPr>
                      <w:rFonts w:hint="default"/>
                      <w:lang w:val="en-US" w:eastAsia="zh-CN"/>
                    </w:rPr>
                  </w:pPr>
                  <w:r>
                    <w:rPr>
                      <w:rFonts w:hint="default"/>
                      <w:lang w:val="en-US" w:eastAsia="zh-CN"/>
                    </w:rPr>
                    <w:t>本项目产生的废气经相应的环保设施处理后能够达标排放，对环境空气质量影响较小，不会降低区域环境空气质量。</w:t>
                  </w:r>
                </w:p>
              </w:tc>
              <w:tc>
                <w:tcPr>
                  <w:tcW w:w="715" w:type="dxa"/>
                  <w:noWrap w:val="0"/>
                  <w:vAlign w:val="center"/>
                </w:tcPr>
                <w:p>
                  <w:pPr>
                    <w:pStyle w:val="40"/>
                    <w:bidi w:val="0"/>
                    <w:jc w:val="both"/>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noWrap w:val="0"/>
                  <w:vAlign w:val="center"/>
                </w:tcPr>
                <w:p>
                  <w:pPr>
                    <w:pStyle w:val="40"/>
                    <w:bidi w:val="0"/>
                    <w:jc w:val="both"/>
                    <w:rPr>
                      <w:rFonts w:hint="default"/>
                      <w:lang w:val="en-US" w:eastAsia="zh-CN"/>
                    </w:rPr>
                  </w:pPr>
                  <w:r>
                    <w:rPr>
                      <w:rFonts w:hint="default"/>
                      <w:lang w:val="en-US" w:eastAsia="zh-CN"/>
                    </w:rPr>
                    <w:t>加强环境噪声污染防控。加强噪声污染源监管，继续强化和深入推进交通运输、建筑施工、社会生活、工业企业、机场周边噪声污染防治，推进工业企业噪声纳入排污许可管理。优化重点</w:t>
                  </w:r>
                  <w:r>
                    <w:rPr>
                      <w:rFonts w:hint="eastAsia"/>
                      <w:lang w:val="en-US" w:eastAsia="zh-CN"/>
                    </w:rPr>
                    <w:t>区域</w:t>
                  </w:r>
                  <w:r>
                    <w:rPr>
                      <w:rFonts w:hint="default"/>
                      <w:lang w:val="en-US" w:eastAsia="zh-CN"/>
                    </w:rPr>
                    <w:t>声环境质量监测点位，加强城市环境、道路交通、功能区噪声例行监测与评价，推动库尔勒市功能区声环境质量自动监测，强化声环境功能区管理，适时调整完善声环境功能区</w:t>
                  </w:r>
                  <w:r>
                    <w:rPr>
                      <w:rFonts w:hint="eastAsia"/>
                      <w:lang w:val="en-US" w:eastAsia="zh-CN"/>
                    </w:rPr>
                    <w:t>。</w:t>
                  </w:r>
                </w:p>
              </w:tc>
              <w:tc>
                <w:tcPr>
                  <w:tcW w:w="2770" w:type="dxa"/>
                  <w:noWrap w:val="0"/>
                  <w:vAlign w:val="center"/>
                </w:tcPr>
                <w:p>
                  <w:pPr>
                    <w:pStyle w:val="40"/>
                    <w:bidi w:val="0"/>
                    <w:jc w:val="both"/>
                    <w:rPr>
                      <w:rFonts w:hint="default"/>
                      <w:lang w:val="en-US" w:eastAsia="zh-CN"/>
                    </w:rPr>
                  </w:pPr>
                  <w:r>
                    <w:rPr>
                      <w:rFonts w:hint="eastAsia"/>
                      <w:lang w:val="en-US" w:eastAsia="zh-CN"/>
                    </w:rPr>
                    <w:t>本项目噪声主要是机械、运输设备噪声。采用低噪声设备、合理布置设备位置，基础减震等措施，噪声可以达标排放；项目建设完成后，建设单位将按照排污许可管理办法，在排污行为发生之前，完成排污许可登记。</w:t>
                  </w:r>
                </w:p>
              </w:tc>
              <w:tc>
                <w:tcPr>
                  <w:tcW w:w="715" w:type="dxa"/>
                  <w:noWrap w:val="0"/>
                  <w:vAlign w:val="center"/>
                </w:tcPr>
                <w:p>
                  <w:pPr>
                    <w:pStyle w:val="40"/>
                    <w:bidi w:val="0"/>
                    <w:jc w:val="both"/>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noWrap w:val="0"/>
                  <w:vAlign w:val="center"/>
                </w:tcPr>
                <w:p>
                  <w:pPr>
                    <w:pStyle w:val="40"/>
                    <w:bidi w:val="0"/>
                    <w:jc w:val="both"/>
                    <w:rPr>
                      <w:rFonts w:hint="default"/>
                      <w:lang w:val="en-US" w:eastAsia="zh-CN"/>
                    </w:rPr>
                  </w:pPr>
                  <w:r>
                    <w:rPr>
                      <w:rFonts w:hint="default"/>
                      <w:lang w:val="en-US" w:eastAsia="zh-CN"/>
                    </w:rPr>
                    <w:t>加强固体废物处置。加强固体废物源头减量和资源化利用，最大限度减少填埋量。持续开展固体废物非法转移和倾倒排查整治，推动开展塑料行业专项清理，持续推进废塑料加工利用行业整治，加强废塑料回收、利用、处置等环节的环境监管，降低污染风险。加强工业固体废物堆存场所环境整治。持续推进工业固体废物综合利用和环境整治，不断提高大宗工业固体废物资源化利用水平</w:t>
                  </w:r>
                  <w:r>
                    <w:rPr>
                      <w:rFonts w:hint="eastAsia"/>
                      <w:lang w:val="en-US" w:eastAsia="zh-CN"/>
                    </w:rPr>
                    <w:t>。</w:t>
                  </w:r>
                </w:p>
              </w:tc>
              <w:tc>
                <w:tcPr>
                  <w:tcW w:w="2770" w:type="dxa"/>
                  <w:noWrap w:val="0"/>
                  <w:vAlign w:val="center"/>
                </w:tcPr>
                <w:p>
                  <w:pPr>
                    <w:pStyle w:val="40"/>
                    <w:bidi w:val="0"/>
                    <w:jc w:val="both"/>
                    <w:rPr>
                      <w:rFonts w:hint="default"/>
                      <w:lang w:val="en-US" w:eastAsia="zh-CN"/>
                    </w:rPr>
                  </w:pPr>
                  <w:r>
                    <w:rPr>
                      <w:rFonts w:hint="eastAsia"/>
                      <w:lang w:val="en-US" w:eastAsia="zh-CN"/>
                    </w:rPr>
                    <w:t>生活垃圾分类收集，定期清运；除尘灰回用于生产，废布袋定期由设备厂家进行回收处理；废润滑油、废润滑油桶暂存于危废贮存点，定期交由有资质单位进行无害化处置。</w:t>
                  </w:r>
                </w:p>
              </w:tc>
              <w:tc>
                <w:tcPr>
                  <w:tcW w:w="715" w:type="dxa"/>
                  <w:noWrap w:val="0"/>
                  <w:vAlign w:val="center"/>
                </w:tcPr>
                <w:p>
                  <w:pPr>
                    <w:pStyle w:val="40"/>
                    <w:bidi w:val="0"/>
                    <w:jc w:val="both"/>
                    <w:rPr>
                      <w:rFonts w:hint="default"/>
                      <w:lang w:val="en-US" w:eastAsia="zh-CN"/>
                    </w:rPr>
                  </w:pPr>
                  <w:r>
                    <w:rPr>
                      <w:rFonts w:hint="eastAsia"/>
                      <w:lang w:val="en-US" w:eastAsia="zh-CN"/>
                    </w:rPr>
                    <w:t>符合</w:t>
                  </w:r>
                </w:p>
              </w:tc>
            </w:tr>
          </w:tbl>
          <w:p>
            <w:pPr>
              <w:pStyle w:val="2"/>
              <w:bidi w:val="0"/>
              <w:rPr>
                <w:rFonts w:hint="eastAsia"/>
                <w:lang w:val="en-US" w:eastAsia="zh-CN"/>
              </w:rPr>
            </w:pPr>
            <w:r>
              <w:rPr>
                <w:rFonts w:hint="eastAsia"/>
                <w:lang w:val="en-US" w:eastAsia="zh-CN"/>
              </w:rPr>
              <w:t>5.环境管理政策分析</w:t>
            </w:r>
          </w:p>
          <w:p>
            <w:pPr>
              <w:pStyle w:val="8"/>
              <w:bidi w:val="0"/>
              <w:rPr>
                <w:rFonts w:hint="eastAsia"/>
                <w:lang w:val="en-US" w:eastAsia="zh-CN"/>
              </w:rPr>
            </w:pPr>
            <w:r>
              <w:rPr>
                <w:rFonts w:hint="eastAsia"/>
                <w:lang w:val="en-US" w:eastAsia="zh-CN"/>
              </w:rPr>
              <w:t>本项目环境管理政策分析见下表。</w:t>
            </w:r>
          </w:p>
          <w:p>
            <w:pPr>
              <w:pStyle w:val="42"/>
              <w:bidi w:val="0"/>
              <w:rPr>
                <w:rFonts w:hint="default"/>
                <w:highlight w:val="none"/>
                <w:lang w:val="en-US" w:eastAsia="zh-CN"/>
              </w:rPr>
            </w:pPr>
            <w:r>
              <w:rPr>
                <w:rFonts w:hint="eastAsia"/>
                <w:highlight w:val="none"/>
                <w:lang w:val="en-US" w:eastAsia="zh-CN"/>
              </w:rPr>
              <w:t>表1-4    环境管理政策符合性分析</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2389"/>
              <w:gridCol w:w="2424"/>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highlight w:val="none"/>
                      <w:lang w:val="en-US" w:eastAsia="zh-CN"/>
                    </w:rPr>
                    <w:t>文件</w:t>
                  </w:r>
                </w:p>
              </w:tc>
              <w:tc>
                <w:tcPr>
                  <w:tcW w:w="168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highlight w:val="none"/>
                    </w:rPr>
                  </w:pPr>
                  <w:r>
                    <w:rPr>
                      <w:rFonts w:hint="default"/>
                      <w:highlight w:val="none"/>
                    </w:rPr>
                    <w:t>环境管理政策要求</w:t>
                  </w:r>
                </w:p>
              </w:tc>
              <w:tc>
                <w:tcPr>
                  <w:tcW w:w="1705"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本项目情况</w:t>
                  </w:r>
                </w:p>
              </w:tc>
              <w:tc>
                <w:tcPr>
                  <w:tcW w:w="473"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w:t>
                  </w:r>
                  <w:r>
                    <w:rPr>
                      <w:rFonts w:hint="eastAsia"/>
                      <w:lang w:eastAsia="zh-CN"/>
                    </w:rPr>
                    <w:t>中华人民共和国</w:t>
                  </w:r>
                  <w:r>
                    <w:rPr>
                      <w:rFonts w:hint="eastAsia"/>
                    </w:rPr>
                    <w:t>大气污染防治法》</w:t>
                  </w:r>
                  <w:r>
                    <w:rPr>
                      <w:rFonts w:hint="eastAsia"/>
                      <w:lang w:eastAsia="zh-CN"/>
                    </w:rPr>
                    <w:t>（</w:t>
                  </w:r>
                  <w:r>
                    <w:rPr>
                      <w:rFonts w:hint="eastAsia"/>
                      <w:lang w:val="en-US" w:eastAsia="zh-CN"/>
                    </w:rPr>
                    <w:t>2018-11-13</w:t>
                  </w:r>
                  <w:r>
                    <w:rPr>
                      <w:rFonts w:hint="eastAsia"/>
                      <w:lang w:eastAsia="zh-CN"/>
                    </w:rPr>
                    <w:t>）</w:t>
                  </w:r>
                </w:p>
              </w:tc>
              <w:tc>
                <w:tcPr>
                  <w:tcW w:w="1680"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eastAsia"/>
                      <w:lang w:eastAsia="zh-CN"/>
                    </w:rPr>
                  </w:pPr>
                  <w:r>
                    <w:rPr>
                      <w:rFonts w:hint="eastAsia"/>
                    </w:rPr>
                    <w:t>第七条：企业事业单位和其他生产经营者，应当采取有效措施，防止、减少大气污染，对所造成的损害依法承担责任</w:t>
                  </w:r>
                  <w:r>
                    <w:rPr>
                      <w:rFonts w:hint="eastAsia"/>
                      <w:lang w:eastAsia="zh-CN"/>
                    </w:rPr>
                    <w:t>。</w:t>
                  </w:r>
                </w:p>
              </w:tc>
              <w:tc>
                <w:tcPr>
                  <w:tcW w:w="1705"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eastAsia"/>
                      <w:lang w:eastAsia="zh-CN"/>
                    </w:rPr>
                  </w:pPr>
                  <w:r>
                    <w:rPr>
                      <w:rFonts w:hint="default"/>
                    </w:rPr>
                    <w:t>本项目生产过程中产生的颗粒物经袋式除尘器处理后经15m高排气筒进行达标排放</w:t>
                  </w:r>
                  <w:r>
                    <w:rPr>
                      <w:rFonts w:hint="eastAsia"/>
                      <w:lang w:eastAsia="zh-CN"/>
                    </w:rPr>
                    <w:t>。</w:t>
                  </w:r>
                </w:p>
              </w:tc>
              <w:tc>
                <w:tcPr>
                  <w:tcW w:w="473"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《中华人民共和国噪声污染防治法》</w:t>
                  </w:r>
                  <w:r>
                    <w:rPr>
                      <w:rFonts w:hint="eastAsia"/>
                      <w:lang w:eastAsia="zh-CN"/>
                    </w:rPr>
                    <w:t>（</w:t>
                  </w:r>
                  <w:r>
                    <w:rPr>
                      <w:rFonts w:hint="eastAsia"/>
                      <w:lang w:val="en-US" w:eastAsia="zh-CN"/>
                    </w:rPr>
                    <w:t>2021-12-25</w:t>
                  </w:r>
                  <w:r>
                    <w:rPr>
                      <w:rFonts w:hint="eastAsia"/>
                      <w:lang w:eastAsia="zh-CN"/>
                    </w:rPr>
                    <w:t>）</w:t>
                  </w:r>
                </w:p>
              </w:tc>
              <w:tc>
                <w:tcPr>
                  <w:tcW w:w="1680"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rPr>
                  </w:pPr>
                  <w:r>
                    <w:rPr>
                      <w:rFonts w:hint="default"/>
                    </w:rPr>
                    <w:t>第三十六条</w:t>
                  </w:r>
                  <w:r>
                    <w:rPr>
                      <w:rFonts w:hint="eastAsia"/>
                      <w:lang w:eastAsia="zh-CN"/>
                    </w:rPr>
                    <w:t>：</w:t>
                  </w:r>
                  <w:r>
                    <w:rPr>
                      <w:rFonts w:hint="default"/>
                    </w:rPr>
                    <w:t>排放工业噪声的企业事业单位和其他生产经营者，应当采取有效措施，减少振动、降低噪声，依法取得排污许可证或者填报排污登记表。</w:t>
                  </w:r>
                </w:p>
              </w:tc>
              <w:tc>
                <w:tcPr>
                  <w:tcW w:w="1705"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default"/>
                    </w:rPr>
                    <w:t>对各类主要噪声源采用低噪声源设备、并采取减振、隔声等措施</w:t>
                  </w:r>
                  <w:r>
                    <w:rPr>
                      <w:rFonts w:hint="eastAsia"/>
                      <w:lang w:eastAsia="zh-CN"/>
                    </w:rPr>
                    <w:t>，</w:t>
                  </w:r>
                  <w:r>
                    <w:rPr>
                      <w:rFonts w:hint="eastAsia"/>
                      <w:lang w:val="en-US" w:eastAsia="zh-CN"/>
                    </w:rPr>
                    <w:t>可正常使用，符合相关标准。企业在生产前完成排污许可证的申请。</w:t>
                  </w:r>
                </w:p>
              </w:tc>
              <w:tc>
                <w:tcPr>
                  <w:tcW w:w="473"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《中华人民共和国固体废物污染环境防治法》</w:t>
                  </w:r>
                  <w:r>
                    <w:rPr>
                      <w:rFonts w:hint="eastAsia"/>
                      <w:lang w:eastAsia="zh-CN"/>
                    </w:rPr>
                    <w:t>（</w:t>
                  </w:r>
                  <w:r>
                    <w:rPr>
                      <w:rFonts w:hint="eastAsia"/>
                      <w:lang w:val="en-US" w:eastAsia="zh-CN"/>
                    </w:rPr>
                    <w:t>2020-04-30</w:t>
                  </w:r>
                  <w:r>
                    <w:rPr>
                      <w:rFonts w:hint="eastAsia"/>
                      <w:lang w:eastAsia="zh-CN"/>
                    </w:rPr>
                    <w:t>）</w:t>
                  </w:r>
                </w:p>
              </w:tc>
              <w:tc>
                <w:tcPr>
                  <w:tcW w:w="1680"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rPr>
                  </w:pPr>
                  <w:r>
                    <w:rPr>
                      <w:rFonts w:hint="eastAsia"/>
                    </w:rPr>
                    <w:t>第十九条：收集、贮存、运输、利用、处置固体废物的单位和其他生产经营者，应当加强对相关设施、设备和场所的管理和维护，保证其正常运行和使用。</w:t>
                  </w:r>
                </w:p>
              </w:tc>
              <w:tc>
                <w:tcPr>
                  <w:tcW w:w="1705"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本</w:t>
                  </w:r>
                  <w:r>
                    <w:rPr>
                      <w:rFonts w:hint="eastAsia"/>
                      <w:highlight w:val="none"/>
                      <w:lang w:val="en-US" w:eastAsia="zh-CN"/>
                    </w:rPr>
                    <w:t>项目</w:t>
                  </w:r>
                  <w:r>
                    <w:rPr>
                      <w:rFonts w:hint="eastAsia"/>
                      <w:highlight w:val="none"/>
                    </w:rPr>
                    <w:t>生活垃圾分类收集，定期清运；除尘</w:t>
                  </w:r>
                  <w:r>
                    <w:rPr>
                      <w:rFonts w:hint="eastAsia"/>
                      <w:highlight w:val="none"/>
                      <w:lang w:val="en-US" w:eastAsia="zh-CN"/>
                    </w:rPr>
                    <w:t>灰</w:t>
                  </w:r>
                  <w:r>
                    <w:rPr>
                      <w:rFonts w:hint="eastAsia"/>
                      <w:highlight w:val="none"/>
                    </w:rPr>
                    <w:t>回用于生产</w:t>
                  </w:r>
                  <w:r>
                    <w:rPr>
                      <w:rFonts w:hint="eastAsia"/>
                      <w:highlight w:val="none"/>
                      <w:lang w:eastAsia="zh-CN"/>
                    </w:rPr>
                    <w:t>，</w:t>
                  </w:r>
                  <w:r>
                    <w:rPr>
                      <w:rFonts w:hint="eastAsia"/>
                      <w:highlight w:val="none"/>
                      <w:lang w:val="en-US" w:eastAsia="zh-CN"/>
                    </w:rPr>
                    <w:t>废布袋定期由设备厂家进行回收处理；废润滑油、废润滑油桶暂存于危废贮存点，定期交由有资质单位进行无害化处置</w:t>
                  </w:r>
                  <w:r>
                    <w:rPr>
                      <w:rFonts w:hint="eastAsia"/>
                      <w:lang w:eastAsia="zh-CN"/>
                    </w:rPr>
                    <w:t>。</w:t>
                  </w:r>
                </w:p>
              </w:tc>
              <w:tc>
                <w:tcPr>
                  <w:tcW w:w="473"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《中华人民共和国水污染防治法》</w:t>
                  </w:r>
                  <w:r>
                    <w:rPr>
                      <w:rFonts w:hint="eastAsia"/>
                      <w:lang w:eastAsia="zh-CN"/>
                    </w:rPr>
                    <w:t>（</w:t>
                  </w:r>
                  <w:r>
                    <w:rPr>
                      <w:rFonts w:hint="eastAsia"/>
                      <w:lang w:val="en-US" w:eastAsia="zh-CN"/>
                    </w:rPr>
                    <w:t>2018-01-01</w:t>
                  </w:r>
                  <w:r>
                    <w:rPr>
                      <w:rFonts w:hint="eastAsia"/>
                      <w:lang w:eastAsia="zh-CN"/>
                    </w:rPr>
                    <w:t>）</w:t>
                  </w:r>
                </w:p>
              </w:tc>
              <w:tc>
                <w:tcPr>
                  <w:tcW w:w="1680"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rPr>
                  </w:pPr>
                  <w:r>
                    <w:rPr>
                      <w:rFonts w:hint="eastAsia"/>
                    </w:rPr>
                    <w:t>第五十条</w:t>
                  </w:r>
                  <w:r>
                    <w:rPr>
                      <w:rFonts w:hint="eastAsia"/>
                      <w:lang w:eastAsia="zh-CN"/>
                    </w:rPr>
                    <w:t>：</w:t>
                  </w:r>
                  <w:r>
                    <w:rPr>
                      <w:rFonts w:hint="eastAsia"/>
                    </w:rPr>
                    <w:t>向城镇污水集中处理设施排放水污染物，应当符合国家或者地方规定的水污染物排放标准。</w:t>
                  </w:r>
                </w:p>
              </w:tc>
              <w:tc>
                <w:tcPr>
                  <w:tcW w:w="1705"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本项目生活污水经化粪池处理后拉运至若羌县城乡污水处理厂进行集中处理。</w:t>
                  </w:r>
                </w:p>
              </w:tc>
              <w:tc>
                <w:tcPr>
                  <w:tcW w:w="473"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《新疆维吾尔自治区2025年</w:t>
                  </w:r>
                </w:p>
                <w:p>
                  <w:pPr>
                    <w:pStyle w:val="40"/>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空气质量持续改善行动实施方案》</w:t>
                  </w:r>
                </w:p>
              </w:tc>
              <w:tc>
                <w:tcPr>
                  <w:tcW w:w="1680"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eastAsia"/>
                      <w:lang w:eastAsia="zh-CN"/>
                    </w:rPr>
                  </w:pPr>
                  <w:r>
                    <w:rPr>
                      <w:rFonts w:hint="eastAsia"/>
                      <w:lang w:eastAsia="zh-CN"/>
                    </w:rPr>
                    <w:t>（一）坚决遏制高耗能、高排放、低水平项目盲目上马。（</w:t>
                  </w:r>
                  <w:r>
                    <w:rPr>
                      <w:rFonts w:hint="eastAsia"/>
                      <w:lang w:val="en-US" w:eastAsia="zh-CN"/>
                    </w:rPr>
                    <w:t>二</w:t>
                  </w:r>
                  <w:r>
                    <w:rPr>
                      <w:rFonts w:hint="eastAsia"/>
                      <w:lang w:eastAsia="zh-CN"/>
                    </w:rPr>
                    <w:t>）持续开展重点行业污染深度治理。高质量推进钢铁、水泥、焦化等行业超低排放改造，到2025年底，全区钢铁行业80%的产能完成超低排放改造，联防联控区水泥、焦化行业基本完成超低排放改造。</w:t>
                  </w:r>
                </w:p>
              </w:tc>
              <w:tc>
                <w:tcPr>
                  <w:tcW w:w="1705"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lang w:val="en-US"/>
                    </w:rPr>
                  </w:pPr>
                  <w:r>
                    <w:rPr>
                      <w:rFonts w:hint="eastAsia"/>
                      <w:lang w:val="en-US" w:eastAsia="zh-CN"/>
                    </w:rPr>
                    <w:t>本项目为水泥制品制造，不属于高耗能、高排放、低水平项目。</w:t>
                  </w:r>
                </w:p>
              </w:tc>
              <w:tc>
                <w:tcPr>
                  <w:tcW w:w="473"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《巴音郭楞蒙古自治州大气污染防治</w:t>
                  </w:r>
                  <w:r>
                    <w:rPr>
                      <w:rFonts w:hint="eastAsia"/>
                      <w:lang w:val="en-US" w:eastAsia="zh-CN"/>
                    </w:rPr>
                    <w:t>办</w:t>
                  </w:r>
                  <w:r>
                    <w:rPr>
                      <w:rFonts w:hint="eastAsia"/>
                    </w:rPr>
                    <w:t>法》</w:t>
                  </w:r>
                  <w:r>
                    <w:rPr>
                      <w:rFonts w:hint="eastAsia"/>
                      <w:lang w:eastAsia="zh-CN"/>
                    </w:rPr>
                    <w:t>（</w:t>
                  </w:r>
                  <w:r>
                    <w:rPr>
                      <w:rFonts w:hint="eastAsia"/>
                      <w:lang w:val="en-US" w:eastAsia="zh-CN"/>
                    </w:rPr>
                    <w:t>2019年10月1日起施行</w:t>
                  </w:r>
                  <w:r>
                    <w:rPr>
                      <w:rFonts w:hint="eastAsia"/>
                      <w:lang w:eastAsia="zh-CN"/>
                    </w:rPr>
                    <w:t>）</w:t>
                  </w:r>
                </w:p>
              </w:tc>
              <w:tc>
                <w:tcPr>
                  <w:tcW w:w="1680"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rPr>
                  </w:pPr>
                  <w:r>
                    <w:rPr>
                      <w:rFonts w:hint="eastAsia"/>
                    </w:rPr>
                    <w:t>第十八条</w:t>
                  </w:r>
                  <w:r>
                    <w:rPr>
                      <w:rFonts w:hint="eastAsia"/>
                      <w:lang w:eastAsia="zh-CN"/>
                    </w:rPr>
                    <w:t>：</w:t>
                  </w:r>
                  <w:r>
                    <w:rPr>
                      <w:rFonts w:hint="eastAsia"/>
                    </w:rPr>
                    <w:t>堆放易产生扬尘污染物料的堆场以及预拌混凝土和预拌砂浆等生产企业应当符合下列要求：</w:t>
                  </w:r>
                </w:p>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rPr>
                  </w:pPr>
                  <w:r>
                    <w:rPr>
                      <w:rFonts w:hint="eastAsia"/>
                      <w:lang w:eastAsia="zh-CN"/>
                    </w:rPr>
                    <w:t>（</w:t>
                  </w:r>
                  <w:r>
                    <w:rPr>
                      <w:rFonts w:hint="default"/>
                    </w:rPr>
                    <w:t>一</w:t>
                  </w:r>
                  <w:r>
                    <w:rPr>
                      <w:rFonts w:hint="eastAsia"/>
                      <w:lang w:eastAsia="zh-CN"/>
                    </w:rPr>
                    <w:t>）</w:t>
                  </w:r>
                  <w:r>
                    <w:rPr>
                      <w:rFonts w:hint="default"/>
                    </w:rPr>
                    <w:t>采用围挡或者其他封闭仓储设施</w:t>
                  </w:r>
                  <w:r>
                    <w:rPr>
                      <w:rFonts w:hint="eastAsia"/>
                    </w:rPr>
                    <w:t>，</w:t>
                  </w:r>
                  <w:r>
                    <w:rPr>
                      <w:rFonts w:hint="default"/>
                    </w:rPr>
                    <w:t>配备喷淋或者其他抑尘设备</w:t>
                  </w:r>
                  <w:r>
                    <w:rPr>
                      <w:rFonts w:hint="eastAsia"/>
                    </w:rPr>
                    <w:t>；</w:t>
                  </w:r>
                  <w:r>
                    <w:rPr>
                      <w:rFonts w:hint="eastAsia"/>
                      <w:lang w:eastAsia="zh-CN"/>
                    </w:rPr>
                    <w:t>（</w:t>
                  </w:r>
                  <w:r>
                    <w:rPr>
                      <w:rFonts w:hint="default"/>
                    </w:rPr>
                    <w:t>二</w:t>
                  </w:r>
                  <w:r>
                    <w:rPr>
                      <w:rFonts w:hint="eastAsia"/>
                      <w:lang w:eastAsia="zh-CN"/>
                    </w:rPr>
                    <w:t>）</w:t>
                  </w:r>
                  <w:r>
                    <w:rPr>
                      <w:rFonts w:hint="default"/>
                    </w:rPr>
                    <w:t>生产用原料需要频繁装卸作业的</w:t>
                  </w:r>
                  <w:r>
                    <w:rPr>
                      <w:rFonts w:hint="eastAsia"/>
                    </w:rPr>
                    <w:t>，</w:t>
                  </w:r>
                  <w:r>
                    <w:rPr>
                      <w:rFonts w:hint="default"/>
                    </w:rPr>
                    <w:t>在密闭车间进行</w:t>
                  </w:r>
                  <w:r>
                    <w:rPr>
                      <w:rFonts w:hint="eastAsia"/>
                    </w:rPr>
                    <w:t>，</w:t>
                  </w:r>
                  <w:r>
                    <w:rPr>
                      <w:rFonts w:hint="default"/>
                    </w:rPr>
                    <w:t>堆场露天装卸作业的</w:t>
                  </w:r>
                  <w:r>
                    <w:rPr>
                      <w:rFonts w:hint="eastAsia"/>
                    </w:rPr>
                    <w:t>，</w:t>
                  </w:r>
                  <w:r>
                    <w:rPr>
                      <w:rFonts w:hint="default"/>
                    </w:rPr>
                    <w:t>采取洒水等抑尘措施</w:t>
                  </w:r>
                  <w:r>
                    <w:rPr>
                      <w:rFonts w:hint="eastAsia"/>
                    </w:rPr>
                    <w:t>；</w:t>
                  </w:r>
                  <w:r>
                    <w:rPr>
                      <w:rFonts w:hint="eastAsia"/>
                      <w:lang w:eastAsia="zh-CN"/>
                    </w:rPr>
                    <w:t>（</w:t>
                  </w:r>
                  <w:r>
                    <w:rPr>
                      <w:rFonts w:hint="default"/>
                    </w:rPr>
                    <w:t>三</w:t>
                  </w:r>
                  <w:r>
                    <w:rPr>
                      <w:rFonts w:hint="eastAsia"/>
                      <w:lang w:eastAsia="zh-CN"/>
                    </w:rPr>
                    <w:t>）</w:t>
                  </w:r>
                  <w:r>
                    <w:rPr>
                      <w:rFonts w:hint="default"/>
                    </w:rPr>
                    <w:t>采用密闭输送设备作业的</w:t>
                  </w:r>
                  <w:r>
                    <w:rPr>
                      <w:rFonts w:hint="eastAsia"/>
                    </w:rPr>
                    <w:t>，</w:t>
                  </w:r>
                  <w:r>
                    <w:rPr>
                      <w:rFonts w:hint="default"/>
                    </w:rPr>
                    <w:t>在装料､卸料处配备吸尘</w:t>
                  </w:r>
                  <w:r>
                    <w:rPr>
                      <w:rFonts w:hint="eastAsia"/>
                    </w:rPr>
                    <w:t>、</w:t>
                  </w:r>
                  <w:r>
                    <w:rPr>
                      <w:rFonts w:hint="default"/>
                    </w:rPr>
                    <w:t>喷淋等防尘设施</w:t>
                  </w:r>
                  <w:r>
                    <w:rPr>
                      <w:rFonts w:hint="eastAsia"/>
                    </w:rPr>
                    <w:t>，</w:t>
                  </w:r>
                  <w:r>
                    <w:rPr>
                      <w:rFonts w:hint="default"/>
                    </w:rPr>
                    <w:t>并保持防尘设施的正常使用。</w:t>
                  </w:r>
                </w:p>
              </w:tc>
              <w:tc>
                <w:tcPr>
                  <w:tcW w:w="1705"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rPr>
                    <w:t>本项目</w:t>
                  </w:r>
                  <w:r>
                    <w:rPr>
                      <w:rFonts w:hint="default"/>
                    </w:rPr>
                    <w:t>原料堆放在</w:t>
                  </w:r>
                  <w:r>
                    <w:rPr>
                      <w:rFonts w:hint="eastAsia"/>
                      <w:lang w:val="en-US" w:eastAsia="zh-CN"/>
                    </w:rPr>
                    <w:t>半</w:t>
                  </w:r>
                  <w:r>
                    <w:rPr>
                      <w:rFonts w:hint="default"/>
                    </w:rPr>
                    <w:t>封闭式物料仓库</w:t>
                  </w:r>
                  <w:r>
                    <w:rPr>
                      <w:rFonts w:hint="eastAsia"/>
                    </w:rPr>
                    <w:t>内</w:t>
                  </w:r>
                  <w:r>
                    <w:rPr>
                      <w:rFonts w:hint="eastAsia"/>
                      <w:lang w:eastAsia="zh-CN"/>
                    </w:rPr>
                    <w:t>，</w:t>
                  </w:r>
                  <w:r>
                    <w:rPr>
                      <w:rFonts w:hint="eastAsia"/>
                      <w:lang w:val="en-US" w:eastAsia="zh-CN"/>
                    </w:rPr>
                    <w:t>定时洒水；水泥、粉煤灰、矿粉入料仓时产生的粉尘经仓顶脉冲式布袋除尘器处理后无组织排放；投料口采用围挡+洒水抑尘控制粉尘无组织逸散；搅拌</w:t>
                  </w:r>
                  <w:r>
                    <w:rPr>
                      <w:rFonts w:hint="eastAsia"/>
                      <w:lang w:eastAsia="zh-CN"/>
                    </w:rPr>
                    <w:t>过程中产生的颗粒物经袋式除尘器处理后经15m高排气筒进行达标排放。</w:t>
                  </w:r>
                </w:p>
              </w:tc>
              <w:tc>
                <w:tcPr>
                  <w:tcW w:w="473"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eastAsia"/>
                    </w:rPr>
                  </w:pPr>
                  <w:r>
                    <w:rPr>
                      <w:rFonts w:hint="default"/>
                      <w:lang w:val="en-US" w:eastAsia="zh-CN"/>
                    </w:rPr>
                    <w:t>《自治州大气污染防治三年攻坚行动方案</w:t>
                  </w:r>
                  <w:r>
                    <w:rPr>
                      <w:rFonts w:hint="eastAsia"/>
                      <w:lang w:val="en-US" w:eastAsia="zh-CN"/>
                    </w:rPr>
                    <w:t>》（2023-2025年）</w:t>
                  </w:r>
                </w:p>
              </w:tc>
              <w:tc>
                <w:tcPr>
                  <w:tcW w:w="1680"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严格项目准入关。坚决遏制高耗能、高排放、低水平项目盲目发展，严把高耗能高排放项目准入关口，依法依规淘汰落后产能和化解过剩产能。严禁新增水泥熟料、平板玻璃等产能。</w:t>
                  </w:r>
                </w:p>
              </w:tc>
              <w:tc>
                <w:tcPr>
                  <w:tcW w:w="1705"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rPr>
                  </w:pPr>
                  <w:r>
                    <w:rPr>
                      <w:rFonts w:hint="default"/>
                      <w:lang w:val="en-US" w:eastAsia="zh-CN"/>
                    </w:rPr>
                    <w:t>本工程不属于《产业结构调整指导目录（2024年本）》中鼓励类、限制类与淘汰类，为允许类</w:t>
                  </w:r>
                  <w:r>
                    <w:rPr>
                      <w:rFonts w:hint="eastAsia"/>
                      <w:lang w:val="en-US" w:eastAsia="zh-CN"/>
                    </w:rPr>
                    <w:t>；不属于高耗水、高污染、高耗能项目。</w:t>
                  </w:r>
                </w:p>
              </w:tc>
              <w:tc>
                <w:tcPr>
                  <w:tcW w:w="473"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rPr>
                  </w:pPr>
                  <w:r>
                    <w:rPr>
                      <w:rFonts w:hint="eastAsia"/>
                      <w:lang w:val="en-US" w:eastAsia="zh-CN"/>
                    </w:rPr>
                    <w:t>《国务院关于印发空气质量持续改善行动计划的通知》（国发</w:t>
                  </w:r>
                  <w:r>
                    <w:rPr>
                      <w:rFonts w:hint="default"/>
                      <w:lang w:val="en-US" w:eastAsia="zh-CN"/>
                    </w:rPr>
                    <w:t>〔2023〕24</w:t>
                  </w:r>
                  <w:r>
                    <w:rPr>
                      <w:rFonts w:hint="eastAsia"/>
                      <w:lang w:val="en-US" w:eastAsia="zh-CN"/>
                    </w:rPr>
                    <w:t>号）</w:t>
                  </w:r>
                </w:p>
              </w:tc>
              <w:tc>
                <w:tcPr>
                  <w:tcW w:w="1680"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rPr>
                  </w:pPr>
                  <w:r>
                    <w:rPr>
                      <w:rFonts w:hint="default"/>
                    </w:rPr>
                    <w:t>（四）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1705"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rPr>
                  </w:pPr>
                  <w:r>
                    <w:rPr>
                      <w:rFonts w:hint="default"/>
                    </w:rPr>
                    <w:t>本项目</w:t>
                  </w:r>
                  <w:r>
                    <w:rPr>
                      <w:rFonts w:hint="eastAsia"/>
                      <w:lang w:val="en-US" w:eastAsia="zh-CN"/>
                    </w:rPr>
                    <w:t>为水泥制品制造，不属于高耗能、高排放、低水平项目</w:t>
                  </w:r>
                  <w:r>
                    <w:rPr>
                      <w:rFonts w:hint="default"/>
                    </w:rPr>
                    <w:t>。</w:t>
                  </w:r>
                </w:p>
              </w:tc>
              <w:tc>
                <w:tcPr>
                  <w:tcW w:w="473"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《工业料堆场扬尘整治规范》（DB65∕T4061-2017）</w:t>
                  </w:r>
                </w:p>
              </w:tc>
              <w:tc>
                <w:tcPr>
                  <w:tcW w:w="1680"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对于Ⅱ类堆场，</w:t>
                  </w:r>
                  <w:r>
                    <w:rPr>
                      <w:rFonts w:hint="eastAsia" w:cs="Times New Roman"/>
                      <w:lang w:val="en-US" w:eastAsia="zh-CN"/>
                    </w:rPr>
                    <w:t>除选取（5）和（6）两种措施之一外，根据物料特性还应至少选取a、b、c和d四种防治措施之一</w:t>
                  </w:r>
                  <w:r>
                    <w:rPr>
                      <w:rFonts w:hint="default" w:ascii="Times New Roman" w:hAnsi="Times New Roman" w:cs="Times New Roman"/>
                      <w:lang w:val="en-US" w:eastAsia="zh-CN"/>
                    </w:rPr>
                    <w:t>。</w:t>
                  </w:r>
                </w:p>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default" w:ascii="Times New Roman" w:hAnsi="Times New Roman" w:cs="Times New Roman"/>
                      <w:lang w:val="en-US" w:eastAsia="zh-CN"/>
                    </w:rPr>
                    <w:t>（</w:t>
                  </w:r>
                  <w:r>
                    <w:rPr>
                      <w:rFonts w:hint="eastAsia" w:cs="Times New Roman"/>
                      <w:lang w:val="en-US" w:eastAsia="zh-CN"/>
                    </w:rPr>
                    <w:t>5</w:t>
                  </w:r>
                  <w:r>
                    <w:rPr>
                      <w:rFonts w:hint="default" w:ascii="Times New Roman" w:hAnsi="Times New Roman" w:cs="Times New Roman"/>
                      <w:lang w:val="en-US" w:eastAsia="zh-CN"/>
                    </w:rPr>
                    <w:t>）</w:t>
                  </w:r>
                  <w:r>
                    <w:rPr>
                      <w:rFonts w:hint="eastAsia" w:cs="Times New Roman"/>
                      <w:lang w:val="en-US" w:eastAsia="zh-CN"/>
                    </w:rPr>
                    <w:t>半封闭仓库</w:t>
                  </w:r>
                  <w:r>
                    <w:rPr>
                      <w:rFonts w:hint="default" w:ascii="Times New Roman" w:hAnsi="Times New Roman" w:cs="Times New Roman"/>
                      <w:lang w:val="en-US" w:eastAsia="zh-CN"/>
                    </w:rPr>
                    <w:t>；（</w:t>
                  </w:r>
                  <w:r>
                    <w:rPr>
                      <w:rFonts w:hint="eastAsia" w:cs="Times New Roman"/>
                      <w:lang w:val="en-US" w:eastAsia="zh-CN"/>
                    </w:rPr>
                    <w:t>6</w:t>
                  </w:r>
                  <w:r>
                    <w:rPr>
                      <w:rFonts w:hint="default" w:ascii="Times New Roman" w:hAnsi="Times New Roman" w:cs="Times New Roman"/>
                      <w:lang w:val="en-US" w:eastAsia="zh-CN"/>
                    </w:rPr>
                    <w:t>）</w:t>
                  </w:r>
                  <w:r>
                    <w:rPr>
                      <w:rFonts w:hint="eastAsia" w:cs="Times New Roman"/>
                      <w:lang w:val="en-US" w:eastAsia="zh-CN"/>
                    </w:rPr>
                    <w:t>防风抑尘网（墙）</w:t>
                  </w:r>
                  <w:r>
                    <w:rPr>
                      <w:rFonts w:hint="default" w:ascii="Times New Roman" w:hAnsi="Times New Roman" w:cs="Times New Roman"/>
                      <w:lang w:val="en-US" w:eastAsia="zh-CN"/>
                    </w:rPr>
                    <w:t>；</w:t>
                  </w:r>
                  <w:r>
                    <w:rPr>
                      <w:rFonts w:hint="eastAsia" w:cs="Times New Roman"/>
                      <w:lang w:val="en-US" w:eastAsia="zh-CN"/>
                    </w:rPr>
                    <w:t>a）喷洒水，b）覆盖，c）喷洒抑尘剂，d）干雾抑尘</w:t>
                  </w:r>
                  <w:r>
                    <w:rPr>
                      <w:rFonts w:hint="default" w:ascii="Times New Roman" w:hAnsi="Times New Roman" w:cs="Times New Roman"/>
                      <w:lang w:val="en-US" w:eastAsia="zh-CN"/>
                    </w:rPr>
                    <w:t>。</w:t>
                  </w:r>
                </w:p>
              </w:tc>
              <w:tc>
                <w:tcPr>
                  <w:tcW w:w="1705" w:type="pct"/>
                  <w:noWrap w:val="0"/>
                  <w:vAlign w:val="center"/>
                </w:tcPr>
                <w:p>
                  <w:pPr>
                    <w:pStyle w:val="40"/>
                    <w:keepNext w:val="0"/>
                    <w:keepLines w:val="0"/>
                    <w:pageBreakBefore w:val="0"/>
                    <w:widowControl w:val="0"/>
                    <w:kinsoku/>
                    <w:wordWrap/>
                    <w:overflowPunct/>
                    <w:topLinePunct w:val="0"/>
                    <w:autoSpaceDE/>
                    <w:autoSpaceDN/>
                    <w:bidi w:val="0"/>
                    <w:adjustRightInd/>
                    <w:snapToGrid/>
                    <w:jc w:val="both"/>
                    <w:textAlignment w:val="auto"/>
                    <w:rPr>
                      <w:rFonts w:hint="default" w:eastAsia="宋体"/>
                      <w:vertAlign w:val="baseline"/>
                      <w:lang w:val="en-US" w:eastAsia="zh-CN"/>
                    </w:rPr>
                  </w:pPr>
                  <w:r>
                    <w:rPr>
                      <w:rFonts w:hint="eastAsia"/>
                      <w:lang w:val="en-US" w:eastAsia="zh-CN"/>
                    </w:rPr>
                    <w:t>本项目原料库房属于小型堆场，所在若羌县年平均风速为2～4m/s。储存原料主要为粗砂及碎石（粒径0.6～10mm），堆场类别为</w:t>
                  </w:r>
                  <w:r>
                    <w:rPr>
                      <w:rFonts w:hint="default" w:ascii="Times New Roman" w:hAnsi="Times New Roman" w:eastAsia="微软雅黑" w:cs="Times New Roman"/>
                      <w:lang w:val="en-US" w:eastAsia="zh-CN"/>
                    </w:rPr>
                    <w:t>Ⅱ</w:t>
                  </w:r>
                  <w:r>
                    <w:rPr>
                      <w:rFonts w:hint="default" w:ascii="Times New Roman" w:hAnsi="Times New Roman" w:cs="Times New Roman"/>
                      <w:lang w:val="en-US" w:eastAsia="zh-CN"/>
                    </w:rPr>
                    <w:t>类堆</w:t>
                  </w:r>
                  <w:r>
                    <w:rPr>
                      <w:rFonts w:hint="eastAsia"/>
                      <w:lang w:val="en-US" w:eastAsia="zh-CN"/>
                    </w:rPr>
                    <w:t>场。原料仓库采用半封闭仓库+洒水抑尘，粉尘无组织排放得到有效控制，符合相关要求。</w:t>
                  </w:r>
                </w:p>
              </w:tc>
              <w:tc>
                <w:tcPr>
                  <w:tcW w:w="473" w:type="pct"/>
                  <w:noWrap w:val="0"/>
                  <w:vAlign w:val="center"/>
                </w:tcPr>
                <w:p>
                  <w:pPr>
                    <w:pStyle w:val="40"/>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符合</w:t>
                  </w:r>
                </w:p>
              </w:tc>
            </w:tr>
          </w:tbl>
          <w:p>
            <w:pPr>
              <w:pStyle w:val="8"/>
              <w:bidi w:val="0"/>
              <w:ind w:left="0" w:leftChars="0" w:firstLine="0" w:firstLineChars="0"/>
              <w:rPr>
                <w:rFonts w:hint="default"/>
              </w:rPr>
            </w:pPr>
          </w:p>
        </w:tc>
      </w:tr>
    </w:tbl>
    <w:p>
      <w:pPr>
        <w:spacing w:line="360" w:lineRule="auto"/>
        <w:outlineLvl w:val="0"/>
        <w:rPr>
          <w:rFonts w:eastAsia="黑体"/>
          <w:sz w:val="30"/>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18"/>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3" w:type="dxa"/>
            <w:noWrap w:val="0"/>
            <w:vAlign w:val="center"/>
          </w:tcPr>
          <w:p>
            <w:pPr>
              <w:pStyle w:val="18"/>
              <w:keepLines w:val="0"/>
              <w:pageBreakBefore w:val="0"/>
              <w:kinsoku/>
              <w:wordWrap/>
              <w:topLinePunct w:val="0"/>
              <w:autoSpaceDE/>
              <w:autoSpaceDN/>
              <w:bidi w:val="0"/>
              <w:adjustRightInd w:val="0"/>
              <w:snapToGrid w:val="0"/>
              <w:spacing w:before="0" w:beforeAutospacing="0" w:after="0" w:afterAutospacing="0"/>
              <w:jc w:val="center"/>
              <w:textAlignment w:val="auto"/>
              <w:rPr>
                <w:rFonts w:cs="宋体"/>
                <w:sz w:val="21"/>
                <w:szCs w:val="21"/>
              </w:rPr>
            </w:pPr>
            <w:r>
              <w:rPr>
                <w:rFonts w:hint="eastAsia" w:cs="宋体"/>
                <w:sz w:val="21"/>
                <w:szCs w:val="21"/>
              </w:rPr>
              <w:t>建设内容</w:t>
            </w:r>
          </w:p>
        </w:tc>
        <w:tc>
          <w:tcPr>
            <w:tcW w:w="8161" w:type="dxa"/>
            <w:noWrap w:val="0"/>
            <w:vAlign w:val="top"/>
          </w:tcPr>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1.项目背景</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若羌—羚羊（花土沟东）750千伏输变电工程是国家“十四五”电力发展规划重点跨省电网项目，对完善西北电网结构意义重大。该工程新疆段需新建铁塔，混凝土需求量大，且途经高海拔区域，建设条件复杂。</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因工程选址偏远，周边无合格商品混凝土供应点，远距离运输易影响混凝土质量与供应时效，故设立本临时搅拌站。本项目为临时工程，工期约3个月，仅为该工程一段线路供应商品混凝土，该段线路完工后，本搅拌站将及时拆除。</w:t>
            </w:r>
          </w:p>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2.编制依据</w:t>
            </w:r>
          </w:p>
          <w:p>
            <w:pPr>
              <w:pStyle w:val="8"/>
              <w:keepLines w:val="0"/>
              <w:pageBreakBefore w:val="0"/>
              <w:kinsoku/>
              <w:wordWrap/>
              <w:topLinePunct w:val="0"/>
              <w:autoSpaceDE/>
              <w:autoSpaceDN/>
              <w:bidi w:val="0"/>
              <w:spacing w:beforeAutospacing="0" w:afterAutospacing="0"/>
              <w:textAlignment w:val="auto"/>
              <w:rPr>
                <w:rFonts w:hint="default"/>
              </w:rPr>
            </w:pPr>
            <w:r>
              <w:rPr>
                <w:rFonts w:hint="eastAsia"/>
              </w:rPr>
              <w:t>按照《中华人民共和国环境保护法</w:t>
            </w:r>
            <w:r>
              <w:rPr>
                <w:rFonts w:hint="eastAsia"/>
                <w:lang w:eastAsia="zh-CN"/>
              </w:rPr>
              <w:t>》《</w:t>
            </w:r>
            <w:r>
              <w:rPr>
                <w:rFonts w:hint="eastAsia"/>
              </w:rPr>
              <w:t>建设项目环境保护管理条例》和《建设项目环境影响评价分类管理名录》等有关</w:t>
            </w:r>
            <w:r>
              <w:rPr>
                <w:rFonts w:hint="eastAsia"/>
                <w:lang w:eastAsia="zh-CN"/>
              </w:rPr>
              <w:t>法律法规</w:t>
            </w:r>
            <w:r>
              <w:rPr>
                <w:rFonts w:hint="eastAsia"/>
              </w:rPr>
              <w:t>规定，项目属《名录》所列</w:t>
            </w:r>
            <w:r>
              <w:rPr>
                <w:rFonts w:hint="eastAsia"/>
                <w:lang w:eastAsia="zh-CN"/>
              </w:rPr>
              <w:t>“</w:t>
            </w:r>
            <w:r>
              <w:rPr>
                <w:rFonts w:hint="eastAsia"/>
                <w:lang w:val="en-US" w:eastAsia="zh-CN"/>
              </w:rPr>
              <w:t>二十七、非金属矿物制品业 30-石膏、水泥制品及类似制品制造302-商品混凝土”</w:t>
            </w:r>
            <w:r>
              <w:rPr>
                <w:rFonts w:hint="eastAsia"/>
              </w:rPr>
              <w:t>，应编制环境影响报告表</w:t>
            </w:r>
            <w:r>
              <w:rPr>
                <w:rFonts w:hint="default"/>
              </w:rPr>
              <w:t>。</w:t>
            </w:r>
            <w:r>
              <w:rPr>
                <w:rFonts w:hint="eastAsia"/>
              </w:rPr>
              <w:t>受建设单位委托，新疆领畅环保科技有限公司承担了本项目的环境影响评价工作。接受委托后，环评单位在现场踏勘和资料收集的基础上，编制完成了</w:t>
            </w:r>
            <w:r>
              <w:rPr>
                <w:rFonts w:hint="eastAsia"/>
                <w:highlight w:val="none"/>
              </w:rPr>
              <w:t>《</w:t>
            </w:r>
            <w:r>
              <w:rPr>
                <w:rFonts w:hint="eastAsia"/>
                <w:highlight w:val="none"/>
                <w:lang w:val="en-US" w:eastAsia="zh-CN"/>
              </w:rPr>
              <w:t>新疆锦帆商砼有限公司若羌—羚羊（花土沟东）750千伏输变电工程临时混凝土搅拌站建设项目</w:t>
            </w:r>
            <w:r>
              <w:rPr>
                <w:rFonts w:hint="eastAsia"/>
                <w:highlight w:val="none"/>
              </w:rPr>
              <w:t>环境影响报告表》</w:t>
            </w:r>
            <w:r>
              <w:rPr>
                <w:rFonts w:hint="eastAsia"/>
              </w:rPr>
              <w:t>，审批后作为</w:t>
            </w:r>
            <w:r>
              <w:rPr>
                <w:rFonts w:hint="eastAsia"/>
                <w:lang w:val="en-US" w:eastAsia="zh-CN"/>
              </w:rPr>
              <w:t>生态环境主管部门</w:t>
            </w:r>
            <w:r>
              <w:rPr>
                <w:rFonts w:hint="eastAsia"/>
              </w:rPr>
              <w:t>和该企业进行环境管理的依据。</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3.项目位置</w:t>
            </w:r>
          </w:p>
          <w:p>
            <w:pPr>
              <w:pStyle w:val="8"/>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eastAsia"/>
                <w:lang w:val="en-US" w:eastAsia="zh-CN"/>
              </w:rPr>
              <w:t>本项目位于新疆维吾尔自治区巴音郭楞蒙古自治州若羌县政府方位角92.8°，直线距离约50千米处，道路北侧。中心地理坐标为</w:t>
            </w:r>
            <w:r>
              <w:rPr>
                <w:rFonts w:hint="default"/>
                <w:lang w:val="en-US" w:eastAsia="zh-CN"/>
              </w:rPr>
              <w:t>E：88°44′49.776″，N：38°59′20.968″</w:t>
            </w:r>
            <w:r>
              <w:rPr>
                <w:rFonts w:hint="eastAsia"/>
                <w:lang w:val="en-US" w:eastAsia="zh-CN"/>
              </w:rPr>
              <w:t>。地理位置见</w:t>
            </w:r>
            <w:r>
              <w:rPr>
                <w:rFonts w:hint="eastAsia"/>
                <w:highlight w:val="none"/>
                <w:lang w:val="en-US" w:eastAsia="zh-CN"/>
              </w:rPr>
              <w:t>附图1。</w:t>
            </w:r>
          </w:p>
          <w:p>
            <w:pPr>
              <w:pStyle w:val="8"/>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项目区南侧为道路，北侧、东侧和西侧均为空地；周边环境关系见附图3。</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4.建设内容与规模</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根据项目备案文件，项目备案建设内容为新建混凝土搅拌站4座，设计日产混凝土2400m³。本次环评仅针对其中1座搅拌站开展评价，项目剩余3座搅拌站及相应生产线未纳入本次评价范围。</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项目临时占地面积为3037.18m</w:t>
            </w:r>
            <w:r>
              <w:rPr>
                <w:rFonts w:hint="eastAsia"/>
                <w:vertAlign w:val="superscript"/>
                <w:lang w:val="en-US" w:eastAsia="zh-CN"/>
              </w:rPr>
              <w:t>2</w:t>
            </w:r>
            <w:r>
              <w:rPr>
                <w:rFonts w:hint="eastAsia"/>
                <w:vertAlign w:val="baseline"/>
                <w:lang w:val="en-US" w:eastAsia="zh-CN"/>
              </w:rPr>
              <w:t>，用地性质为临时用地，本项目仅为若羌—羚羊（花土沟东）750千伏输变电工程提供商品混凝土，建设600m</w:t>
            </w:r>
            <w:r>
              <w:rPr>
                <w:rFonts w:hint="eastAsia"/>
                <w:vertAlign w:val="superscript"/>
                <w:lang w:val="en-US" w:eastAsia="zh-CN"/>
              </w:rPr>
              <w:t>3</w:t>
            </w:r>
            <w:r>
              <w:rPr>
                <w:rFonts w:hint="eastAsia"/>
                <w:vertAlign w:val="baseline"/>
                <w:lang w:val="en-US" w:eastAsia="zh-CN"/>
              </w:rPr>
              <w:t>/d（5.4万m</w:t>
            </w:r>
            <w:r>
              <w:rPr>
                <w:rFonts w:hint="eastAsia"/>
                <w:vertAlign w:val="superscript"/>
                <w:lang w:val="en-US" w:eastAsia="zh-CN"/>
              </w:rPr>
              <w:t>3</w:t>
            </w:r>
            <w:r>
              <w:rPr>
                <w:rFonts w:hint="eastAsia"/>
                <w:vertAlign w:val="baseline"/>
                <w:lang w:val="en-US" w:eastAsia="zh-CN"/>
              </w:rPr>
              <w:t>/a）商品混凝土生产线一条</w:t>
            </w:r>
            <w:r>
              <w:rPr>
                <w:rFonts w:hint="eastAsia"/>
                <w:lang w:val="en-US" w:eastAsia="zh-CN"/>
              </w:rPr>
              <w:t>。工程组成见表2-1。</w:t>
            </w:r>
          </w:p>
          <w:p>
            <w:pPr>
              <w:pStyle w:val="4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表2-1    项目组成一览表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98"/>
              <w:gridCol w:w="671"/>
              <w:gridCol w:w="749"/>
              <w:gridCol w:w="1022"/>
              <w:gridCol w:w="3646"/>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trPr>
              <w:tc>
                <w:tcPr>
                  <w:tcW w:w="1158" w:type="pct"/>
                  <w:gridSpan w:val="3"/>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工程内容</w:t>
                  </w:r>
                </w:p>
              </w:tc>
              <w:tc>
                <w:tcPr>
                  <w:tcW w:w="3414" w:type="pct"/>
                  <w:gridSpan w:val="3"/>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项目组成</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21"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主体工程</w:t>
                  </w:r>
                </w:p>
              </w:tc>
              <w:tc>
                <w:tcPr>
                  <w:tcW w:w="736" w:type="pct"/>
                  <w:gridSpan w:val="2"/>
                  <w:noWrap w:val="0"/>
                  <w:vAlign w:val="center"/>
                </w:tcPr>
                <w:p>
                  <w:pPr>
                    <w:pStyle w:val="60"/>
                    <w:bidi w:val="0"/>
                    <w:rPr>
                      <w:rFonts w:hint="default"/>
                      <w:lang w:val="en-US" w:eastAsia="zh-CN"/>
                    </w:rPr>
                  </w:pPr>
                  <w:r>
                    <w:rPr>
                      <w:rFonts w:hint="eastAsia"/>
                      <w:lang w:val="en-US" w:eastAsia="zh-CN"/>
                    </w:rPr>
                    <w:t>设备区</w:t>
                  </w:r>
                </w:p>
              </w:tc>
              <w:tc>
                <w:tcPr>
                  <w:tcW w:w="3414" w:type="pct"/>
                  <w:gridSpan w:val="3"/>
                  <w:noWrap w:val="0"/>
                  <w:vAlign w:val="center"/>
                </w:tcPr>
                <w:p>
                  <w:pPr>
                    <w:pStyle w:val="60"/>
                    <w:bidi w:val="0"/>
                    <w:rPr>
                      <w:rFonts w:hint="default"/>
                      <w:highlight w:val="none"/>
                      <w:lang w:val="en-US" w:eastAsia="zh-CN"/>
                    </w:rPr>
                  </w:pPr>
                  <w:r>
                    <w:rPr>
                      <w:rFonts w:hint="eastAsia"/>
                      <w:lang w:val="en-US" w:eastAsia="zh-CN"/>
                    </w:rPr>
                    <w:t>占地1500</w:t>
                  </w:r>
                  <w:r>
                    <w:rPr>
                      <w:rFonts w:hint="default"/>
                      <w:lang w:val="en-US" w:eastAsia="zh-CN"/>
                    </w:rPr>
                    <w:t>m</w:t>
                  </w:r>
                  <w:r>
                    <w:rPr>
                      <w:rFonts w:hint="default"/>
                      <w:vertAlign w:val="superscript"/>
                      <w:lang w:val="en-US" w:eastAsia="zh-CN"/>
                    </w:rPr>
                    <w:t>2</w:t>
                  </w:r>
                  <w:r>
                    <w:rPr>
                      <w:rFonts w:hint="eastAsia"/>
                      <w:vertAlign w:val="baseline"/>
                      <w:lang w:val="en-US" w:eastAsia="zh-CN"/>
                    </w:rPr>
                    <w:t>，</w:t>
                  </w:r>
                  <w:r>
                    <w:rPr>
                      <w:rFonts w:hint="eastAsia"/>
                      <w:lang w:val="en-US" w:eastAsia="zh-CN"/>
                    </w:rPr>
                    <w:t>建设1条商品混凝土生产线，包括</w:t>
                  </w:r>
                  <w:r>
                    <w:rPr>
                      <w:rFonts w:hint="default"/>
                    </w:rPr>
                    <w:t>输送系统、计量系统、搅拌系统</w:t>
                  </w:r>
                  <w:r>
                    <w:rPr>
                      <w:rFonts w:hint="eastAsia"/>
                      <w:lang w:val="en-US" w:eastAsia="zh-CN"/>
                    </w:rPr>
                    <w:t>等。</w:t>
                  </w:r>
                </w:p>
              </w:tc>
              <w:tc>
                <w:tcPr>
                  <w:tcW w:w="426" w:type="pct"/>
                  <w:noWrap w:val="0"/>
                  <w:vAlign w:val="center"/>
                </w:tcPr>
                <w:p>
                  <w:pPr>
                    <w:pStyle w:val="40"/>
                    <w:bidi w:val="0"/>
                    <w:rPr>
                      <w:rFonts w:hint="eastAsia"/>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421" w:type="pct"/>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储运工程</w:t>
                  </w:r>
                </w:p>
              </w:tc>
              <w:tc>
                <w:tcPr>
                  <w:tcW w:w="736" w:type="pct"/>
                  <w:gridSpan w:val="2"/>
                  <w:shd w:val="clear" w:color="auto" w:fill="auto"/>
                  <w:noWrap w:val="0"/>
                  <w:vAlign w:val="center"/>
                </w:tcPr>
                <w:p>
                  <w:pPr>
                    <w:pStyle w:val="60"/>
                    <w:bidi w:val="0"/>
                    <w:rPr>
                      <w:rFonts w:hint="default" w:ascii="Times New Roman" w:hAnsi="Times New Roman" w:eastAsia="宋体" w:cs="Times New Roman"/>
                      <w:kern w:val="2"/>
                      <w:sz w:val="21"/>
                      <w:szCs w:val="21"/>
                      <w:lang w:val="en-US" w:eastAsia="zh-CN" w:bidi="ar-SA"/>
                    </w:rPr>
                  </w:pPr>
                  <w:r>
                    <w:rPr>
                      <w:rFonts w:hint="eastAsia"/>
                      <w:lang w:val="en-US" w:eastAsia="zh-CN"/>
                    </w:rPr>
                    <w:t>砂石料堆场</w:t>
                  </w:r>
                </w:p>
              </w:tc>
              <w:tc>
                <w:tcPr>
                  <w:tcW w:w="3414" w:type="pct"/>
                  <w:gridSpan w:val="3"/>
                  <w:noWrap w:val="0"/>
                  <w:vAlign w:val="center"/>
                </w:tcPr>
                <w:p>
                  <w:pPr>
                    <w:pStyle w:val="60"/>
                    <w:bidi w:val="0"/>
                    <w:rPr>
                      <w:rFonts w:hint="default"/>
                      <w:highlight w:val="none"/>
                      <w:lang w:val="en-US" w:eastAsia="zh-CN"/>
                    </w:rPr>
                  </w:pPr>
                  <w:r>
                    <w:rPr>
                      <w:rFonts w:hint="eastAsia"/>
                      <w:lang w:val="en-US" w:eastAsia="zh-CN"/>
                    </w:rPr>
                    <w:t>占地面积</w:t>
                  </w:r>
                  <w:r>
                    <w:rPr>
                      <w:rFonts w:hint="eastAsia"/>
                      <w:highlight w:val="none"/>
                      <w:lang w:val="en-US" w:eastAsia="zh-CN"/>
                    </w:rPr>
                    <w:t>约500m</w:t>
                  </w:r>
                  <w:r>
                    <w:rPr>
                      <w:rFonts w:hint="eastAsia"/>
                      <w:highlight w:val="none"/>
                      <w:vertAlign w:val="superscript"/>
                      <w:lang w:val="en-US" w:eastAsia="zh-CN"/>
                    </w:rPr>
                    <w:t>2</w:t>
                  </w:r>
                  <w:r>
                    <w:rPr>
                      <w:rFonts w:hint="eastAsia"/>
                      <w:highlight w:val="none"/>
                      <w:vertAlign w:val="baseline"/>
                      <w:lang w:val="en-US" w:eastAsia="zh-CN"/>
                    </w:rPr>
                    <w:t>，</w:t>
                  </w:r>
                  <w:r>
                    <w:rPr>
                      <w:rFonts w:hint="default" w:ascii="Times New Roman" w:hAnsi="Times New Roman" w:eastAsia="微软雅黑" w:cs="Times New Roman"/>
                      <w:highlight w:val="none"/>
                      <w:lang w:val="en-US" w:eastAsia="zh-CN"/>
                    </w:rPr>
                    <w:t>Ⅱ</w:t>
                  </w:r>
                  <w:r>
                    <w:rPr>
                      <w:rFonts w:hint="default" w:ascii="Times New Roman" w:hAnsi="Times New Roman" w:cs="Times New Roman"/>
                      <w:highlight w:val="none"/>
                      <w:lang w:val="en-US" w:eastAsia="zh-CN"/>
                    </w:rPr>
                    <w:t>类堆场</w:t>
                  </w:r>
                  <w:r>
                    <w:rPr>
                      <w:rFonts w:hint="eastAsia"/>
                      <w:lang w:val="en-US" w:eastAsia="zh-CN"/>
                    </w:rPr>
                    <w:t>，</w:t>
                  </w:r>
                  <w:r>
                    <w:rPr>
                      <w:rFonts w:hint="eastAsia"/>
                      <w:vertAlign w:val="baseline"/>
                      <w:lang w:val="en-US" w:eastAsia="zh-CN"/>
                    </w:rPr>
                    <w:t>主要用于砂石料的堆放</w:t>
                  </w:r>
                  <w:r>
                    <w:rPr>
                      <w:rFonts w:hint="eastAsia"/>
                      <w:lang w:val="en-US" w:eastAsia="zh-CN"/>
                    </w:rPr>
                    <w:t>。</w:t>
                  </w:r>
                </w:p>
              </w:tc>
              <w:tc>
                <w:tcPr>
                  <w:tcW w:w="426" w:type="pct"/>
                  <w:noWrap w:val="0"/>
                  <w:vAlign w:val="center"/>
                </w:tcPr>
                <w:p>
                  <w:pPr>
                    <w:bidi w:val="0"/>
                    <w:rPr>
                      <w:rFonts w:hint="default"/>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p>
              </w:tc>
              <w:tc>
                <w:tcPr>
                  <w:tcW w:w="736" w:type="pct"/>
                  <w:gridSpan w:val="2"/>
                  <w:shd w:val="clear" w:color="auto" w:fill="auto"/>
                  <w:noWrap w:val="0"/>
                  <w:vAlign w:val="center"/>
                </w:tcPr>
                <w:p>
                  <w:pPr>
                    <w:pStyle w:val="60"/>
                    <w:bidi w:val="0"/>
                    <w:rPr>
                      <w:rFonts w:hint="eastAsia" w:ascii="Times New Roman" w:hAnsi="Times New Roman" w:eastAsia="宋体" w:cs="Times New Roman"/>
                      <w:kern w:val="2"/>
                      <w:sz w:val="21"/>
                      <w:szCs w:val="21"/>
                      <w:lang w:val="en-US" w:eastAsia="zh-CN" w:bidi="ar-SA"/>
                    </w:rPr>
                  </w:pPr>
                  <w:r>
                    <w:rPr>
                      <w:rFonts w:hint="eastAsia"/>
                      <w:lang w:val="en-US" w:eastAsia="zh-CN"/>
                    </w:rPr>
                    <w:t>水泥筒仓</w:t>
                  </w:r>
                </w:p>
              </w:tc>
              <w:tc>
                <w:tcPr>
                  <w:tcW w:w="3414" w:type="pct"/>
                  <w:gridSpan w:val="3"/>
                  <w:noWrap w:val="0"/>
                  <w:vAlign w:val="center"/>
                </w:tcPr>
                <w:p>
                  <w:pPr>
                    <w:pStyle w:val="60"/>
                    <w:bidi w:val="0"/>
                    <w:rPr>
                      <w:rFonts w:hint="default"/>
                      <w:highlight w:val="none"/>
                      <w:lang w:val="en-US" w:eastAsia="zh-CN"/>
                    </w:rPr>
                  </w:pPr>
                  <w:r>
                    <w:rPr>
                      <w:rFonts w:hint="eastAsia"/>
                      <w:lang w:val="en-US" w:eastAsia="zh-CN"/>
                    </w:rPr>
                    <w:t>设置100t水泥筒仓1个。</w:t>
                  </w:r>
                </w:p>
              </w:tc>
              <w:tc>
                <w:tcPr>
                  <w:tcW w:w="426" w:type="pct"/>
                  <w:noWrap w:val="0"/>
                  <w:vAlign w:val="center"/>
                </w:tcPr>
                <w:p>
                  <w:pPr>
                    <w:bidi w:val="0"/>
                    <w:rPr>
                      <w:rFonts w:hint="eastAsia"/>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p>
              </w:tc>
              <w:tc>
                <w:tcPr>
                  <w:tcW w:w="736" w:type="pct"/>
                  <w:gridSpan w:val="2"/>
                  <w:noWrap w:val="0"/>
                  <w:vAlign w:val="center"/>
                </w:tcPr>
                <w:p>
                  <w:pPr>
                    <w:pStyle w:val="60"/>
                    <w:bidi w:val="0"/>
                    <w:rPr>
                      <w:rFonts w:hint="default"/>
                      <w:highlight w:val="none"/>
                      <w:lang w:val="en-US" w:eastAsia="zh-CN"/>
                    </w:rPr>
                  </w:pPr>
                  <w:r>
                    <w:rPr>
                      <w:rFonts w:hint="eastAsia"/>
                      <w:lang w:val="en-US" w:eastAsia="zh-CN"/>
                    </w:rPr>
                    <w:t>粉煤灰筒仓</w:t>
                  </w:r>
                </w:p>
              </w:tc>
              <w:tc>
                <w:tcPr>
                  <w:tcW w:w="3414" w:type="pct"/>
                  <w:gridSpan w:val="3"/>
                  <w:noWrap w:val="0"/>
                  <w:vAlign w:val="center"/>
                </w:tcPr>
                <w:p>
                  <w:pPr>
                    <w:pStyle w:val="60"/>
                    <w:bidi w:val="0"/>
                    <w:rPr>
                      <w:rFonts w:hint="default"/>
                      <w:highlight w:val="none"/>
                      <w:lang w:val="en-US" w:eastAsia="zh-CN"/>
                    </w:rPr>
                  </w:pPr>
                  <w:r>
                    <w:rPr>
                      <w:rFonts w:hint="eastAsia"/>
                      <w:highlight w:val="none"/>
                      <w:lang w:val="en-US" w:eastAsia="zh-CN"/>
                    </w:rPr>
                    <w:t>设置100t粉煤灰筒仓1个。</w:t>
                  </w:r>
                </w:p>
              </w:tc>
              <w:tc>
                <w:tcPr>
                  <w:tcW w:w="426" w:type="pct"/>
                  <w:noWrap w:val="0"/>
                  <w:vAlign w:val="center"/>
                </w:tcPr>
                <w:p>
                  <w:pPr>
                    <w:bidi w:val="0"/>
                    <w:rPr>
                      <w:rFonts w:hint="default"/>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p>
              </w:tc>
              <w:tc>
                <w:tcPr>
                  <w:tcW w:w="736" w:type="pct"/>
                  <w:gridSpan w:val="2"/>
                  <w:noWrap w:val="0"/>
                  <w:vAlign w:val="center"/>
                </w:tcPr>
                <w:p>
                  <w:pPr>
                    <w:pStyle w:val="40"/>
                    <w:keepLines w:val="0"/>
                    <w:pageBreakBefore w:val="0"/>
                    <w:kinsoku/>
                    <w:wordWrap/>
                    <w:topLinePunct w:val="0"/>
                    <w:autoSpaceDE/>
                    <w:autoSpaceDN/>
                    <w:bidi w:val="0"/>
                    <w:spacing w:beforeAutospacing="0" w:afterAutospacing="0"/>
                    <w:jc w:val="center"/>
                    <w:textAlignment w:val="auto"/>
                    <w:rPr>
                      <w:rFonts w:hint="default"/>
                      <w:highlight w:val="none"/>
                      <w:lang w:val="en-US" w:eastAsia="zh-CN"/>
                    </w:rPr>
                  </w:pPr>
                  <w:r>
                    <w:rPr>
                      <w:rFonts w:hint="eastAsia"/>
                      <w:highlight w:val="none"/>
                      <w:lang w:val="en-US" w:eastAsia="zh-CN"/>
                    </w:rPr>
                    <w:t>矿粉筒仓</w:t>
                  </w:r>
                </w:p>
              </w:tc>
              <w:tc>
                <w:tcPr>
                  <w:tcW w:w="3414" w:type="pct"/>
                  <w:gridSpan w:val="3"/>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eastAsia"/>
                      <w:highlight w:val="none"/>
                      <w:lang w:val="en-US" w:eastAsia="zh-CN"/>
                    </w:rPr>
                    <w:t>设置100t矿粉筒仓1个。</w:t>
                  </w:r>
                </w:p>
              </w:tc>
              <w:tc>
                <w:tcPr>
                  <w:tcW w:w="426" w:type="pct"/>
                  <w:noWrap w:val="0"/>
                  <w:vAlign w:val="center"/>
                </w:tcPr>
                <w:p>
                  <w:pPr>
                    <w:bidi w:val="0"/>
                    <w:rPr>
                      <w:rFonts w:hint="eastAsia"/>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1" w:type="pct"/>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eastAsia"/>
                      <w:highlight w:val="none"/>
                      <w:lang w:val="en-US" w:eastAsia="zh-CN"/>
                    </w:rPr>
                    <w:t>辅助工程</w:t>
                  </w:r>
                </w:p>
              </w:tc>
              <w:tc>
                <w:tcPr>
                  <w:tcW w:w="736"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default" w:eastAsia="宋体"/>
                      <w:highlight w:val="none"/>
                      <w:lang w:val="en-US" w:eastAsia="zh-CN"/>
                    </w:rPr>
                  </w:pPr>
                  <w:r>
                    <w:rPr>
                      <w:rFonts w:hint="eastAsia"/>
                      <w:lang w:val="en-US" w:eastAsia="zh-CN"/>
                    </w:rPr>
                    <w:t>办公生活区</w:t>
                  </w:r>
                </w:p>
              </w:tc>
              <w:tc>
                <w:tcPr>
                  <w:tcW w:w="3414" w:type="pct"/>
                  <w:gridSpan w:val="3"/>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占地80m</w:t>
                  </w:r>
                  <w:r>
                    <w:rPr>
                      <w:rFonts w:hint="eastAsia"/>
                      <w:highlight w:val="none"/>
                      <w:vertAlign w:val="superscript"/>
                      <w:lang w:val="en-US" w:eastAsia="zh-CN"/>
                    </w:rPr>
                    <w:t>2</w:t>
                  </w:r>
                  <w:r>
                    <w:rPr>
                      <w:rFonts w:hint="eastAsia"/>
                      <w:highlight w:val="none"/>
                      <w:lang w:val="en-US" w:eastAsia="zh-CN"/>
                    </w:rPr>
                    <w:t>，简易折叠房，作为员工办公生活区。</w:t>
                  </w:r>
                </w:p>
              </w:tc>
              <w:tc>
                <w:tcPr>
                  <w:tcW w:w="426" w:type="pct"/>
                  <w:noWrap w:val="0"/>
                  <w:vAlign w:val="center"/>
                </w:tcPr>
                <w:p>
                  <w:pPr>
                    <w:bidi w:val="0"/>
                    <w:rPr>
                      <w:rFonts w:hint="eastAsia"/>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p>
              </w:tc>
              <w:tc>
                <w:tcPr>
                  <w:tcW w:w="736"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eastAsia="宋体"/>
                      <w:highlight w:val="none"/>
                      <w:lang w:val="en-US" w:eastAsia="zh-CN"/>
                    </w:rPr>
                  </w:pPr>
                  <w:r>
                    <w:rPr>
                      <w:rFonts w:hint="eastAsia"/>
                      <w:highlight w:val="none"/>
                      <w:lang w:val="en-US" w:eastAsia="zh-CN"/>
                    </w:rPr>
                    <w:t>水箱</w:t>
                  </w:r>
                </w:p>
              </w:tc>
              <w:tc>
                <w:tcPr>
                  <w:tcW w:w="3414" w:type="pct"/>
                  <w:gridSpan w:val="3"/>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rPr>
                  </w:pPr>
                  <w:r>
                    <w:rPr>
                      <w:rFonts w:hint="eastAsia"/>
                      <w:highlight w:val="none"/>
                      <w:lang w:val="en-US" w:eastAsia="zh-CN"/>
                    </w:rPr>
                    <w:t>用于储存生产用水，容积为50m</w:t>
                  </w:r>
                  <w:r>
                    <w:rPr>
                      <w:rFonts w:hint="eastAsia"/>
                      <w:highlight w:val="none"/>
                      <w:vertAlign w:val="superscript"/>
                      <w:lang w:val="en-US" w:eastAsia="zh-CN"/>
                    </w:rPr>
                    <w:t>3</w:t>
                  </w:r>
                  <w:r>
                    <w:rPr>
                      <w:rFonts w:hint="eastAsia"/>
                      <w:highlight w:val="none"/>
                      <w:vertAlign w:val="baseline"/>
                      <w:lang w:val="en-US" w:eastAsia="zh-CN"/>
                    </w:rPr>
                    <w:t>。</w:t>
                  </w:r>
                </w:p>
              </w:tc>
              <w:tc>
                <w:tcPr>
                  <w:tcW w:w="426" w:type="pct"/>
                  <w:noWrap w:val="0"/>
                  <w:vAlign w:val="center"/>
                </w:tcPr>
                <w:p>
                  <w:pPr>
                    <w:bidi w:val="0"/>
                    <w:rPr>
                      <w:rFonts w:hint="default"/>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highlight w:val="none"/>
                    </w:rPr>
                    <w:t>公用工程</w:t>
                  </w:r>
                </w:p>
              </w:tc>
              <w:tc>
                <w:tcPr>
                  <w:tcW w:w="736"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highlight w:val="none"/>
                    </w:rPr>
                    <w:t>供水</w:t>
                  </w:r>
                </w:p>
              </w:tc>
              <w:tc>
                <w:tcPr>
                  <w:tcW w:w="3414" w:type="pct"/>
                  <w:gridSpan w:val="3"/>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从附近乡镇拉运</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rPr>
                  </w:pPr>
                </w:p>
              </w:tc>
              <w:tc>
                <w:tcPr>
                  <w:tcW w:w="736"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highlight w:val="none"/>
                    </w:rPr>
                    <w:t>排水</w:t>
                  </w:r>
                </w:p>
              </w:tc>
              <w:tc>
                <w:tcPr>
                  <w:tcW w:w="3414" w:type="pct"/>
                  <w:gridSpan w:val="3"/>
                  <w:noWrap w:val="0"/>
                  <w:vAlign w:val="center"/>
                </w:tcPr>
                <w:p>
                  <w:pPr>
                    <w:keepLines w:val="0"/>
                    <w:pageBreakBefore w:val="0"/>
                    <w:kinsoku/>
                    <w:wordWrap/>
                    <w:topLinePunct w:val="0"/>
                    <w:autoSpaceDE/>
                    <w:autoSpaceDN/>
                    <w:bidi w:val="0"/>
                    <w:spacing w:beforeAutospacing="0" w:afterAutospacing="0"/>
                    <w:jc w:val="center"/>
                    <w:textAlignment w:val="auto"/>
                    <w:rPr>
                      <w:rFonts w:hint="default"/>
                      <w:highlight w:val="none"/>
                      <w:lang w:val="en-US" w:eastAsia="zh-CN"/>
                    </w:rPr>
                  </w:pPr>
                  <w:r>
                    <w:rPr>
                      <w:rFonts w:hint="eastAsia"/>
                      <w:lang w:val="en-US" w:eastAsia="zh-CN"/>
                    </w:rPr>
                    <w:t>生活污水经化粪池预处理后拉运至若羌县城乡污水处理厂进行集中处理</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p>
              </w:tc>
              <w:tc>
                <w:tcPr>
                  <w:tcW w:w="736"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highlight w:val="none"/>
                    </w:rPr>
                    <w:t>供电</w:t>
                  </w:r>
                </w:p>
              </w:tc>
              <w:tc>
                <w:tcPr>
                  <w:tcW w:w="3414" w:type="pct"/>
                  <w:gridSpan w:val="3"/>
                  <w:noWrap w:val="0"/>
                  <w:vAlign w:val="center"/>
                </w:tcPr>
                <w:p>
                  <w:pPr>
                    <w:keepLines w:val="0"/>
                    <w:pageBreakBefore w:val="0"/>
                    <w:kinsoku/>
                    <w:wordWrap/>
                    <w:topLinePunct w:val="0"/>
                    <w:autoSpaceDE/>
                    <w:autoSpaceDN/>
                    <w:bidi w:val="0"/>
                    <w:spacing w:beforeAutospacing="0" w:afterAutospacing="0"/>
                    <w:jc w:val="center"/>
                    <w:textAlignment w:val="auto"/>
                    <w:rPr>
                      <w:rFonts w:hint="default"/>
                      <w:highlight w:val="none"/>
                      <w:lang w:val="en-US" w:eastAsia="zh-CN"/>
                    </w:rPr>
                  </w:pPr>
                  <w:r>
                    <w:rPr>
                      <w:rFonts w:hint="eastAsia"/>
                      <w:highlight w:val="none"/>
                      <w:lang w:val="en-US" w:eastAsia="zh-CN"/>
                    </w:rPr>
                    <w:t>当地供电电网提供</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p>
              </w:tc>
              <w:tc>
                <w:tcPr>
                  <w:tcW w:w="736"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highlight w:val="none"/>
                    </w:rPr>
                    <w:t>供暖</w:t>
                  </w:r>
                </w:p>
              </w:tc>
              <w:tc>
                <w:tcPr>
                  <w:tcW w:w="3414" w:type="pct"/>
                  <w:gridSpan w:val="3"/>
                  <w:noWrap w:val="0"/>
                  <w:vAlign w:val="center"/>
                </w:tcPr>
                <w:p>
                  <w:pPr>
                    <w:pStyle w:val="40"/>
                    <w:keepLines w:val="0"/>
                    <w:pageBreakBefore w:val="0"/>
                    <w:kinsoku/>
                    <w:wordWrap/>
                    <w:topLinePunct w:val="0"/>
                    <w:autoSpaceDE/>
                    <w:autoSpaceDN/>
                    <w:bidi w:val="0"/>
                    <w:spacing w:beforeAutospacing="0" w:afterAutospacing="0"/>
                    <w:textAlignment w:val="auto"/>
                    <w:rPr>
                      <w:rFonts w:hint="default" w:eastAsia="宋体"/>
                      <w:highlight w:val="none"/>
                      <w:lang w:val="en-US" w:eastAsia="zh-CN"/>
                    </w:rPr>
                  </w:pPr>
                  <w:r>
                    <w:rPr>
                      <w:rFonts w:hint="eastAsia"/>
                      <w:highlight w:val="none"/>
                      <w:lang w:val="en-US" w:eastAsia="zh-CN"/>
                    </w:rPr>
                    <w:t>采用电供暖</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1" w:type="pct"/>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highlight w:val="none"/>
                    </w:rPr>
                    <w:t>环保工程</w:t>
                  </w:r>
                </w:p>
              </w:tc>
              <w:tc>
                <w:tcPr>
                  <w:tcW w:w="313" w:type="pct"/>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施工期</w:t>
                  </w:r>
                </w:p>
              </w:tc>
              <w:tc>
                <w:tcPr>
                  <w:tcW w:w="895"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eastAsia="宋体"/>
                      <w:highlight w:val="none"/>
                      <w:lang w:val="en-US" w:eastAsia="zh-CN"/>
                    </w:rPr>
                  </w:pPr>
                  <w:r>
                    <w:rPr>
                      <w:highlight w:val="none"/>
                    </w:rPr>
                    <w:t>废气</w:t>
                  </w:r>
                  <w:r>
                    <w:rPr>
                      <w:rFonts w:hint="eastAsia"/>
                      <w:highlight w:val="none"/>
                      <w:lang w:val="en-US" w:eastAsia="zh-CN"/>
                    </w:rPr>
                    <w:t>治理</w:t>
                  </w:r>
                </w:p>
              </w:tc>
              <w:tc>
                <w:tcPr>
                  <w:tcW w:w="2942"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eastAsia"/>
                      <w:highlight w:val="none"/>
                      <w:lang w:val="en-US" w:eastAsia="zh-CN"/>
                    </w:rPr>
                    <w:t>对施工场区洒水</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313"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p>
              </w:tc>
              <w:tc>
                <w:tcPr>
                  <w:tcW w:w="895"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highlight w:val="none"/>
                    </w:rPr>
                    <w:t>废水</w:t>
                  </w:r>
                  <w:r>
                    <w:rPr>
                      <w:rFonts w:hint="eastAsia"/>
                      <w:highlight w:val="none"/>
                      <w:lang w:val="en-US" w:eastAsia="zh-CN"/>
                    </w:rPr>
                    <w:t>治理</w:t>
                  </w:r>
                </w:p>
              </w:tc>
              <w:tc>
                <w:tcPr>
                  <w:tcW w:w="2942"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eastAsia"/>
                      <w:highlight w:val="none"/>
                      <w:lang w:val="en-US" w:eastAsia="zh-CN"/>
                    </w:rPr>
                    <w:t>设置临时沉淀池，经过沉淀池沉淀后，用于洒水抑尘。</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313"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p>
              </w:tc>
              <w:tc>
                <w:tcPr>
                  <w:tcW w:w="895"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highlight w:val="none"/>
                    </w:rPr>
                    <w:t>噪声</w:t>
                  </w:r>
                  <w:r>
                    <w:rPr>
                      <w:rFonts w:hint="eastAsia"/>
                      <w:highlight w:val="none"/>
                      <w:lang w:val="en-US" w:eastAsia="zh-CN"/>
                    </w:rPr>
                    <w:t>治理</w:t>
                  </w:r>
                </w:p>
              </w:tc>
              <w:tc>
                <w:tcPr>
                  <w:tcW w:w="2942"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eastAsia"/>
                      <w:highlight w:val="none"/>
                      <w:lang w:val="en-US" w:eastAsia="zh-CN"/>
                    </w:rPr>
                    <w:t>采用低噪声设备、定期进行维修和养护。</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p>
              </w:tc>
              <w:tc>
                <w:tcPr>
                  <w:tcW w:w="313" w:type="pct"/>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运营期</w:t>
                  </w:r>
                </w:p>
              </w:tc>
              <w:tc>
                <w:tcPr>
                  <w:tcW w:w="422" w:type="pct"/>
                  <w:vMerge w:val="restart"/>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r>
                    <w:rPr>
                      <w:highlight w:val="none"/>
                    </w:rPr>
                    <w:t>废气</w:t>
                  </w:r>
                </w:p>
              </w:tc>
              <w:tc>
                <w:tcPr>
                  <w:tcW w:w="472" w:type="pct"/>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无组织粉尘</w:t>
                  </w:r>
                </w:p>
              </w:tc>
              <w:tc>
                <w:tcPr>
                  <w:tcW w:w="644" w:type="pc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default"/>
                      <w:highlight w:val="none"/>
                      <w:lang w:val="en-US" w:eastAsia="zh-CN"/>
                    </w:rPr>
                    <w:t>原料堆存粉尘</w:t>
                  </w:r>
                </w:p>
              </w:tc>
              <w:tc>
                <w:tcPr>
                  <w:tcW w:w="229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半封闭仓库+洒水抑尘。</w:t>
                  </w:r>
                </w:p>
              </w:tc>
              <w:tc>
                <w:tcPr>
                  <w:tcW w:w="426" w:type="pct"/>
                  <w:noWrap w:val="0"/>
                  <w:vAlign w:val="center"/>
                </w:tcPr>
                <w:p>
                  <w:pPr>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313"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422"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472"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p>
              </w:tc>
              <w:tc>
                <w:tcPr>
                  <w:tcW w:w="644"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筒仓粉尘</w:t>
                  </w:r>
                </w:p>
              </w:tc>
              <w:tc>
                <w:tcPr>
                  <w:tcW w:w="229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default"/>
                      <w:highlight w:val="none"/>
                      <w:lang w:val="en-US" w:eastAsia="zh-CN"/>
                    </w:rPr>
                    <w:t>经仓顶</w:t>
                  </w:r>
                  <w:r>
                    <w:rPr>
                      <w:rFonts w:hint="eastAsia"/>
                      <w:highlight w:val="none"/>
                      <w:lang w:val="en-US" w:eastAsia="zh-CN"/>
                    </w:rPr>
                    <w:t>脉冲式布袋除尘器</w:t>
                  </w:r>
                  <w:r>
                    <w:rPr>
                      <w:rFonts w:hint="default"/>
                      <w:highlight w:val="none"/>
                      <w:lang w:val="en-US" w:eastAsia="zh-CN"/>
                    </w:rPr>
                    <w:t>处理后无组织排放</w:t>
                  </w:r>
                  <w:r>
                    <w:rPr>
                      <w:rFonts w:hint="eastAsia"/>
                      <w:highlight w:val="none"/>
                      <w:lang w:val="en-US" w:eastAsia="zh-CN"/>
                    </w:rPr>
                    <w:t>。</w:t>
                  </w:r>
                </w:p>
              </w:tc>
              <w:tc>
                <w:tcPr>
                  <w:tcW w:w="426" w:type="pct"/>
                  <w:noWrap w:val="0"/>
                  <w:vAlign w:val="center"/>
                </w:tcPr>
                <w:p>
                  <w:pPr>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313"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422"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472"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p>
              </w:tc>
              <w:tc>
                <w:tcPr>
                  <w:tcW w:w="644"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投料粉尘</w:t>
                  </w:r>
                </w:p>
              </w:tc>
              <w:tc>
                <w:tcPr>
                  <w:tcW w:w="229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上料口围挡+洒水抑尘</w:t>
                  </w:r>
                </w:p>
              </w:tc>
              <w:tc>
                <w:tcPr>
                  <w:tcW w:w="426" w:type="pct"/>
                  <w:noWrap w:val="0"/>
                  <w:vAlign w:val="center"/>
                </w:tcPr>
                <w:p>
                  <w:pPr>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313"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422"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472"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有组织粉尘</w:t>
                  </w:r>
                </w:p>
              </w:tc>
              <w:tc>
                <w:tcPr>
                  <w:tcW w:w="644"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搅拌</w:t>
                  </w:r>
                  <w:r>
                    <w:rPr>
                      <w:rFonts w:hint="default"/>
                      <w:highlight w:val="none"/>
                      <w:lang w:val="en-US" w:eastAsia="zh-CN"/>
                    </w:rPr>
                    <w:t>粉尘</w:t>
                  </w:r>
                </w:p>
              </w:tc>
              <w:tc>
                <w:tcPr>
                  <w:tcW w:w="229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eastAsia"/>
                      <w:highlight w:val="none"/>
                      <w:lang w:val="en-US" w:eastAsia="zh-CN"/>
                    </w:rPr>
                    <w:t>集气罩收集后经袋式除尘器处理后由15m高排气筒DA001排放。</w:t>
                  </w:r>
                </w:p>
              </w:tc>
              <w:tc>
                <w:tcPr>
                  <w:tcW w:w="426" w:type="pct"/>
                  <w:noWrap w:val="0"/>
                  <w:vAlign w:val="center"/>
                </w:tcPr>
                <w:p>
                  <w:pPr>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313"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422"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p>
              </w:tc>
              <w:tc>
                <w:tcPr>
                  <w:tcW w:w="472"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油烟废气</w:t>
                  </w:r>
                </w:p>
              </w:tc>
              <w:tc>
                <w:tcPr>
                  <w:tcW w:w="2942" w:type="pct"/>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default"/>
                      <w:highlight w:val="none"/>
                      <w:lang w:val="en-US" w:eastAsia="zh-CN"/>
                    </w:rPr>
                    <w:t>食堂油烟经1台</w:t>
                  </w:r>
                  <w:r>
                    <w:rPr>
                      <w:rFonts w:hint="eastAsia"/>
                      <w:highlight w:val="none"/>
                      <w:lang w:val="en-US" w:eastAsia="zh-CN"/>
                    </w:rPr>
                    <w:t>油烟净化器</w:t>
                  </w:r>
                  <w:r>
                    <w:rPr>
                      <w:rFonts w:hint="default"/>
                      <w:highlight w:val="none"/>
                      <w:lang w:val="en-US" w:eastAsia="zh-CN"/>
                    </w:rPr>
                    <w:t>处理后</w:t>
                  </w:r>
                  <w:r>
                    <w:rPr>
                      <w:rFonts w:hint="eastAsia"/>
                      <w:highlight w:val="none"/>
                      <w:lang w:val="en-US" w:eastAsia="zh-CN"/>
                    </w:rPr>
                    <w:t>经房</w:t>
                  </w:r>
                  <w:r>
                    <w:rPr>
                      <w:rFonts w:hint="default"/>
                      <w:highlight w:val="none"/>
                      <w:lang w:val="en-US" w:eastAsia="zh-CN"/>
                    </w:rPr>
                    <w:t>顶</w:t>
                  </w:r>
                  <w:r>
                    <w:rPr>
                      <w:rFonts w:hint="eastAsia"/>
                      <w:highlight w:val="none"/>
                      <w:lang w:val="en-US" w:eastAsia="zh-CN"/>
                    </w:rPr>
                    <w:t>烟囱</w:t>
                  </w:r>
                  <w:r>
                    <w:rPr>
                      <w:rFonts w:hint="default"/>
                      <w:highlight w:val="none"/>
                      <w:lang w:val="en-US" w:eastAsia="zh-CN"/>
                    </w:rPr>
                    <w:t>排放</w:t>
                  </w:r>
                  <w:r>
                    <w:rPr>
                      <w:rFonts w:hint="eastAsia"/>
                      <w:highlight w:val="none"/>
                      <w:lang w:val="en-US" w:eastAsia="zh-CN"/>
                    </w:rPr>
                    <w:t>。</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eastAsia"/>
                      <w:highlight w:val="no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p>
              </w:tc>
              <w:tc>
                <w:tcPr>
                  <w:tcW w:w="313"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p>
              </w:tc>
              <w:tc>
                <w:tcPr>
                  <w:tcW w:w="422" w:type="pct"/>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r>
                    <w:rPr>
                      <w:highlight w:val="none"/>
                    </w:rPr>
                    <w:t>废水</w:t>
                  </w:r>
                </w:p>
              </w:tc>
              <w:tc>
                <w:tcPr>
                  <w:tcW w:w="3414" w:type="pct"/>
                  <w:gridSpan w:val="3"/>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rPr>
                  </w:pPr>
                  <w:r>
                    <w:rPr>
                      <w:rFonts w:hint="eastAsia"/>
                      <w:highlight w:val="none"/>
                    </w:rPr>
                    <w:t>生活污水</w:t>
                  </w:r>
                  <w:r>
                    <w:rPr>
                      <w:rFonts w:hint="eastAsia"/>
                      <w:highlight w:val="none"/>
                      <w:lang w:val="en-US" w:eastAsia="zh-CN"/>
                    </w:rPr>
                    <w:t>经化粪池处理后拉运至若羌县城乡污水处理厂进行集中处理；搅拌设备清洗水经沉淀池沉淀后用于厂区洒水抑尘。</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p>
              </w:tc>
              <w:tc>
                <w:tcPr>
                  <w:tcW w:w="313"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p>
              </w:tc>
              <w:tc>
                <w:tcPr>
                  <w:tcW w:w="422" w:type="pct"/>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r>
                    <w:rPr>
                      <w:highlight w:val="none"/>
                    </w:rPr>
                    <w:t>固废</w:t>
                  </w:r>
                </w:p>
              </w:tc>
              <w:tc>
                <w:tcPr>
                  <w:tcW w:w="3414" w:type="pct"/>
                  <w:gridSpan w:val="3"/>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eastAsia="宋体"/>
                      <w:highlight w:val="none"/>
                      <w:lang w:val="en-US" w:eastAsia="zh-CN"/>
                    </w:rPr>
                  </w:pPr>
                  <w:r>
                    <w:rPr>
                      <w:highlight w:val="none"/>
                    </w:rPr>
                    <w:t>生活垃圾分类收集，定期清运；</w:t>
                  </w:r>
                  <w:r>
                    <w:rPr>
                      <w:rFonts w:hint="eastAsia"/>
                      <w:highlight w:val="none"/>
                    </w:rPr>
                    <w:t>除尘</w:t>
                  </w:r>
                  <w:r>
                    <w:rPr>
                      <w:rFonts w:hint="eastAsia"/>
                      <w:highlight w:val="none"/>
                      <w:lang w:val="en-US" w:eastAsia="zh-CN"/>
                    </w:rPr>
                    <w:t>灰</w:t>
                  </w:r>
                  <w:r>
                    <w:rPr>
                      <w:rFonts w:hint="eastAsia"/>
                      <w:highlight w:val="none"/>
                    </w:rPr>
                    <w:t>回用于生产，</w:t>
                  </w:r>
                  <w:r>
                    <w:rPr>
                      <w:rFonts w:hint="eastAsia"/>
                      <w:highlight w:val="none"/>
                      <w:lang w:val="en-US" w:eastAsia="zh-CN"/>
                    </w:rPr>
                    <w:t>废布袋定期由设备厂家进行回收处理；废润滑油、废润滑油桶等危险废物贮存于危废贮存点内，定期交由有资质的单位进行处理。</w:t>
                  </w:r>
                </w:p>
              </w:tc>
              <w:tc>
                <w:tcPr>
                  <w:tcW w:w="42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1"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highlight w:val="none"/>
                      <w:lang w:val="en-US" w:eastAsia="zh-CN"/>
                    </w:rPr>
                  </w:pPr>
                </w:p>
              </w:tc>
              <w:tc>
                <w:tcPr>
                  <w:tcW w:w="313" w:type="pct"/>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highlight w:val="none"/>
                      <w:lang w:val="en-US" w:eastAsia="zh-CN"/>
                    </w:rPr>
                  </w:pPr>
                </w:p>
              </w:tc>
              <w:tc>
                <w:tcPr>
                  <w:tcW w:w="422" w:type="pct"/>
                  <w:noWrap w:val="0"/>
                  <w:vAlign w:val="center"/>
                </w:tcPr>
                <w:p>
                  <w:pPr>
                    <w:pStyle w:val="40"/>
                    <w:keepLines w:val="0"/>
                    <w:pageBreakBefore w:val="0"/>
                    <w:kinsoku/>
                    <w:wordWrap/>
                    <w:topLinePunct w:val="0"/>
                    <w:autoSpaceDE/>
                    <w:autoSpaceDN/>
                    <w:bidi w:val="0"/>
                    <w:spacing w:beforeAutospacing="0" w:afterAutospacing="0"/>
                    <w:textAlignment w:val="auto"/>
                    <w:rPr>
                      <w:highlight w:val="none"/>
                    </w:rPr>
                  </w:pPr>
                  <w:r>
                    <w:rPr>
                      <w:highlight w:val="none"/>
                    </w:rPr>
                    <w:t>噪声</w:t>
                  </w:r>
                </w:p>
              </w:tc>
              <w:tc>
                <w:tcPr>
                  <w:tcW w:w="3414" w:type="pct"/>
                  <w:gridSpan w:val="3"/>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eastAsia="宋体"/>
                      <w:highlight w:val="none"/>
                      <w:lang w:val="en-US" w:eastAsia="zh-CN"/>
                    </w:rPr>
                  </w:pPr>
                  <w:r>
                    <w:rPr>
                      <w:highlight w:val="none"/>
                    </w:rPr>
                    <w:t>基础减震，定期维护</w:t>
                  </w:r>
                </w:p>
              </w:tc>
              <w:tc>
                <w:tcPr>
                  <w:tcW w:w="426" w:type="pct"/>
                  <w:noWrap w:val="0"/>
                  <w:vAlign w:val="center"/>
                </w:tcPr>
                <w:p>
                  <w:pPr>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eastAsia"/>
                      <w:highlight w:val="none"/>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58" w:type="pct"/>
                  <w:gridSpan w:val="3"/>
                  <w:noWrap w:val="0"/>
                  <w:vAlign w:val="center"/>
                </w:tcPr>
                <w:p>
                  <w:pPr>
                    <w:pStyle w:val="46"/>
                    <w:keepNext w:val="0"/>
                    <w:keepLines w:val="0"/>
                    <w:suppressLineNumbers w:val="0"/>
                    <w:bidi w:val="0"/>
                    <w:spacing w:before="0" w:beforeAutospacing="0" w:after="0" w:afterAutospacing="0"/>
                    <w:ind w:left="0" w:leftChars="0" w:right="0" w:rightChars="0"/>
                    <w:rPr>
                      <w:highlight w:val="none"/>
                    </w:rPr>
                  </w:pPr>
                  <w:r>
                    <w:rPr>
                      <w:rFonts w:hint="eastAsia" w:cs="Times New Roman"/>
                      <w:highlight w:val="none"/>
                      <w:lang w:val="en-US" w:eastAsia="zh-CN"/>
                    </w:rPr>
                    <w:t>环境风险防范工程</w:t>
                  </w:r>
                </w:p>
              </w:tc>
              <w:tc>
                <w:tcPr>
                  <w:tcW w:w="3414" w:type="pct"/>
                  <w:gridSpan w:val="3"/>
                  <w:noWrap w:val="0"/>
                  <w:vAlign w:val="center"/>
                </w:tcPr>
                <w:p>
                  <w:pPr>
                    <w:pStyle w:val="46"/>
                    <w:keepNext w:val="0"/>
                    <w:keepLines w:val="0"/>
                    <w:suppressLineNumbers w:val="0"/>
                    <w:bidi w:val="0"/>
                    <w:spacing w:before="0" w:beforeAutospacing="0" w:after="0" w:afterAutospacing="0"/>
                    <w:ind w:left="0" w:leftChars="0" w:right="0" w:rightChars="0"/>
                    <w:rPr>
                      <w:highlight w:val="none"/>
                    </w:rPr>
                  </w:pPr>
                  <w:r>
                    <w:rPr>
                      <w:rFonts w:hint="eastAsia"/>
                      <w:highlight w:val="none"/>
                      <w:lang w:val="en-US" w:eastAsia="zh-CN"/>
                    </w:rPr>
                    <w:t>按照《危险废物贮存污染控制标准》（GB18597—2023）标准建设面积为5m</w:t>
                  </w:r>
                  <w:r>
                    <w:rPr>
                      <w:rFonts w:hint="eastAsia"/>
                      <w:highlight w:val="none"/>
                      <w:vertAlign w:val="superscript"/>
                      <w:lang w:val="en-US" w:eastAsia="zh-CN"/>
                    </w:rPr>
                    <w:t>2</w:t>
                  </w:r>
                  <w:r>
                    <w:rPr>
                      <w:rFonts w:hint="eastAsia"/>
                      <w:highlight w:val="none"/>
                      <w:lang w:val="en-US" w:eastAsia="zh-CN"/>
                    </w:rPr>
                    <w:t>危废贮存点。</w:t>
                  </w:r>
                </w:p>
              </w:tc>
              <w:tc>
                <w:tcPr>
                  <w:tcW w:w="426" w:type="pct"/>
                  <w:noWrap w:val="0"/>
                  <w:vAlign w:val="center"/>
                </w:tcPr>
                <w:p>
                  <w:pPr>
                    <w:pStyle w:val="40"/>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eastAsia" w:eastAsia="宋体"/>
                      <w:highlight w:val="none"/>
                      <w:lang w:val="en-US" w:eastAsia="zh-CN"/>
                    </w:rPr>
                  </w:pPr>
                  <w:r>
                    <w:rPr>
                      <w:rFonts w:hint="eastAsia"/>
                      <w:highlight w:val="none"/>
                      <w:lang w:val="en-US" w:eastAsia="zh-CN"/>
                    </w:rPr>
                    <w:t>/</w:t>
                  </w:r>
                </w:p>
              </w:tc>
            </w:tr>
          </w:tbl>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5.产品方案</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本项目产品情况详见表2-2</w:t>
            </w:r>
            <w:r>
              <w:t>。</w:t>
            </w:r>
          </w:p>
          <w:p>
            <w:pPr>
              <w:pStyle w:val="4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表</w:t>
            </w:r>
            <w:r>
              <w:rPr>
                <w:rFonts w:hint="default"/>
                <w:lang w:val="en-US" w:eastAsia="zh-CN"/>
              </w:rPr>
              <w:t>2-2</w:t>
            </w:r>
            <w:r>
              <w:rPr>
                <w:rFonts w:hint="eastAsia"/>
                <w:lang w:val="en-US" w:eastAsia="zh-CN"/>
              </w:rPr>
              <w:t xml:space="preserve">    项目产品方案一览表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3"/>
              <w:gridCol w:w="1253"/>
              <w:gridCol w:w="1108"/>
              <w:gridCol w:w="1139"/>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dxa"/>
                  <w:noWrap w:val="0"/>
                  <w:vAlign w:val="center"/>
                </w:tcPr>
                <w:p>
                  <w:pPr>
                    <w:keepLines w:val="0"/>
                    <w:pageBreakBefore w:val="0"/>
                    <w:kinsoku/>
                    <w:wordWrap/>
                    <w:topLinePunct w:val="0"/>
                    <w:autoSpaceDE/>
                    <w:autoSpaceDN/>
                    <w:bidi w:val="0"/>
                    <w:adjustRightInd w:val="0"/>
                    <w:snapToGrid w:val="0"/>
                    <w:spacing w:beforeAutospacing="0" w:afterAutospacing="0" w:line="240" w:lineRule="auto"/>
                    <w:jc w:val="center"/>
                    <w:textAlignment w:val="auto"/>
                    <w:rPr>
                      <w:rFonts w:hint="default" w:eastAsia="宋体"/>
                      <w:lang w:val="en-US" w:eastAsia="zh-CN"/>
                    </w:rPr>
                  </w:pPr>
                  <w:r>
                    <w:rPr>
                      <w:color w:val="000000"/>
                      <w:kern w:val="0"/>
                      <w:sz w:val="21"/>
                      <w:szCs w:val="21"/>
                    </w:rPr>
                    <w:t>序号</w:t>
                  </w:r>
                </w:p>
              </w:tc>
              <w:tc>
                <w:tcPr>
                  <w:tcW w:w="1763" w:type="dxa"/>
                  <w:noWrap w:val="0"/>
                  <w:vAlign w:val="center"/>
                </w:tcPr>
                <w:p>
                  <w:pPr>
                    <w:keepLines w:val="0"/>
                    <w:pageBreakBefore w:val="0"/>
                    <w:kinsoku/>
                    <w:wordWrap/>
                    <w:topLinePunct w:val="0"/>
                    <w:autoSpaceDE/>
                    <w:autoSpaceDN/>
                    <w:bidi w:val="0"/>
                    <w:adjustRightInd w:val="0"/>
                    <w:snapToGrid w:val="0"/>
                    <w:spacing w:beforeAutospacing="0" w:afterAutospacing="0" w:line="240" w:lineRule="auto"/>
                    <w:jc w:val="center"/>
                    <w:textAlignment w:val="auto"/>
                    <w:rPr>
                      <w:rFonts w:hint="default"/>
                      <w:lang w:val="en-US" w:eastAsia="zh-CN"/>
                    </w:rPr>
                  </w:pPr>
                  <w:r>
                    <w:rPr>
                      <w:color w:val="000000"/>
                      <w:kern w:val="0"/>
                      <w:sz w:val="21"/>
                      <w:szCs w:val="21"/>
                    </w:rPr>
                    <w:t>名称</w:t>
                  </w:r>
                </w:p>
              </w:tc>
              <w:tc>
                <w:tcPr>
                  <w:tcW w:w="1253" w:type="dxa"/>
                  <w:noWrap w:val="0"/>
                  <w:vAlign w:val="center"/>
                </w:tcPr>
                <w:p>
                  <w:pPr>
                    <w:keepLines w:val="0"/>
                    <w:pageBreakBefore w:val="0"/>
                    <w:kinsoku/>
                    <w:wordWrap/>
                    <w:topLinePunct w:val="0"/>
                    <w:autoSpaceDE/>
                    <w:autoSpaceDN/>
                    <w:bidi w:val="0"/>
                    <w:adjustRightInd w:val="0"/>
                    <w:snapToGrid w:val="0"/>
                    <w:spacing w:beforeAutospacing="0" w:afterAutospacing="0" w:line="240" w:lineRule="auto"/>
                    <w:jc w:val="center"/>
                    <w:textAlignment w:val="auto"/>
                    <w:rPr>
                      <w:color w:val="000000"/>
                      <w:kern w:val="0"/>
                      <w:sz w:val="21"/>
                      <w:szCs w:val="21"/>
                    </w:rPr>
                  </w:pPr>
                  <w:r>
                    <w:rPr>
                      <w:rFonts w:hint="default"/>
                      <w:color w:val="000000"/>
                      <w:kern w:val="0"/>
                      <w:sz w:val="21"/>
                      <w:szCs w:val="21"/>
                      <w:lang w:eastAsia="zh-CN"/>
                    </w:rPr>
                    <w:t>产品</w:t>
                  </w:r>
                  <w:r>
                    <w:rPr>
                      <w:rFonts w:hint="default"/>
                      <w:color w:val="000000"/>
                      <w:kern w:val="0"/>
                      <w:sz w:val="21"/>
                      <w:szCs w:val="21"/>
                    </w:rPr>
                    <w:t>规格</w:t>
                  </w:r>
                </w:p>
              </w:tc>
              <w:tc>
                <w:tcPr>
                  <w:tcW w:w="1108" w:type="dxa"/>
                  <w:noWrap w:val="0"/>
                  <w:vAlign w:val="center"/>
                </w:tcPr>
                <w:p>
                  <w:pPr>
                    <w:keepLines w:val="0"/>
                    <w:pageBreakBefore w:val="0"/>
                    <w:kinsoku/>
                    <w:wordWrap/>
                    <w:topLinePunct w:val="0"/>
                    <w:autoSpaceDE/>
                    <w:autoSpaceDN/>
                    <w:bidi w:val="0"/>
                    <w:adjustRightInd w:val="0"/>
                    <w:snapToGrid w:val="0"/>
                    <w:spacing w:beforeAutospacing="0" w:afterAutospacing="0" w:line="240" w:lineRule="auto"/>
                    <w:jc w:val="center"/>
                    <w:textAlignment w:val="auto"/>
                    <w:rPr>
                      <w:rFonts w:hint="default"/>
                      <w:lang w:val="en-US" w:eastAsia="zh-CN"/>
                    </w:rPr>
                  </w:pPr>
                  <w:r>
                    <w:rPr>
                      <w:color w:val="000000"/>
                      <w:kern w:val="0"/>
                      <w:sz w:val="21"/>
                      <w:szCs w:val="21"/>
                    </w:rPr>
                    <w:t>设计产量</w:t>
                  </w:r>
                </w:p>
              </w:tc>
              <w:tc>
                <w:tcPr>
                  <w:tcW w:w="1139" w:type="dxa"/>
                  <w:noWrap w:val="0"/>
                  <w:vAlign w:val="center"/>
                </w:tcPr>
                <w:p>
                  <w:pPr>
                    <w:keepLines w:val="0"/>
                    <w:pageBreakBefore w:val="0"/>
                    <w:kinsoku/>
                    <w:wordWrap/>
                    <w:topLinePunct w:val="0"/>
                    <w:autoSpaceDE/>
                    <w:autoSpaceDN/>
                    <w:bidi w:val="0"/>
                    <w:adjustRightInd w:val="0"/>
                    <w:snapToGrid w:val="0"/>
                    <w:spacing w:beforeAutospacing="0" w:afterAutospacing="0" w:line="240" w:lineRule="auto"/>
                    <w:jc w:val="center"/>
                    <w:textAlignment w:val="auto"/>
                    <w:rPr>
                      <w:rFonts w:hint="default"/>
                      <w:lang w:val="en-US" w:eastAsia="zh-CN"/>
                    </w:rPr>
                  </w:pPr>
                  <w:r>
                    <w:rPr>
                      <w:color w:val="000000"/>
                      <w:kern w:val="0"/>
                      <w:sz w:val="21"/>
                      <w:szCs w:val="21"/>
                    </w:rPr>
                    <w:t>单位</w:t>
                  </w:r>
                </w:p>
              </w:tc>
              <w:tc>
                <w:tcPr>
                  <w:tcW w:w="1937" w:type="dxa"/>
                  <w:noWrap w:val="0"/>
                  <w:vAlign w:val="center"/>
                </w:tcPr>
                <w:p>
                  <w:pPr>
                    <w:pStyle w:val="40"/>
                    <w:keepNext w:val="0"/>
                    <w:keepLines w:val="0"/>
                    <w:pageBreakBefore w:val="0"/>
                    <w:suppressLineNumbers w:val="0"/>
                    <w:kinsoku/>
                    <w:wordWrap/>
                    <w:topLinePunct w:val="0"/>
                    <w:autoSpaceDE/>
                    <w:autoSpaceDN/>
                    <w:bidi w:val="0"/>
                    <w:spacing w:before="0" w:beforeAutospacing="0" w:after="0" w:afterAutospacing="0"/>
                    <w:ind w:left="0" w:right="0"/>
                    <w:textAlignment w:val="auto"/>
                    <w:rPr>
                      <w:rFonts w:hint="default"/>
                      <w:lang w:val="en-US" w:eastAsia="zh-CN"/>
                    </w:rPr>
                  </w:pPr>
                  <w:r>
                    <w:rPr>
                      <w:rFonts w:hint="default"/>
                    </w:rPr>
                    <w:t>年运行</w:t>
                  </w:r>
                  <w:r>
                    <w:rPr>
                      <w:rFonts w:hint="eastAsia"/>
                      <w:lang w:eastAsia="zh-CN"/>
                    </w:rPr>
                    <w:t>天数、</w:t>
                  </w:r>
                  <w:r>
                    <w:rPr>
                      <w:rFonts w:hint="default"/>
                    </w:rPr>
                    <w:t>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noWrap w:val="0"/>
                  <w:vAlign w:val="center"/>
                </w:tcPr>
                <w:p>
                  <w:pPr>
                    <w:pStyle w:val="4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lang w:val="en-US" w:eastAsia="zh-CN"/>
                    </w:rPr>
                  </w:pPr>
                  <w:r>
                    <w:rPr>
                      <w:rFonts w:hint="eastAsia"/>
                      <w:lang w:val="en-US" w:eastAsia="zh-CN"/>
                    </w:rPr>
                    <w:t>1</w:t>
                  </w:r>
                </w:p>
              </w:tc>
              <w:tc>
                <w:tcPr>
                  <w:tcW w:w="1763" w:type="dxa"/>
                  <w:noWrap w:val="0"/>
                  <w:vAlign w:val="center"/>
                </w:tcPr>
                <w:p>
                  <w:pPr>
                    <w:pStyle w:val="4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lang w:val="en-US" w:eastAsia="zh-CN"/>
                    </w:rPr>
                  </w:pPr>
                  <w:r>
                    <w:rPr>
                      <w:rFonts w:hint="eastAsia"/>
                      <w:lang w:val="en-US" w:eastAsia="zh-CN"/>
                    </w:rPr>
                    <w:t>商品混凝土</w:t>
                  </w:r>
                </w:p>
              </w:tc>
              <w:tc>
                <w:tcPr>
                  <w:tcW w:w="1253" w:type="dxa"/>
                  <w:noWrap w:val="0"/>
                  <w:vAlign w:val="center"/>
                </w:tcPr>
                <w:p>
                  <w:pPr>
                    <w:pStyle w:val="4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lang w:val="en-US" w:eastAsia="zh-CN"/>
                    </w:rPr>
                  </w:pPr>
                  <w:r>
                    <w:rPr>
                      <w:rFonts w:hint="eastAsia"/>
                      <w:lang w:val="en-US" w:eastAsia="zh-CN"/>
                    </w:rPr>
                    <w:t>C30-C60</w:t>
                  </w:r>
                </w:p>
              </w:tc>
              <w:tc>
                <w:tcPr>
                  <w:tcW w:w="1108" w:type="dxa"/>
                  <w:noWrap w:val="0"/>
                  <w:vAlign w:val="center"/>
                </w:tcPr>
                <w:p>
                  <w:pPr>
                    <w:pStyle w:val="4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lang w:val="en-US" w:eastAsia="zh-CN"/>
                    </w:rPr>
                  </w:pPr>
                  <w:r>
                    <w:rPr>
                      <w:rFonts w:hint="eastAsia"/>
                      <w:lang w:val="en-US" w:eastAsia="zh-CN"/>
                    </w:rPr>
                    <w:t>5.4</w:t>
                  </w:r>
                </w:p>
              </w:tc>
              <w:tc>
                <w:tcPr>
                  <w:tcW w:w="1139" w:type="dxa"/>
                  <w:noWrap w:val="0"/>
                  <w:vAlign w:val="center"/>
                </w:tcPr>
                <w:p>
                  <w:pPr>
                    <w:pStyle w:val="4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lang w:val="en-US" w:eastAsia="zh-CN"/>
                    </w:rPr>
                  </w:pPr>
                  <w:r>
                    <w:rPr>
                      <w:rFonts w:hint="eastAsia"/>
                      <w:lang w:val="en-US" w:eastAsia="zh-CN"/>
                    </w:rPr>
                    <w:t>万m</w:t>
                  </w:r>
                  <w:r>
                    <w:rPr>
                      <w:rFonts w:hint="eastAsia"/>
                      <w:vertAlign w:val="superscript"/>
                      <w:lang w:val="en-US" w:eastAsia="zh-CN"/>
                    </w:rPr>
                    <w:t>3</w:t>
                  </w:r>
                  <w:r>
                    <w:rPr>
                      <w:rFonts w:hint="eastAsia"/>
                      <w:lang w:val="en-US" w:eastAsia="zh-CN"/>
                    </w:rPr>
                    <w:t>/a</w:t>
                  </w:r>
                </w:p>
              </w:tc>
              <w:tc>
                <w:tcPr>
                  <w:tcW w:w="1937" w:type="dxa"/>
                  <w:noWrap w:val="0"/>
                  <w:vAlign w:val="center"/>
                </w:tcPr>
                <w:p>
                  <w:pPr>
                    <w:pStyle w:val="40"/>
                    <w:keepNext w:val="0"/>
                    <w:keepLines w:val="0"/>
                    <w:pageBreakBefore w:val="0"/>
                    <w:suppressLineNumbers w:val="0"/>
                    <w:kinsoku/>
                    <w:wordWrap/>
                    <w:topLinePunct w:val="0"/>
                    <w:autoSpaceDE/>
                    <w:autoSpaceDN/>
                    <w:bidi w:val="0"/>
                    <w:spacing w:before="0" w:beforeAutospacing="0" w:after="0" w:afterAutospacing="0"/>
                    <w:ind w:left="0" w:right="0"/>
                    <w:textAlignment w:val="auto"/>
                    <w:rPr>
                      <w:rFonts w:hint="default" w:eastAsia="宋体"/>
                      <w:lang w:val="en-US" w:eastAsia="zh-CN"/>
                    </w:rPr>
                  </w:pPr>
                  <w:r>
                    <w:rPr>
                      <w:rFonts w:hint="eastAsia"/>
                      <w:lang w:val="en-US" w:eastAsia="zh-CN"/>
                    </w:rPr>
                    <w:t>90天，900小时</w:t>
                  </w:r>
                </w:p>
              </w:tc>
            </w:tr>
          </w:tbl>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6.主要设备</w:t>
            </w:r>
          </w:p>
          <w:p>
            <w:pPr>
              <w:pStyle w:val="8"/>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rPr>
              <w:t>本项目主要</w:t>
            </w:r>
            <w:r>
              <w:rPr>
                <w:rFonts w:hint="eastAsia"/>
                <w:lang w:eastAsia="zh-CN"/>
              </w:rPr>
              <w:t>生产</w:t>
            </w:r>
            <w:r>
              <w:rPr>
                <w:rFonts w:hint="eastAsia"/>
                <w:lang w:val="en-US" w:eastAsia="zh-CN"/>
              </w:rPr>
              <w:t>设</w:t>
            </w:r>
            <w:r>
              <w:rPr>
                <w:rFonts w:hint="eastAsia"/>
                <w:highlight w:val="none"/>
                <w:lang w:val="en-US" w:eastAsia="zh-CN"/>
              </w:rPr>
              <w:t>备见下表2-3。</w:t>
            </w:r>
          </w:p>
          <w:p>
            <w:pPr>
              <w:pStyle w:val="42"/>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eastAsia="zh-CN"/>
              </w:rPr>
              <w:t>表</w:t>
            </w:r>
            <w:r>
              <w:rPr>
                <w:rFonts w:hint="eastAsia"/>
                <w:highlight w:val="none"/>
                <w:lang w:val="en-US" w:eastAsia="zh-CN"/>
              </w:rPr>
              <w:t>2-3    项目主要生产设备一览表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237"/>
              <w:gridCol w:w="1321"/>
              <w:gridCol w:w="1272"/>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527" w:type="pct"/>
                  <w:noWrap w:val="0"/>
                  <w:vAlign w:val="center"/>
                </w:tcPr>
                <w:p>
                  <w:pPr>
                    <w:pStyle w:val="40"/>
                    <w:bidi w:val="0"/>
                    <w:rPr>
                      <w:rFonts w:hint="default"/>
                      <w:lang w:val="en-US" w:eastAsia="zh-CN"/>
                    </w:rPr>
                  </w:pPr>
                  <w:r>
                    <w:rPr>
                      <w:rFonts w:hint="eastAsia"/>
                      <w:lang w:val="en-US" w:eastAsia="zh-CN"/>
                    </w:rPr>
                    <w:t>序号</w:t>
                  </w:r>
                </w:p>
              </w:tc>
              <w:tc>
                <w:tcPr>
                  <w:tcW w:w="1410" w:type="pct"/>
                  <w:noWrap w:val="0"/>
                  <w:vAlign w:val="center"/>
                </w:tcPr>
                <w:p>
                  <w:pPr>
                    <w:pStyle w:val="40"/>
                    <w:bidi w:val="0"/>
                    <w:rPr>
                      <w:rFonts w:hint="default"/>
                      <w:lang w:val="en-US" w:eastAsia="zh-CN"/>
                    </w:rPr>
                  </w:pPr>
                  <w:r>
                    <w:rPr>
                      <w:rFonts w:hint="eastAsia"/>
                      <w:lang w:val="en-US" w:eastAsia="zh-CN"/>
                    </w:rPr>
                    <w:t>设备</w:t>
                  </w:r>
                  <w:r>
                    <w:rPr>
                      <w:rFonts w:hint="eastAsia"/>
                    </w:rPr>
                    <w:t>名称</w:t>
                  </w:r>
                </w:p>
              </w:tc>
              <w:tc>
                <w:tcPr>
                  <w:tcW w:w="832" w:type="pct"/>
                  <w:shd w:val="clear" w:color="auto" w:fill="auto"/>
                  <w:noWrap w:val="0"/>
                  <w:vAlign w:val="center"/>
                </w:tcPr>
                <w:p>
                  <w:pPr>
                    <w:pStyle w:val="40"/>
                    <w:bidi w:val="0"/>
                    <w:rPr>
                      <w:rFonts w:hint="eastAsia"/>
                      <w:lang w:val="en-US" w:eastAsia="zh-CN"/>
                    </w:rPr>
                  </w:pPr>
                  <w:r>
                    <w:rPr>
                      <w:rFonts w:hint="eastAsia"/>
                    </w:rPr>
                    <w:t>数量</w:t>
                  </w:r>
                </w:p>
              </w:tc>
              <w:tc>
                <w:tcPr>
                  <w:tcW w:w="801" w:type="pct"/>
                  <w:shd w:val="clear" w:color="auto" w:fill="auto"/>
                  <w:noWrap w:val="0"/>
                  <w:vAlign w:val="center"/>
                </w:tcPr>
                <w:p>
                  <w:pPr>
                    <w:pStyle w:val="40"/>
                    <w:bidi w:val="0"/>
                    <w:rPr>
                      <w:rFonts w:hint="eastAsia"/>
                      <w:lang w:val="en-US" w:eastAsia="zh-CN"/>
                    </w:rPr>
                  </w:pPr>
                  <w:r>
                    <w:rPr>
                      <w:rFonts w:hint="eastAsia"/>
                    </w:rPr>
                    <w:t>单位</w:t>
                  </w:r>
                </w:p>
              </w:tc>
              <w:tc>
                <w:tcPr>
                  <w:tcW w:w="1427" w:type="pct"/>
                  <w:noWrap w:val="0"/>
                  <w:vAlign w:val="center"/>
                </w:tcPr>
                <w:p>
                  <w:pPr>
                    <w:pStyle w:val="40"/>
                    <w:bidi w:val="0"/>
                    <w:rPr>
                      <w:rFonts w:hint="eastAsia"/>
                      <w:lang w:val="en-US" w:eastAsia="zh-CN"/>
                    </w:rPr>
                  </w:pPr>
                  <w:r>
                    <w:rPr>
                      <w:rFonts w:hint="eastAsia"/>
                      <w:lang w:val="en-US"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pct"/>
                  <w:noWrap w:val="0"/>
                  <w:vAlign w:val="center"/>
                </w:tcPr>
                <w:p>
                  <w:pPr>
                    <w:pStyle w:val="40"/>
                    <w:bidi w:val="0"/>
                    <w:rPr>
                      <w:rFonts w:hint="default"/>
                      <w:lang w:val="en-US" w:eastAsia="zh-CN"/>
                    </w:rPr>
                  </w:pPr>
                  <w:r>
                    <w:rPr>
                      <w:rFonts w:hint="eastAsia"/>
                      <w:lang w:val="en-US" w:eastAsia="zh-CN"/>
                    </w:rPr>
                    <w:t>1</w:t>
                  </w:r>
                </w:p>
              </w:tc>
              <w:tc>
                <w:tcPr>
                  <w:tcW w:w="1410" w:type="pct"/>
                  <w:noWrap w:val="0"/>
                  <w:vAlign w:val="center"/>
                </w:tcPr>
                <w:p>
                  <w:pPr>
                    <w:pStyle w:val="40"/>
                    <w:bidi w:val="0"/>
                    <w:rPr>
                      <w:rFonts w:hint="default"/>
                      <w:lang w:val="en-US" w:eastAsia="zh-CN"/>
                    </w:rPr>
                  </w:pPr>
                  <w:r>
                    <w:rPr>
                      <w:rFonts w:hint="eastAsia"/>
                      <w:lang w:val="en-US" w:eastAsia="zh-CN"/>
                    </w:rPr>
                    <w:t>100t水泥筒仓</w:t>
                  </w:r>
                </w:p>
              </w:tc>
              <w:tc>
                <w:tcPr>
                  <w:tcW w:w="832" w:type="pct"/>
                  <w:shd w:val="clear" w:color="auto" w:fill="auto"/>
                  <w:noWrap w:val="0"/>
                  <w:vAlign w:val="center"/>
                </w:tcPr>
                <w:p>
                  <w:pPr>
                    <w:pStyle w:val="40"/>
                    <w:bidi w:val="0"/>
                    <w:rPr>
                      <w:rFonts w:hint="eastAsia"/>
                      <w:lang w:val="en-US" w:eastAsia="zh-CN"/>
                    </w:rPr>
                  </w:pPr>
                  <w:r>
                    <w:rPr>
                      <w:rFonts w:hint="eastAsia"/>
                      <w:lang w:val="en-US" w:eastAsia="zh-CN"/>
                    </w:rPr>
                    <w:t>1</w:t>
                  </w:r>
                </w:p>
              </w:tc>
              <w:tc>
                <w:tcPr>
                  <w:tcW w:w="801" w:type="pct"/>
                  <w:shd w:val="clear" w:color="auto" w:fill="auto"/>
                  <w:noWrap w:val="0"/>
                  <w:vAlign w:val="center"/>
                </w:tcPr>
                <w:p>
                  <w:pPr>
                    <w:pStyle w:val="40"/>
                    <w:bidi w:val="0"/>
                    <w:rPr>
                      <w:rFonts w:hint="eastAsia"/>
                      <w:lang w:val="en-US" w:eastAsia="zh-CN"/>
                    </w:rPr>
                  </w:pPr>
                  <w:r>
                    <w:rPr>
                      <w:rFonts w:hint="eastAsia"/>
                      <w:lang w:val="en-US" w:eastAsia="zh-CN"/>
                    </w:rPr>
                    <w:t>座</w:t>
                  </w:r>
                </w:p>
              </w:tc>
              <w:tc>
                <w:tcPr>
                  <w:tcW w:w="1427" w:type="pct"/>
                  <w:vMerge w:val="restart"/>
                  <w:noWrap w:val="0"/>
                  <w:vAlign w:val="center"/>
                </w:tcPr>
                <w:p>
                  <w:pPr>
                    <w:pStyle w:val="40"/>
                    <w:bidi w:val="0"/>
                    <w:rPr>
                      <w:rFonts w:hint="default"/>
                      <w:lang w:val="en-US" w:eastAsia="zh-CN"/>
                    </w:rPr>
                  </w:pPr>
                  <w:r>
                    <w:rPr>
                      <w:rFonts w:hint="eastAsia"/>
                      <w:lang w:val="en-US" w:eastAsia="zh-CN"/>
                    </w:rPr>
                    <w:t>原料储存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pct"/>
                  <w:noWrap w:val="0"/>
                  <w:vAlign w:val="center"/>
                </w:tcPr>
                <w:p>
                  <w:pPr>
                    <w:pStyle w:val="40"/>
                    <w:bidi w:val="0"/>
                    <w:rPr>
                      <w:rFonts w:hint="eastAsia"/>
                      <w:lang w:val="en-US" w:eastAsia="zh-CN"/>
                    </w:rPr>
                  </w:pPr>
                  <w:r>
                    <w:rPr>
                      <w:rFonts w:hint="eastAsia"/>
                      <w:lang w:val="en-US" w:eastAsia="zh-CN"/>
                    </w:rPr>
                    <w:t>2</w:t>
                  </w:r>
                </w:p>
              </w:tc>
              <w:tc>
                <w:tcPr>
                  <w:tcW w:w="1410" w:type="pct"/>
                  <w:noWrap w:val="0"/>
                  <w:vAlign w:val="center"/>
                </w:tcPr>
                <w:p>
                  <w:pPr>
                    <w:pStyle w:val="40"/>
                    <w:bidi w:val="0"/>
                    <w:rPr>
                      <w:rFonts w:hint="eastAsia"/>
                      <w:lang w:val="en-US" w:eastAsia="zh-CN"/>
                    </w:rPr>
                  </w:pPr>
                  <w:r>
                    <w:rPr>
                      <w:rFonts w:hint="eastAsia"/>
                      <w:lang w:val="en-US" w:eastAsia="zh-CN"/>
                    </w:rPr>
                    <w:t>100t粉煤灰筒仓</w:t>
                  </w:r>
                </w:p>
              </w:tc>
              <w:tc>
                <w:tcPr>
                  <w:tcW w:w="832" w:type="pct"/>
                  <w:shd w:val="clear" w:color="auto" w:fill="auto"/>
                  <w:noWrap w:val="0"/>
                  <w:vAlign w:val="center"/>
                </w:tcPr>
                <w:p>
                  <w:pPr>
                    <w:pStyle w:val="40"/>
                    <w:bidi w:val="0"/>
                    <w:rPr>
                      <w:rFonts w:hint="default"/>
                      <w:lang w:val="en-US" w:eastAsia="zh-CN"/>
                    </w:rPr>
                  </w:pPr>
                  <w:r>
                    <w:rPr>
                      <w:rFonts w:hint="eastAsia"/>
                      <w:lang w:val="en-US" w:eastAsia="zh-CN"/>
                    </w:rPr>
                    <w:t>1</w:t>
                  </w:r>
                </w:p>
              </w:tc>
              <w:tc>
                <w:tcPr>
                  <w:tcW w:w="801" w:type="pct"/>
                  <w:shd w:val="clear" w:color="auto" w:fill="auto"/>
                  <w:noWrap w:val="0"/>
                  <w:vAlign w:val="center"/>
                </w:tcPr>
                <w:p>
                  <w:pPr>
                    <w:pStyle w:val="40"/>
                    <w:bidi w:val="0"/>
                    <w:rPr>
                      <w:rFonts w:hint="default"/>
                      <w:lang w:val="en-US" w:eastAsia="zh-CN"/>
                    </w:rPr>
                  </w:pPr>
                  <w:r>
                    <w:rPr>
                      <w:rFonts w:hint="eastAsia"/>
                      <w:lang w:val="en-US" w:eastAsia="zh-CN"/>
                    </w:rPr>
                    <w:t>座</w:t>
                  </w:r>
                </w:p>
              </w:tc>
              <w:tc>
                <w:tcPr>
                  <w:tcW w:w="1427" w:type="pct"/>
                  <w:vMerge w:val="continue"/>
                  <w:noWrap w:val="0"/>
                  <w:vAlign w:val="center"/>
                </w:tcPr>
                <w:p>
                  <w:pPr>
                    <w:pStyle w:val="4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27" w:type="pct"/>
                  <w:noWrap w:val="0"/>
                  <w:vAlign w:val="center"/>
                </w:tcPr>
                <w:p>
                  <w:pPr>
                    <w:pStyle w:val="40"/>
                    <w:bidi w:val="0"/>
                    <w:rPr>
                      <w:rFonts w:hint="eastAsia"/>
                      <w:lang w:val="en-US" w:eastAsia="zh-CN"/>
                    </w:rPr>
                  </w:pPr>
                  <w:r>
                    <w:rPr>
                      <w:rFonts w:hint="eastAsia"/>
                      <w:lang w:val="en-US" w:eastAsia="zh-CN"/>
                    </w:rPr>
                    <w:t>3</w:t>
                  </w:r>
                </w:p>
              </w:tc>
              <w:tc>
                <w:tcPr>
                  <w:tcW w:w="1410"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100t矿粉筒仓</w:t>
                  </w:r>
                </w:p>
              </w:tc>
              <w:tc>
                <w:tcPr>
                  <w:tcW w:w="832"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1</w:t>
                  </w:r>
                </w:p>
              </w:tc>
              <w:tc>
                <w:tcPr>
                  <w:tcW w:w="801"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座</w:t>
                  </w:r>
                </w:p>
              </w:tc>
              <w:tc>
                <w:tcPr>
                  <w:tcW w:w="1427" w:type="pct"/>
                  <w:vMerge w:val="continue"/>
                  <w:noWrap w:val="0"/>
                  <w:vAlign w:val="center"/>
                </w:tcPr>
                <w:p>
                  <w:pPr>
                    <w:pStyle w:val="4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trPr>
              <w:tc>
                <w:tcPr>
                  <w:tcW w:w="527" w:type="pct"/>
                  <w:noWrap w:val="0"/>
                  <w:vAlign w:val="center"/>
                </w:tcPr>
                <w:p>
                  <w:pPr>
                    <w:pStyle w:val="40"/>
                    <w:bidi w:val="0"/>
                    <w:rPr>
                      <w:rFonts w:hint="eastAsia"/>
                      <w:lang w:val="en-US" w:eastAsia="zh-CN"/>
                    </w:rPr>
                  </w:pPr>
                  <w:r>
                    <w:rPr>
                      <w:rFonts w:hint="eastAsia"/>
                      <w:lang w:val="en-US" w:eastAsia="zh-CN"/>
                    </w:rPr>
                    <w:t>4</w:t>
                  </w:r>
                </w:p>
              </w:tc>
              <w:tc>
                <w:tcPr>
                  <w:tcW w:w="1410" w:type="pct"/>
                  <w:noWrap w:val="0"/>
                  <w:vAlign w:val="center"/>
                </w:tcPr>
                <w:p>
                  <w:pPr>
                    <w:pStyle w:val="40"/>
                    <w:bidi w:val="0"/>
                    <w:rPr>
                      <w:rFonts w:hint="default"/>
                      <w:lang w:val="en-US" w:eastAsia="zh-CN"/>
                    </w:rPr>
                  </w:pPr>
                  <w:r>
                    <w:rPr>
                      <w:rFonts w:hint="eastAsia"/>
                      <w:lang w:val="en-US" w:eastAsia="zh-CN"/>
                    </w:rPr>
                    <w:t>10t外加剂罐</w:t>
                  </w:r>
                </w:p>
              </w:tc>
              <w:tc>
                <w:tcPr>
                  <w:tcW w:w="832" w:type="pct"/>
                  <w:shd w:val="clear" w:color="auto" w:fill="auto"/>
                  <w:noWrap w:val="0"/>
                  <w:vAlign w:val="center"/>
                </w:tcPr>
                <w:p>
                  <w:pPr>
                    <w:pStyle w:val="40"/>
                    <w:bidi w:val="0"/>
                    <w:rPr>
                      <w:rFonts w:hint="default"/>
                      <w:lang w:val="en-US" w:eastAsia="zh-CN"/>
                    </w:rPr>
                  </w:pPr>
                  <w:r>
                    <w:rPr>
                      <w:rFonts w:hint="eastAsia"/>
                      <w:lang w:val="en-US" w:eastAsia="zh-CN"/>
                    </w:rPr>
                    <w:t>1</w:t>
                  </w:r>
                </w:p>
              </w:tc>
              <w:tc>
                <w:tcPr>
                  <w:tcW w:w="801" w:type="pct"/>
                  <w:shd w:val="clear" w:color="auto" w:fill="auto"/>
                  <w:noWrap w:val="0"/>
                  <w:vAlign w:val="center"/>
                </w:tcPr>
                <w:p>
                  <w:pPr>
                    <w:pStyle w:val="40"/>
                    <w:bidi w:val="0"/>
                    <w:rPr>
                      <w:rFonts w:hint="default"/>
                      <w:lang w:val="en-US" w:eastAsia="zh-CN"/>
                    </w:rPr>
                  </w:pPr>
                  <w:r>
                    <w:rPr>
                      <w:rFonts w:hint="eastAsia"/>
                      <w:lang w:val="en-US" w:eastAsia="zh-CN"/>
                    </w:rPr>
                    <w:t>个</w:t>
                  </w:r>
                </w:p>
              </w:tc>
              <w:tc>
                <w:tcPr>
                  <w:tcW w:w="1427" w:type="pct"/>
                  <w:vMerge w:val="continue"/>
                  <w:noWrap w:val="0"/>
                  <w:vAlign w:val="center"/>
                </w:tcPr>
                <w:p>
                  <w:pPr>
                    <w:pStyle w:val="4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trPr>
              <w:tc>
                <w:tcPr>
                  <w:tcW w:w="527" w:type="pct"/>
                  <w:shd w:val="clear" w:color="auto" w:fill="auto"/>
                  <w:noWrap w:val="0"/>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5</w:t>
                  </w:r>
                </w:p>
              </w:tc>
              <w:tc>
                <w:tcPr>
                  <w:tcW w:w="1410" w:type="pct"/>
                  <w:shd w:val="clear" w:color="auto" w:fill="auto"/>
                  <w:noWrap w:val="0"/>
                  <w:vAlign w:val="center"/>
                </w:tcPr>
                <w:p>
                  <w:pPr>
                    <w:pStyle w:val="40"/>
                    <w:bidi w:val="0"/>
                    <w:rPr>
                      <w:rFonts w:hint="default"/>
                      <w:lang w:val="en-US" w:eastAsia="zh-CN"/>
                    </w:rPr>
                  </w:pPr>
                  <w:r>
                    <w:rPr>
                      <w:rFonts w:hint="eastAsia"/>
                      <w:lang w:val="en-US" w:eastAsia="zh-CN"/>
                    </w:rPr>
                    <w:t>输送皮带</w:t>
                  </w:r>
                </w:p>
              </w:tc>
              <w:tc>
                <w:tcPr>
                  <w:tcW w:w="832" w:type="pct"/>
                  <w:shd w:val="clear" w:color="auto" w:fill="auto"/>
                  <w:noWrap w:val="0"/>
                  <w:vAlign w:val="bottom"/>
                </w:tcPr>
                <w:p>
                  <w:pPr>
                    <w:pStyle w:val="40"/>
                    <w:bidi w:val="0"/>
                    <w:rPr>
                      <w:rFonts w:hint="default"/>
                      <w:lang w:val="en-US" w:eastAsia="zh-CN"/>
                    </w:rPr>
                  </w:pPr>
                  <w:r>
                    <w:rPr>
                      <w:rFonts w:hint="eastAsia"/>
                      <w:lang w:val="en-US" w:eastAsia="zh-CN"/>
                    </w:rPr>
                    <w:t>1</w:t>
                  </w:r>
                </w:p>
              </w:tc>
              <w:tc>
                <w:tcPr>
                  <w:tcW w:w="801" w:type="pct"/>
                  <w:shd w:val="clear" w:color="auto" w:fill="auto"/>
                  <w:noWrap w:val="0"/>
                  <w:vAlign w:val="bottom"/>
                </w:tcPr>
                <w:p>
                  <w:pPr>
                    <w:pStyle w:val="40"/>
                    <w:bidi w:val="0"/>
                    <w:rPr>
                      <w:rFonts w:hint="default"/>
                      <w:lang w:val="en-US" w:eastAsia="zh-CN"/>
                    </w:rPr>
                  </w:pPr>
                  <w:r>
                    <w:rPr>
                      <w:rFonts w:hint="eastAsia"/>
                      <w:lang w:val="en-US" w:eastAsia="zh-CN"/>
                    </w:rPr>
                    <w:t>条</w:t>
                  </w:r>
                </w:p>
              </w:tc>
              <w:tc>
                <w:tcPr>
                  <w:tcW w:w="1427" w:type="pct"/>
                  <w:vMerge w:val="restart"/>
                  <w:shd w:val="clear" w:color="auto" w:fill="auto"/>
                  <w:noWrap w:val="0"/>
                  <w:vAlign w:val="center"/>
                </w:tcPr>
                <w:p>
                  <w:pPr>
                    <w:pStyle w:val="40"/>
                    <w:bidi w:val="0"/>
                    <w:rPr>
                      <w:rFonts w:hint="default"/>
                      <w:lang w:val="en-US" w:eastAsia="zh-CN"/>
                    </w:rPr>
                  </w:pPr>
                  <w:r>
                    <w:rPr>
                      <w:rFonts w:hint="eastAsia"/>
                      <w:lang w:val="en-US" w:eastAsia="zh-CN"/>
                    </w:rPr>
                    <w:t>搅拌系统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pct"/>
                  <w:shd w:val="clear" w:color="auto" w:fill="auto"/>
                  <w:noWrap w:val="0"/>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6</w:t>
                  </w:r>
                </w:p>
              </w:tc>
              <w:tc>
                <w:tcPr>
                  <w:tcW w:w="1410" w:type="pct"/>
                  <w:noWrap w:val="0"/>
                  <w:vAlign w:val="center"/>
                </w:tcPr>
                <w:p>
                  <w:pPr>
                    <w:pStyle w:val="40"/>
                    <w:bidi w:val="0"/>
                    <w:rPr>
                      <w:rFonts w:hint="eastAsia" w:eastAsia="宋体"/>
                      <w:lang w:val="en-US" w:eastAsia="zh-CN"/>
                    </w:rPr>
                  </w:pPr>
                  <w:r>
                    <w:rPr>
                      <w:rFonts w:hint="eastAsia"/>
                      <w:lang w:val="en-US" w:eastAsia="zh-CN"/>
                    </w:rPr>
                    <w:t>供水水泵</w:t>
                  </w:r>
                </w:p>
              </w:tc>
              <w:tc>
                <w:tcPr>
                  <w:tcW w:w="832" w:type="pct"/>
                  <w:shd w:val="clear" w:color="auto" w:fill="auto"/>
                  <w:noWrap w:val="0"/>
                  <w:vAlign w:val="center"/>
                </w:tcPr>
                <w:p>
                  <w:pPr>
                    <w:pStyle w:val="40"/>
                    <w:bidi w:val="0"/>
                    <w:rPr>
                      <w:rFonts w:hint="default"/>
                      <w:lang w:val="en-US" w:eastAsia="zh-CN"/>
                    </w:rPr>
                  </w:pPr>
                  <w:r>
                    <w:rPr>
                      <w:rFonts w:hint="eastAsia"/>
                      <w:lang w:val="en-US" w:eastAsia="zh-CN"/>
                    </w:rPr>
                    <w:t>1</w:t>
                  </w:r>
                </w:p>
              </w:tc>
              <w:tc>
                <w:tcPr>
                  <w:tcW w:w="801" w:type="pct"/>
                  <w:shd w:val="clear" w:color="auto" w:fill="auto"/>
                  <w:noWrap w:val="0"/>
                  <w:vAlign w:val="center"/>
                </w:tcPr>
                <w:p>
                  <w:pPr>
                    <w:pStyle w:val="40"/>
                    <w:bidi w:val="0"/>
                    <w:rPr>
                      <w:rFonts w:hint="default"/>
                      <w:lang w:val="en-US" w:eastAsia="zh-CN"/>
                    </w:rPr>
                  </w:pPr>
                  <w:r>
                    <w:rPr>
                      <w:rFonts w:hint="eastAsia"/>
                      <w:lang w:val="en-US" w:eastAsia="zh-CN"/>
                    </w:rPr>
                    <w:t>个</w:t>
                  </w:r>
                </w:p>
              </w:tc>
              <w:tc>
                <w:tcPr>
                  <w:tcW w:w="1427" w:type="pct"/>
                  <w:vMerge w:val="continue"/>
                  <w:noWrap w:val="0"/>
                  <w:vAlign w:val="center"/>
                </w:tcPr>
                <w:p>
                  <w:pPr>
                    <w:pStyle w:val="4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pct"/>
                  <w:shd w:val="clear" w:color="auto" w:fill="auto"/>
                  <w:noWrap w:val="0"/>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7</w:t>
                  </w:r>
                </w:p>
              </w:tc>
              <w:tc>
                <w:tcPr>
                  <w:tcW w:w="1410" w:type="pct"/>
                  <w:shd w:val="clear" w:color="auto" w:fill="auto"/>
                  <w:noWrap w:val="0"/>
                  <w:vAlign w:val="center"/>
                </w:tcPr>
                <w:p>
                  <w:pPr>
                    <w:pStyle w:val="40"/>
                    <w:bidi w:val="0"/>
                    <w:rPr>
                      <w:rFonts w:hint="default"/>
                      <w:lang w:val="en-US" w:eastAsia="zh-CN"/>
                    </w:rPr>
                  </w:pPr>
                  <w:r>
                    <w:rPr>
                      <w:rFonts w:hint="eastAsia"/>
                      <w:lang w:val="en-US" w:eastAsia="zh-CN"/>
                    </w:rPr>
                    <w:t>搅拌机</w:t>
                  </w:r>
                </w:p>
              </w:tc>
              <w:tc>
                <w:tcPr>
                  <w:tcW w:w="832" w:type="pct"/>
                  <w:shd w:val="clear" w:color="auto" w:fill="auto"/>
                  <w:noWrap w:val="0"/>
                  <w:vAlign w:val="center"/>
                </w:tcPr>
                <w:p>
                  <w:pPr>
                    <w:pStyle w:val="40"/>
                    <w:bidi w:val="0"/>
                    <w:rPr>
                      <w:rFonts w:hint="default"/>
                      <w:lang w:val="en-US" w:eastAsia="zh-CN"/>
                    </w:rPr>
                  </w:pPr>
                  <w:r>
                    <w:rPr>
                      <w:rFonts w:hint="eastAsia"/>
                      <w:lang w:val="en-US" w:eastAsia="zh-CN"/>
                    </w:rPr>
                    <w:t>1</w:t>
                  </w:r>
                </w:p>
              </w:tc>
              <w:tc>
                <w:tcPr>
                  <w:tcW w:w="801" w:type="pct"/>
                  <w:shd w:val="clear" w:color="auto" w:fill="auto"/>
                  <w:noWrap w:val="0"/>
                  <w:vAlign w:val="center"/>
                </w:tcPr>
                <w:p>
                  <w:pPr>
                    <w:pStyle w:val="40"/>
                    <w:bidi w:val="0"/>
                    <w:rPr>
                      <w:rFonts w:hint="default"/>
                      <w:lang w:val="en-US" w:eastAsia="zh-CN"/>
                    </w:rPr>
                  </w:pPr>
                  <w:r>
                    <w:rPr>
                      <w:rFonts w:hint="eastAsia"/>
                      <w:lang w:val="en-US" w:eastAsia="zh-CN"/>
                    </w:rPr>
                    <w:t>套</w:t>
                  </w:r>
                </w:p>
              </w:tc>
              <w:tc>
                <w:tcPr>
                  <w:tcW w:w="1427" w:type="pct"/>
                  <w:vMerge w:val="continue"/>
                  <w:noWrap w:val="0"/>
                  <w:vAlign w:val="center"/>
                </w:tcPr>
                <w:p>
                  <w:pPr>
                    <w:pStyle w:val="40"/>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8</w:t>
                  </w:r>
                </w:p>
              </w:tc>
              <w:tc>
                <w:tcPr>
                  <w:tcW w:w="1410" w:type="pct"/>
                  <w:shd w:val="clear" w:color="auto" w:fill="auto"/>
                  <w:noWrap w:val="0"/>
                  <w:vAlign w:val="center"/>
                </w:tcPr>
                <w:p>
                  <w:pPr>
                    <w:pStyle w:val="40"/>
                    <w:bidi w:val="0"/>
                    <w:rPr>
                      <w:rFonts w:hint="eastAsia" w:eastAsia="宋体"/>
                      <w:lang w:val="en-US" w:eastAsia="zh-CN"/>
                    </w:rPr>
                  </w:pPr>
                  <w:r>
                    <w:rPr>
                      <w:rFonts w:hint="eastAsia"/>
                      <w:lang w:val="en-US" w:eastAsia="zh-CN"/>
                    </w:rPr>
                    <w:t>搅拌车</w:t>
                  </w:r>
                </w:p>
              </w:tc>
              <w:tc>
                <w:tcPr>
                  <w:tcW w:w="832" w:type="pct"/>
                  <w:shd w:val="clear" w:color="auto" w:fill="auto"/>
                  <w:noWrap w:val="0"/>
                  <w:vAlign w:val="center"/>
                </w:tcPr>
                <w:p>
                  <w:pPr>
                    <w:pStyle w:val="40"/>
                    <w:bidi w:val="0"/>
                    <w:rPr>
                      <w:rFonts w:hint="default"/>
                      <w:lang w:val="en-US" w:eastAsia="zh-CN"/>
                    </w:rPr>
                  </w:pPr>
                  <w:r>
                    <w:rPr>
                      <w:rFonts w:hint="eastAsia"/>
                      <w:lang w:val="en-US" w:eastAsia="zh-CN"/>
                    </w:rPr>
                    <w:t>1</w:t>
                  </w:r>
                </w:p>
              </w:tc>
              <w:tc>
                <w:tcPr>
                  <w:tcW w:w="801" w:type="pct"/>
                  <w:shd w:val="clear" w:color="auto" w:fill="auto"/>
                  <w:noWrap w:val="0"/>
                  <w:vAlign w:val="center"/>
                </w:tcPr>
                <w:p>
                  <w:pPr>
                    <w:pStyle w:val="40"/>
                    <w:bidi w:val="0"/>
                    <w:rPr>
                      <w:rFonts w:hint="default"/>
                      <w:lang w:val="en-US" w:eastAsia="zh-CN"/>
                    </w:rPr>
                  </w:pPr>
                  <w:r>
                    <w:rPr>
                      <w:rFonts w:hint="eastAsia"/>
                      <w:lang w:val="en-US" w:eastAsia="zh-CN"/>
                    </w:rPr>
                    <w:t>辆</w:t>
                  </w:r>
                </w:p>
              </w:tc>
              <w:tc>
                <w:tcPr>
                  <w:tcW w:w="1427" w:type="pct"/>
                  <w:vMerge w:val="restart"/>
                  <w:noWrap w:val="0"/>
                  <w:vAlign w:val="center"/>
                </w:tcPr>
                <w:p>
                  <w:pPr>
                    <w:pStyle w:val="40"/>
                    <w:bidi w:val="0"/>
                    <w:rPr>
                      <w:rFonts w:hint="default"/>
                      <w:lang w:val="en-US" w:eastAsia="zh-CN"/>
                    </w:rPr>
                  </w:pPr>
                  <w:r>
                    <w:rPr>
                      <w:rFonts w:hint="eastAsia"/>
                      <w:lang w:val="en-US" w:eastAsia="zh-CN"/>
                    </w:rPr>
                    <w:t>运输系统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9</w:t>
                  </w:r>
                </w:p>
              </w:tc>
              <w:tc>
                <w:tcPr>
                  <w:tcW w:w="1410" w:type="pct"/>
                  <w:shd w:val="clear" w:color="auto" w:fill="auto"/>
                  <w:noWrap w:val="0"/>
                  <w:vAlign w:val="center"/>
                </w:tcPr>
                <w:p>
                  <w:pPr>
                    <w:pStyle w:val="40"/>
                    <w:bidi w:val="0"/>
                    <w:rPr>
                      <w:rFonts w:hint="default" w:eastAsia="宋体"/>
                      <w:lang w:val="en-US" w:eastAsia="zh-CN"/>
                    </w:rPr>
                  </w:pPr>
                  <w:r>
                    <w:rPr>
                      <w:rFonts w:hint="eastAsia"/>
                      <w:lang w:val="en-US" w:eastAsia="zh-CN"/>
                    </w:rPr>
                    <w:t>泵车</w:t>
                  </w:r>
                </w:p>
              </w:tc>
              <w:tc>
                <w:tcPr>
                  <w:tcW w:w="832" w:type="pct"/>
                  <w:shd w:val="clear" w:color="auto" w:fill="auto"/>
                  <w:noWrap w:val="0"/>
                  <w:vAlign w:val="center"/>
                </w:tcPr>
                <w:p>
                  <w:pPr>
                    <w:pStyle w:val="40"/>
                    <w:bidi w:val="0"/>
                    <w:rPr>
                      <w:rFonts w:hint="default"/>
                      <w:lang w:val="en-US" w:eastAsia="zh-CN"/>
                    </w:rPr>
                  </w:pPr>
                  <w:r>
                    <w:rPr>
                      <w:rFonts w:hint="eastAsia"/>
                      <w:lang w:val="en-US" w:eastAsia="zh-CN"/>
                    </w:rPr>
                    <w:t>1</w:t>
                  </w:r>
                </w:p>
              </w:tc>
              <w:tc>
                <w:tcPr>
                  <w:tcW w:w="801" w:type="pct"/>
                  <w:shd w:val="clear" w:color="auto" w:fill="auto"/>
                  <w:noWrap w:val="0"/>
                  <w:vAlign w:val="center"/>
                </w:tcPr>
                <w:p>
                  <w:pPr>
                    <w:pStyle w:val="40"/>
                    <w:bidi w:val="0"/>
                    <w:rPr>
                      <w:rFonts w:hint="default"/>
                      <w:lang w:val="en-US" w:eastAsia="zh-CN"/>
                    </w:rPr>
                  </w:pPr>
                  <w:r>
                    <w:rPr>
                      <w:rFonts w:hint="eastAsia"/>
                      <w:lang w:val="en-US" w:eastAsia="zh-CN"/>
                    </w:rPr>
                    <w:t>辆</w:t>
                  </w:r>
                </w:p>
              </w:tc>
              <w:tc>
                <w:tcPr>
                  <w:tcW w:w="1427" w:type="pct"/>
                  <w:vMerge w:val="continue"/>
                  <w:noWrap w:val="0"/>
                  <w:vAlign w:val="center"/>
                </w:tcPr>
                <w:p>
                  <w:pPr>
                    <w:pStyle w:val="40"/>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 w:hRule="atLeast"/>
              </w:trPr>
              <w:tc>
                <w:tcPr>
                  <w:tcW w:w="527"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10</w:t>
                  </w:r>
                </w:p>
              </w:tc>
              <w:tc>
                <w:tcPr>
                  <w:tcW w:w="1410" w:type="pct"/>
                  <w:shd w:val="clear" w:color="auto" w:fill="auto"/>
                  <w:noWrap w:val="0"/>
                  <w:vAlign w:val="center"/>
                </w:tcPr>
                <w:p>
                  <w:pPr>
                    <w:pStyle w:val="40"/>
                    <w:bidi w:val="0"/>
                    <w:rPr>
                      <w:rFonts w:hint="default"/>
                      <w:lang w:val="en-US" w:eastAsia="zh-CN"/>
                    </w:rPr>
                  </w:pPr>
                  <w:r>
                    <w:rPr>
                      <w:rFonts w:hint="eastAsia"/>
                      <w:lang w:val="en-US" w:eastAsia="zh-CN"/>
                    </w:rPr>
                    <w:t>皮卡车</w:t>
                  </w:r>
                </w:p>
              </w:tc>
              <w:tc>
                <w:tcPr>
                  <w:tcW w:w="832" w:type="pct"/>
                  <w:shd w:val="clear" w:color="auto" w:fill="auto"/>
                  <w:noWrap w:val="0"/>
                  <w:vAlign w:val="center"/>
                </w:tcPr>
                <w:p>
                  <w:pPr>
                    <w:pStyle w:val="40"/>
                    <w:bidi w:val="0"/>
                    <w:rPr>
                      <w:rFonts w:hint="default"/>
                      <w:lang w:val="en-US" w:eastAsia="zh-CN"/>
                    </w:rPr>
                  </w:pPr>
                  <w:r>
                    <w:rPr>
                      <w:rFonts w:hint="eastAsia"/>
                      <w:lang w:val="en-US" w:eastAsia="zh-CN"/>
                    </w:rPr>
                    <w:t>1</w:t>
                  </w:r>
                </w:p>
              </w:tc>
              <w:tc>
                <w:tcPr>
                  <w:tcW w:w="801" w:type="pct"/>
                  <w:shd w:val="clear" w:color="auto" w:fill="auto"/>
                  <w:noWrap w:val="0"/>
                  <w:vAlign w:val="center"/>
                </w:tcPr>
                <w:p>
                  <w:pPr>
                    <w:pStyle w:val="40"/>
                    <w:bidi w:val="0"/>
                    <w:rPr>
                      <w:rFonts w:hint="default"/>
                      <w:lang w:val="en-US" w:eastAsia="zh-CN"/>
                    </w:rPr>
                  </w:pPr>
                  <w:r>
                    <w:rPr>
                      <w:rFonts w:hint="default"/>
                      <w:lang w:val="en-US" w:eastAsia="zh-CN"/>
                    </w:rPr>
                    <w:t>辆</w:t>
                  </w:r>
                </w:p>
              </w:tc>
              <w:tc>
                <w:tcPr>
                  <w:tcW w:w="1427" w:type="pct"/>
                  <w:vMerge w:val="continue"/>
                  <w:noWrap w:val="0"/>
                  <w:vAlign w:val="center"/>
                </w:tcPr>
                <w:p>
                  <w:pPr>
                    <w:pStyle w:val="40"/>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27"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w:t>
                  </w:r>
                </w:p>
              </w:tc>
              <w:tc>
                <w:tcPr>
                  <w:tcW w:w="1410" w:type="pct"/>
                  <w:shd w:val="clear" w:color="auto" w:fill="auto"/>
                  <w:noWrap w:val="0"/>
                  <w:vAlign w:val="center"/>
                </w:tcPr>
                <w:p>
                  <w:pPr>
                    <w:pStyle w:val="40"/>
                    <w:bidi w:val="0"/>
                    <w:rPr>
                      <w:rFonts w:hint="default"/>
                      <w:lang w:val="en-US" w:eastAsia="zh-CN"/>
                    </w:rPr>
                  </w:pPr>
                  <w:r>
                    <w:rPr>
                      <w:rFonts w:hint="eastAsia"/>
                      <w:lang w:val="en-US" w:eastAsia="zh-CN"/>
                    </w:rPr>
                    <w:t>装载机</w:t>
                  </w:r>
                </w:p>
              </w:tc>
              <w:tc>
                <w:tcPr>
                  <w:tcW w:w="832" w:type="pct"/>
                  <w:shd w:val="clear" w:color="auto" w:fill="auto"/>
                  <w:noWrap w:val="0"/>
                  <w:vAlign w:val="center"/>
                </w:tcPr>
                <w:p>
                  <w:pPr>
                    <w:pStyle w:val="40"/>
                    <w:bidi w:val="0"/>
                    <w:rPr>
                      <w:rFonts w:hint="default"/>
                      <w:lang w:val="en-US" w:eastAsia="zh-CN"/>
                    </w:rPr>
                  </w:pPr>
                  <w:r>
                    <w:rPr>
                      <w:rFonts w:hint="eastAsia"/>
                      <w:lang w:val="en-US" w:eastAsia="zh-CN"/>
                    </w:rPr>
                    <w:t>1</w:t>
                  </w:r>
                </w:p>
              </w:tc>
              <w:tc>
                <w:tcPr>
                  <w:tcW w:w="801" w:type="pct"/>
                  <w:shd w:val="clear" w:color="auto" w:fill="auto"/>
                  <w:noWrap w:val="0"/>
                  <w:vAlign w:val="center"/>
                </w:tcPr>
                <w:p>
                  <w:pPr>
                    <w:pStyle w:val="40"/>
                    <w:bidi w:val="0"/>
                    <w:rPr>
                      <w:rFonts w:hint="default"/>
                      <w:lang w:val="en-US" w:eastAsia="zh-CN"/>
                    </w:rPr>
                  </w:pPr>
                  <w:r>
                    <w:rPr>
                      <w:rFonts w:hint="default"/>
                      <w:lang w:val="en-US" w:eastAsia="zh-CN"/>
                    </w:rPr>
                    <w:t>辆</w:t>
                  </w:r>
                </w:p>
              </w:tc>
              <w:tc>
                <w:tcPr>
                  <w:tcW w:w="1427" w:type="pct"/>
                  <w:vMerge w:val="continue"/>
                  <w:noWrap w:val="0"/>
                  <w:vAlign w:val="center"/>
                </w:tcPr>
                <w:p>
                  <w:pPr>
                    <w:pStyle w:val="40"/>
                    <w:bidi w:val="0"/>
                    <w:rPr>
                      <w:rFonts w:hint="default"/>
                      <w:lang w:val="en-US" w:eastAsia="zh-CN"/>
                    </w:rPr>
                  </w:pPr>
                </w:p>
              </w:tc>
            </w:tr>
          </w:tbl>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7.主要原辅材料</w:t>
            </w:r>
          </w:p>
          <w:p>
            <w:pPr>
              <w:pStyle w:val="8"/>
              <w:keepLines w:val="0"/>
              <w:pageBreakBefore w:val="0"/>
              <w:kinsoku/>
              <w:wordWrap/>
              <w:topLinePunct w:val="0"/>
              <w:autoSpaceDE/>
              <w:autoSpaceDN/>
              <w:bidi w:val="0"/>
              <w:spacing w:beforeAutospacing="0" w:afterAutospacing="0"/>
              <w:textAlignment w:val="auto"/>
              <w:rPr>
                <w:rFonts w:hint="eastAsia" w:cs="Times New Roman"/>
                <w:lang w:val="en-US" w:eastAsia="zh-CN"/>
              </w:rPr>
            </w:pPr>
            <w:r>
              <w:rPr>
                <w:rFonts w:hint="eastAsia"/>
              </w:rPr>
              <w:t>本项目所需主要原辅材料消耗及来源见下表</w:t>
            </w:r>
            <w:r>
              <w:rPr>
                <w:rFonts w:hint="eastAsia"/>
                <w:lang w:val="en-US" w:eastAsia="zh-CN"/>
              </w:rPr>
              <w:t>2-4。</w:t>
            </w:r>
          </w:p>
          <w:p>
            <w:pPr>
              <w:pStyle w:val="4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表2-4    项目主要原辅材料、能源消耗和来源一览表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83"/>
              <w:gridCol w:w="969"/>
              <w:gridCol w:w="924"/>
              <w:gridCol w:w="1038"/>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rPr>
                  </w:pPr>
                  <w:r>
                    <w:rPr>
                      <w:rFonts w:hint="default"/>
                    </w:rPr>
                    <w:t>序号</w:t>
                  </w:r>
                </w:p>
              </w:tc>
              <w:tc>
                <w:tcPr>
                  <w:tcW w:w="80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rPr>
                  </w:pPr>
                  <w:r>
                    <w:rPr>
                      <w:rFonts w:hint="default"/>
                    </w:rPr>
                    <w:t>名称</w:t>
                  </w:r>
                </w:p>
              </w:tc>
              <w:tc>
                <w:tcPr>
                  <w:tcW w:w="610"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rPr>
                  </w:pPr>
                  <w:r>
                    <w:rPr>
                      <w:rFonts w:hint="default"/>
                    </w:rPr>
                    <w:t>单位</w:t>
                  </w:r>
                </w:p>
              </w:tc>
              <w:tc>
                <w:tcPr>
                  <w:tcW w:w="582"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rPr>
                  </w:pPr>
                  <w:r>
                    <w:rPr>
                      <w:rFonts w:hint="default"/>
                    </w:rPr>
                    <w:t>年耗量</w:t>
                  </w:r>
                </w:p>
              </w:tc>
              <w:tc>
                <w:tcPr>
                  <w:tcW w:w="654"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rPr>
                  </w:pPr>
                  <w:r>
                    <w:rPr>
                      <w:rFonts w:hint="default"/>
                    </w:rPr>
                    <w:t>来源</w:t>
                  </w:r>
                </w:p>
              </w:tc>
              <w:tc>
                <w:tcPr>
                  <w:tcW w:w="1915"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rPr>
                  </w:pPr>
                  <w:r>
                    <w:rPr>
                      <w:rFonts w:hint="default"/>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42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rPr>
                  </w:pPr>
                  <w:r>
                    <w:rPr>
                      <w:rFonts w:hint="default"/>
                    </w:rPr>
                    <w:t>1</w:t>
                  </w:r>
                </w:p>
              </w:tc>
              <w:tc>
                <w:tcPr>
                  <w:tcW w:w="80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水泥</w:t>
                  </w:r>
                </w:p>
              </w:tc>
              <w:tc>
                <w:tcPr>
                  <w:tcW w:w="610" w:type="pct"/>
                  <w:noWrap w:val="0"/>
                  <w:vAlign w:val="center"/>
                </w:tcPr>
                <w:p>
                  <w:pPr>
                    <w:pStyle w:val="40"/>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default"/>
                      <w:lang w:val="en-US" w:eastAsia="zh-CN"/>
                    </w:rPr>
                  </w:pPr>
                  <w:r>
                    <w:rPr>
                      <w:rFonts w:hint="eastAsia"/>
                      <w:lang w:val="en-US" w:eastAsia="zh-CN"/>
                    </w:rPr>
                    <w:t>t/a</w:t>
                  </w:r>
                </w:p>
              </w:tc>
              <w:tc>
                <w:tcPr>
                  <w:tcW w:w="582"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15120</w:t>
                  </w:r>
                </w:p>
              </w:tc>
              <w:tc>
                <w:tcPr>
                  <w:tcW w:w="654"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rPr>
                  </w:pPr>
                  <w:r>
                    <w:rPr>
                      <w:rFonts w:hint="default"/>
                    </w:rPr>
                    <w:t>外购</w:t>
                  </w:r>
                </w:p>
              </w:tc>
              <w:tc>
                <w:tcPr>
                  <w:tcW w:w="1915"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封闭式筒仓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42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2</w:t>
                  </w:r>
                </w:p>
              </w:tc>
              <w:tc>
                <w:tcPr>
                  <w:tcW w:w="80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粉煤灰</w:t>
                  </w:r>
                </w:p>
              </w:tc>
              <w:tc>
                <w:tcPr>
                  <w:tcW w:w="610" w:type="pct"/>
                  <w:shd w:val="clear" w:color="auto" w:fill="auto"/>
                  <w:noWrap w:val="0"/>
                  <w:vAlign w:val="center"/>
                </w:tcPr>
                <w:p>
                  <w:pPr>
                    <w:pStyle w:val="40"/>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t/a</w:t>
                  </w:r>
                </w:p>
              </w:tc>
              <w:tc>
                <w:tcPr>
                  <w:tcW w:w="582"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3780</w:t>
                  </w:r>
                </w:p>
              </w:tc>
              <w:tc>
                <w:tcPr>
                  <w:tcW w:w="654"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default"/>
                    </w:rPr>
                    <w:t>外购</w:t>
                  </w:r>
                </w:p>
              </w:tc>
              <w:tc>
                <w:tcPr>
                  <w:tcW w:w="1915"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封闭式筒仓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3</w:t>
                  </w:r>
                </w:p>
              </w:tc>
              <w:tc>
                <w:tcPr>
                  <w:tcW w:w="80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矿粉</w:t>
                  </w:r>
                </w:p>
              </w:tc>
              <w:tc>
                <w:tcPr>
                  <w:tcW w:w="610" w:type="pct"/>
                  <w:shd w:val="clear" w:color="auto" w:fill="auto"/>
                  <w:noWrap w:val="0"/>
                  <w:vAlign w:val="center"/>
                </w:tcPr>
                <w:p>
                  <w:pPr>
                    <w:pStyle w:val="40"/>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t/a</w:t>
                  </w:r>
                </w:p>
              </w:tc>
              <w:tc>
                <w:tcPr>
                  <w:tcW w:w="582"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3240</w:t>
                  </w:r>
                </w:p>
              </w:tc>
              <w:tc>
                <w:tcPr>
                  <w:tcW w:w="654"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外购</w:t>
                  </w:r>
                </w:p>
              </w:tc>
              <w:tc>
                <w:tcPr>
                  <w:tcW w:w="1915"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封闭式筒仓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pc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lang w:eastAsia="zh-CN"/>
                    </w:rPr>
                  </w:pPr>
                  <w:r>
                    <w:rPr>
                      <w:rFonts w:hint="eastAsia"/>
                      <w:lang w:val="en-US" w:eastAsia="zh-CN"/>
                    </w:rPr>
                    <w:t>4</w:t>
                  </w:r>
                </w:p>
              </w:tc>
              <w:tc>
                <w:tcPr>
                  <w:tcW w:w="80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default"/>
                    </w:rPr>
                    <w:t>砂</w:t>
                  </w:r>
                  <w:r>
                    <w:rPr>
                      <w:rFonts w:hint="eastAsia"/>
                      <w:lang w:val="en-US" w:eastAsia="zh-CN"/>
                    </w:rPr>
                    <w:t>子</w:t>
                  </w:r>
                </w:p>
              </w:tc>
              <w:tc>
                <w:tcPr>
                  <w:tcW w:w="610" w:type="pct"/>
                  <w:shd w:val="clear" w:color="auto" w:fill="auto"/>
                  <w:noWrap w:val="0"/>
                  <w:vAlign w:val="center"/>
                </w:tcPr>
                <w:p>
                  <w:pPr>
                    <w:pStyle w:val="40"/>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t/a</w:t>
                  </w:r>
                </w:p>
              </w:tc>
              <w:tc>
                <w:tcPr>
                  <w:tcW w:w="582"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48600</w:t>
                  </w:r>
                </w:p>
              </w:tc>
              <w:tc>
                <w:tcPr>
                  <w:tcW w:w="654"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default"/>
                    </w:rPr>
                    <w:t>外购</w:t>
                  </w:r>
                </w:p>
              </w:tc>
              <w:tc>
                <w:tcPr>
                  <w:tcW w:w="1915"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粗砂，半封闭原料仓库堆存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5</w:t>
                  </w:r>
                </w:p>
              </w:tc>
              <w:tc>
                <w:tcPr>
                  <w:tcW w:w="80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石子</w:t>
                  </w:r>
                </w:p>
              </w:tc>
              <w:tc>
                <w:tcPr>
                  <w:tcW w:w="610" w:type="pct"/>
                  <w:shd w:val="clear" w:color="auto" w:fill="auto"/>
                  <w:noWrap w:val="0"/>
                  <w:vAlign w:val="center"/>
                </w:tcPr>
                <w:p>
                  <w:pPr>
                    <w:pStyle w:val="40"/>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t/a</w:t>
                  </w:r>
                </w:p>
              </w:tc>
              <w:tc>
                <w:tcPr>
                  <w:tcW w:w="582"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57240</w:t>
                  </w:r>
                </w:p>
              </w:tc>
              <w:tc>
                <w:tcPr>
                  <w:tcW w:w="654"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default"/>
                    </w:rPr>
                    <w:t>外购</w:t>
                  </w:r>
                </w:p>
              </w:tc>
              <w:tc>
                <w:tcPr>
                  <w:tcW w:w="1915"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highlight w:val="none"/>
                      <w:lang w:val="en-US" w:eastAsia="zh-CN"/>
                    </w:rPr>
                    <w:t>5–10mm碎石，半封闭原料仓库堆存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6</w:t>
                  </w:r>
                </w:p>
              </w:tc>
              <w:tc>
                <w:tcPr>
                  <w:tcW w:w="80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外加剂（减水剂）</w:t>
                  </w:r>
                </w:p>
              </w:tc>
              <w:tc>
                <w:tcPr>
                  <w:tcW w:w="610" w:type="pct"/>
                  <w:shd w:val="clear" w:color="auto" w:fill="auto"/>
                  <w:noWrap w:val="0"/>
                  <w:vAlign w:val="center"/>
                </w:tcPr>
                <w:p>
                  <w:pPr>
                    <w:pStyle w:val="40"/>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t/a</w:t>
                  </w:r>
                </w:p>
              </w:tc>
              <w:tc>
                <w:tcPr>
                  <w:tcW w:w="582"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265</w:t>
                  </w:r>
                </w:p>
              </w:tc>
              <w:tc>
                <w:tcPr>
                  <w:tcW w:w="654"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外购</w:t>
                  </w:r>
                </w:p>
              </w:tc>
              <w:tc>
                <w:tcPr>
                  <w:tcW w:w="1915"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聚羧酸系高效减水剂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7</w:t>
                  </w:r>
                </w:p>
              </w:tc>
              <w:tc>
                <w:tcPr>
                  <w:tcW w:w="80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用</w:t>
                  </w:r>
                  <w:r>
                    <w:t>电</w:t>
                  </w:r>
                  <w:r>
                    <w:rPr>
                      <w:rFonts w:hint="eastAsia"/>
                      <w:lang w:val="en-US" w:eastAsia="zh-CN"/>
                    </w:rPr>
                    <w:t>量</w:t>
                  </w:r>
                </w:p>
              </w:tc>
              <w:tc>
                <w:tcPr>
                  <w:tcW w:w="610"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万</w:t>
                  </w:r>
                  <w:r>
                    <w:rPr>
                      <w:rFonts w:hint="eastAsia"/>
                    </w:rPr>
                    <w:t>kWh/</w:t>
                  </w:r>
                  <w:r>
                    <w:rPr>
                      <w:rFonts w:hint="eastAsia"/>
                      <w:lang w:val="en-US" w:eastAsia="zh-CN"/>
                    </w:rPr>
                    <w:t>a</w:t>
                  </w:r>
                </w:p>
              </w:tc>
              <w:tc>
                <w:tcPr>
                  <w:tcW w:w="582"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highlight w:val="green"/>
                      <w:lang w:val="en-US" w:eastAsia="zh-CN" w:bidi="ar-SA"/>
                    </w:rPr>
                  </w:pPr>
                  <w:r>
                    <w:rPr>
                      <w:rFonts w:hint="eastAsia" w:cs="Times New Roman"/>
                      <w:kern w:val="2"/>
                      <w:sz w:val="21"/>
                      <w:szCs w:val="21"/>
                      <w:highlight w:val="none"/>
                      <w:lang w:val="en-US" w:eastAsia="zh-CN" w:bidi="ar-SA"/>
                    </w:rPr>
                    <w:t>1.6</w:t>
                  </w:r>
                </w:p>
              </w:tc>
              <w:tc>
                <w:tcPr>
                  <w:tcW w:w="654" w:type="pct"/>
                  <w:shd w:val="clear" w:color="auto" w:fill="auto"/>
                  <w:noWrap w:val="0"/>
                  <w:vAlign w:val="center"/>
                </w:tcPr>
                <w:p>
                  <w:pPr>
                    <w:pStyle w:val="40"/>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国家电网</w:t>
                  </w:r>
                </w:p>
              </w:tc>
              <w:tc>
                <w:tcPr>
                  <w:tcW w:w="1915"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w:t>
                  </w:r>
                </w:p>
              </w:tc>
              <w:tc>
                <w:tcPr>
                  <w:tcW w:w="808"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highlight w:val="none"/>
                      <w:lang w:val="en-US" w:eastAsia="zh-CN" w:bidi="ar-SA"/>
                    </w:rPr>
                  </w:pPr>
                  <w:r>
                    <w:rPr>
                      <w:rFonts w:hint="eastAsia"/>
                      <w:highlight w:val="none"/>
                      <w:lang w:val="en-US" w:eastAsia="zh-CN"/>
                    </w:rPr>
                    <w:t>用水量</w:t>
                  </w:r>
                </w:p>
              </w:tc>
              <w:tc>
                <w:tcPr>
                  <w:tcW w:w="610"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highlight w:val="none"/>
                      <w:lang w:val="en-US" w:eastAsia="zh-CN" w:bidi="ar-SA"/>
                    </w:rPr>
                  </w:pPr>
                  <w:r>
                    <w:rPr>
                      <w:rFonts w:hint="eastAsia"/>
                      <w:highlight w:val="none"/>
                      <w:lang w:val="en-US" w:eastAsia="zh-CN"/>
                    </w:rPr>
                    <w:t>m</w:t>
                  </w:r>
                  <w:r>
                    <w:rPr>
                      <w:rFonts w:hint="eastAsia"/>
                      <w:highlight w:val="none"/>
                      <w:vertAlign w:val="superscript"/>
                      <w:lang w:val="en-US" w:eastAsia="zh-CN"/>
                    </w:rPr>
                    <w:t>3</w:t>
                  </w:r>
                  <w:r>
                    <w:rPr>
                      <w:rFonts w:hint="eastAsia"/>
                      <w:highlight w:val="none"/>
                      <w:lang w:val="en-US" w:eastAsia="zh-CN"/>
                    </w:rPr>
                    <w:t>/a</w:t>
                  </w:r>
                </w:p>
              </w:tc>
              <w:tc>
                <w:tcPr>
                  <w:tcW w:w="582"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highlight w:val="green"/>
                      <w:lang w:val="en-US" w:eastAsia="zh-CN" w:bidi="ar-SA"/>
                    </w:rPr>
                  </w:pPr>
                  <w:r>
                    <w:rPr>
                      <w:rFonts w:hint="eastAsia" w:cs="Times New Roman"/>
                      <w:kern w:val="2"/>
                      <w:sz w:val="21"/>
                      <w:szCs w:val="21"/>
                      <w:highlight w:val="none"/>
                      <w:lang w:val="en-US" w:eastAsia="zh-CN" w:bidi="ar-SA"/>
                    </w:rPr>
                    <w:t>5803.2</w:t>
                  </w:r>
                </w:p>
              </w:tc>
              <w:tc>
                <w:tcPr>
                  <w:tcW w:w="654"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highlight w:val="none"/>
                      <w:lang w:val="en-US" w:eastAsia="zh-CN" w:bidi="ar-SA"/>
                    </w:rPr>
                  </w:pPr>
                  <w:r>
                    <w:rPr>
                      <w:rFonts w:hint="eastAsia"/>
                      <w:highlight w:val="none"/>
                      <w:lang w:val="en-US" w:eastAsia="zh-CN"/>
                    </w:rPr>
                    <w:t>拉运</w:t>
                  </w:r>
                </w:p>
              </w:tc>
              <w:tc>
                <w:tcPr>
                  <w:tcW w:w="1915"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highlight w:val="none"/>
                      <w:lang w:val="en-US" w:eastAsia="zh-CN" w:bidi="ar-SA"/>
                    </w:rPr>
                  </w:pPr>
                  <w:r>
                    <w:rPr>
                      <w:rFonts w:hint="eastAsia"/>
                      <w:highlight w:val="none"/>
                      <w:lang w:val="en-US" w:eastAsia="zh-CN"/>
                    </w:rPr>
                    <w:t>/</w:t>
                  </w:r>
                </w:p>
              </w:tc>
            </w:tr>
          </w:tbl>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本项目原辅材料理化性质详见下表。</w:t>
            </w:r>
          </w:p>
          <w:p>
            <w:pPr>
              <w:pStyle w:val="4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表2-5    原辅料理化性质一览表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98"/>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1" w:type="pc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序号</w:t>
                  </w:r>
                </w:p>
              </w:tc>
              <w:tc>
                <w:tcPr>
                  <w:tcW w:w="566" w:type="pc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名称</w:t>
                  </w:r>
                </w:p>
              </w:tc>
              <w:tc>
                <w:tcPr>
                  <w:tcW w:w="4012" w:type="pct"/>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1"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1</w:t>
                  </w:r>
                </w:p>
              </w:tc>
              <w:tc>
                <w:tcPr>
                  <w:tcW w:w="566" w:type="pct"/>
                  <w:shd w:val="clear" w:color="auto" w:fill="auto"/>
                  <w:noWrap w:val="0"/>
                  <w:vAlign w:val="center"/>
                </w:tcPr>
                <w:p>
                  <w:pPr>
                    <w:pStyle w:val="65"/>
                    <w:ind w:left="0" w:leftChars="0" w:firstLine="0" w:firstLineChars="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水泥</w:t>
                  </w:r>
                </w:p>
              </w:tc>
              <w:tc>
                <w:tcPr>
                  <w:tcW w:w="4012" w:type="pct"/>
                  <w:shd w:val="clear" w:color="auto" w:fill="auto"/>
                  <w:noWrap w:val="0"/>
                  <w:vAlign w:val="center"/>
                </w:tcPr>
                <w:p>
                  <w:pPr>
                    <w:pStyle w:val="65"/>
                    <w:ind w:left="0" w:leftChars="0" w:firstLine="0" w:firstLineChars="0"/>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粉状水硬性无机胶凝材料，以石灰石和粘土为主要原料。硅酸盐水泥的主要化学成分：氧化钙CaO，二氧化硅SiO</w:t>
                  </w:r>
                  <w:r>
                    <w:rPr>
                      <w:rFonts w:hint="default" w:ascii="Times New Roman" w:hAnsi="Times New Roman" w:eastAsia="宋体" w:cs="Times New Roman"/>
                      <w:vertAlign w:val="subscript"/>
                    </w:rPr>
                    <w:t>2</w:t>
                  </w:r>
                  <w:r>
                    <w:rPr>
                      <w:rFonts w:hint="default" w:ascii="Times New Roman" w:hAnsi="Times New Roman" w:eastAsia="宋体" w:cs="Times New Roman"/>
                    </w:rPr>
                    <w:t>，三氧化二铁Fe</w:t>
                  </w:r>
                  <w:r>
                    <w:rPr>
                      <w:rFonts w:hint="default" w:ascii="Times New Roman" w:hAnsi="Times New Roman" w:eastAsia="宋体" w:cs="Times New Roman"/>
                      <w:vertAlign w:val="subscript"/>
                    </w:rPr>
                    <w:t>2</w:t>
                  </w:r>
                  <w:r>
                    <w:rPr>
                      <w:rFonts w:hint="default" w:ascii="Times New Roman" w:hAnsi="Times New Roman" w:eastAsia="宋体" w:cs="Times New Roman"/>
                    </w:rPr>
                    <w:t>O</w:t>
                  </w:r>
                  <w:r>
                    <w:rPr>
                      <w:rFonts w:hint="default" w:ascii="Times New Roman" w:hAnsi="Times New Roman" w:eastAsia="宋体" w:cs="Times New Roman"/>
                      <w:vertAlign w:val="subscript"/>
                    </w:rPr>
                    <w:t>3</w:t>
                  </w:r>
                  <w:r>
                    <w:rPr>
                      <w:rFonts w:hint="default" w:ascii="Times New Roman" w:hAnsi="Times New Roman" w:eastAsia="宋体" w:cs="Times New Roman"/>
                    </w:rPr>
                    <w:t>，三氧化二铝Al</w:t>
                  </w:r>
                  <w:r>
                    <w:rPr>
                      <w:rFonts w:hint="default" w:ascii="Times New Roman" w:hAnsi="Times New Roman" w:eastAsia="宋体" w:cs="Times New Roman"/>
                      <w:vertAlign w:val="subscript"/>
                    </w:rPr>
                    <w:t>2</w:t>
                  </w:r>
                  <w:r>
                    <w:rPr>
                      <w:rFonts w:hint="default" w:ascii="Times New Roman" w:hAnsi="Times New Roman" w:eastAsia="宋体" w:cs="Times New Roman"/>
                    </w:rPr>
                    <w:t>O</w:t>
                  </w:r>
                  <w:r>
                    <w:rPr>
                      <w:rFonts w:hint="default" w:ascii="Times New Roman" w:hAnsi="Times New Roman" w:eastAsia="宋体" w:cs="Times New Roman"/>
                      <w:vertAlign w:val="subscript"/>
                    </w:rPr>
                    <w:t>3</w:t>
                  </w:r>
                  <w:r>
                    <w:rPr>
                      <w:rFonts w:hint="default" w:ascii="Times New Roman" w:hAnsi="Times New Roman" w:eastAsia="宋体" w:cs="Times New Roman"/>
                    </w:rPr>
                    <w:t>；主要矿物：硅酸三钙（3CaO·SiO</w:t>
                  </w:r>
                  <w:r>
                    <w:rPr>
                      <w:rFonts w:hint="default" w:ascii="Times New Roman" w:hAnsi="Times New Roman" w:eastAsia="宋体" w:cs="Times New Roman"/>
                      <w:vertAlign w:val="subscript"/>
                    </w:rPr>
                    <w:t>2</w:t>
                  </w:r>
                  <w:r>
                    <w:rPr>
                      <w:rFonts w:hint="default" w:ascii="Times New Roman" w:hAnsi="Times New Roman" w:eastAsia="宋体" w:cs="Times New Roman"/>
                    </w:rPr>
                    <w:t>），硅酸二钙（2CaO·SiO</w:t>
                  </w:r>
                  <w:r>
                    <w:rPr>
                      <w:rFonts w:hint="default" w:ascii="Times New Roman" w:hAnsi="Times New Roman" w:eastAsia="宋体" w:cs="Times New Roman"/>
                      <w:vertAlign w:val="subscript"/>
                    </w:rPr>
                    <w:t>2</w:t>
                  </w:r>
                  <w:r>
                    <w:rPr>
                      <w:rFonts w:hint="default" w:ascii="Times New Roman" w:hAnsi="Times New Roman" w:eastAsia="宋体" w:cs="Times New Roman"/>
                    </w:rPr>
                    <w:t>），铝酸三钙（3CaO·Al</w:t>
                  </w:r>
                  <w:r>
                    <w:rPr>
                      <w:rFonts w:hint="default" w:ascii="Times New Roman" w:hAnsi="Times New Roman" w:eastAsia="宋体" w:cs="Times New Roman"/>
                      <w:vertAlign w:val="subscript"/>
                    </w:rPr>
                    <w:t>2</w:t>
                  </w:r>
                  <w:r>
                    <w:rPr>
                      <w:rFonts w:hint="default" w:ascii="Times New Roman" w:hAnsi="Times New Roman" w:eastAsia="宋体" w:cs="Times New Roman"/>
                    </w:rPr>
                    <w:t>O</w:t>
                  </w:r>
                  <w:r>
                    <w:rPr>
                      <w:rFonts w:hint="default" w:ascii="Times New Roman" w:hAnsi="Times New Roman" w:eastAsia="宋体" w:cs="Times New Roman"/>
                      <w:vertAlign w:val="subscript"/>
                    </w:rPr>
                    <w:t>3</w:t>
                  </w:r>
                  <w:r>
                    <w:rPr>
                      <w:rFonts w:hint="default" w:ascii="Times New Roman" w:hAnsi="Times New Roman" w:eastAsia="宋体" w:cs="Times New Roman"/>
                    </w:rPr>
                    <w:t>），铁铝酸四钙（4CaO·Al</w:t>
                  </w:r>
                  <w:r>
                    <w:rPr>
                      <w:rFonts w:hint="default" w:ascii="Times New Roman" w:hAnsi="Times New Roman" w:eastAsia="宋体" w:cs="Times New Roman"/>
                      <w:vertAlign w:val="subscript"/>
                    </w:rPr>
                    <w:t>2</w:t>
                  </w:r>
                  <w:r>
                    <w:rPr>
                      <w:rFonts w:hint="default" w:ascii="Times New Roman" w:hAnsi="Times New Roman" w:eastAsia="宋体" w:cs="Times New Roman"/>
                    </w:rPr>
                    <w:t>O</w:t>
                  </w:r>
                  <w:r>
                    <w:rPr>
                      <w:rFonts w:hint="default" w:ascii="Times New Roman" w:hAnsi="Times New Roman" w:eastAsia="宋体" w:cs="Times New Roman"/>
                      <w:vertAlign w:val="subscript"/>
                    </w:rPr>
                    <w:t>3</w:t>
                  </w:r>
                  <w:r>
                    <w:rPr>
                      <w:rFonts w:hint="default" w:ascii="Times New Roman" w:hAnsi="Times New Roman" w:eastAsia="宋体" w:cs="Times New Roman"/>
                    </w:rPr>
                    <w:t>·Fe</w:t>
                  </w:r>
                  <w:r>
                    <w:rPr>
                      <w:rFonts w:hint="default" w:ascii="Times New Roman" w:hAnsi="Times New Roman" w:eastAsia="宋体" w:cs="Times New Roman"/>
                      <w:vertAlign w:val="subscript"/>
                    </w:rPr>
                    <w:t>2</w:t>
                  </w:r>
                  <w:r>
                    <w:rPr>
                      <w:rFonts w:hint="default" w:ascii="Times New Roman" w:hAnsi="Times New Roman" w:eastAsia="宋体" w:cs="Times New Roman"/>
                    </w:rPr>
                    <w:t>O</w:t>
                  </w:r>
                  <w:r>
                    <w:rPr>
                      <w:rFonts w:hint="default" w:ascii="Times New Roman" w:hAnsi="Times New Roman" w:eastAsia="宋体" w:cs="Times New Roman"/>
                      <w:vertAlign w:val="subscript"/>
                    </w:rPr>
                    <w:t>3</w:t>
                  </w:r>
                  <w:r>
                    <w:rPr>
                      <w:rFonts w:hint="default" w:ascii="Times New Roman" w:hAnsi="Times New Roman" w:eastAsia="宋体" w:cs="Times New Roman"/>
                    </w:rPr>
                    <w:t>）</w:t>
                  </w:r>
                  <w:r>
                    <w:rPr>
                      <w:rFonts w:hint="eastAsia"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1"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2</w:t>
                  </w:r>
                </w:p>
              </w:tc>
              <w:tc>
                <w:tcPr>
                  <w:tcW w:w="566" w:type="pct"/>
                  <w:shd w:val="clear" w:color="auto" w:fill="auto"/>
                  <w:noWrap w:val="0"/>
                  <w:vAlign w:val="center"/>
                </w:tcPr>
                <w:p>
                  <w:pPr>
                    <w:pStyle w:val="65"/>
                    <w:ind w:left="0" w:leftChars="0" w:firstLine="0" w:firstLineChars="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粉煤灰</w:t>
                  </w:r>
                </w:p>
              </w:tc>
              <w:tc>
                <w:tcPr>
                  <w:tcW w:w="4012" w:type="pct"/>
                  <w:shd w:val="clear" w:color="auto" w:fill="auto"/>
                  <w:noWrap w:val="0"/>
                  <w:vAlign w:val="center"/>
                </w:tcPr>
                <w:p>
                  <w:pPr>
                    <w:pStyle w:val="65"/>
                    <w:ind w:left="0" w:leftChars="0" w:firstLine="0" w:firstLineChars="0"/>
                    <w:jc w:val="both"/>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粉煤灰本身略有或没有水硬胶凝性能，但当以粉状及水存在时，能在常温，特别是在水热处理(蒸汽养护)条件下，与氢氧化钙或其他碱土金属氢氧化物发生化学反应，生成具有水硬胶凝性能的化合物，成为一种增加强度和耐久性的材料。主要化学组成为：SiO</w:t>
                  </w:r>
                  <w:r>
                    <w:rPr>
                      <w:rFonts w:hint="default" w:ascii="Times New Roman" w:hAnsi="Times New Roman" w:eastAsia="宋体" w:cs="Times New Roman"/>
                      <w:vertAlign w:val="subscript"/>
                    </w:rPr>
                    <w:t>2</w:t>
                  </w:r>
                  <w:r>
                    <w:rPr>
                      <w:rFonts w:hint="default" w:ascii="Times New Roman" w:hAnsi="Times New Roman" w:eastAsia="宋体" w:cs="Times New Roman"/>
                    </w:rPr>
                    <w:t>、Al</w:t>
                  </w:r>
                  <w:r>
                    <w:rPr>
                      <w:rFonts w:hint="default" w:ascii="Times New Roman" w:hAnsi="Times New Roman" w:eastAsia="宋体" w:cs="Times New Roman"/>
                      <w:vertAlign w:val="subscript"/>
                    </w:rPr>
                    <w:t>2</w:t>
                  </w:r>
                  <w:r>
                    <w:rPr>
                      <w:rFonts w:hint="default" w:ascii="Times New Roman" w:hAnsi="Times New Roman" w:eastAsia="宋体" w:cs="Times New Roman"/>
                    </w:rPr>
                    <w:t>O</w:t>
                  </w:r>
                  <w:r>
                    <w:rPr>
                      <w:rFonts w:hint="default" w:ascii="Times New Roman" w:hAnsi="Times New Roman" w:eastAsia="宋体" w:cs="Times New Roman"/>
                      <w:vertAlign w:val="subscript"/>
                    </w:rPr>
                    <w:t>3</w:t>
                  </w:r>
                  <w:r>
                    <w:rPr>
                      <w:rFonts w:hint="default" w:ascii="Times New Roman" w:hAnsi="Times New Roman" w:eastAsia="宋体" w:cs="Times New Roman"/>
                    </w:rPr>
                    <w:t>、FeO、Fe</w:t>
                  </w:r>
                  <w:r>
                    <w:rPr>
                      <w:rFonts w:hint="default" w:ascii="Times New Roman" w:hAnsi="Times New Roman" w:eastAsia="宋体" w:cs="Times New Roman"/>
                      <w:vertAlign w:val="subscript"/>
                    </w:rPr>
                    <w:t>2</w:t>
                  </w:r>
                  <w:r>
                    <w:rPr>
                      <w:rFonts w:hint="default" w:ascii="Times New Roman" w:hAnsi="Times New Roman" w:eastAsia="宋体" w:cs="Times New Roman"/>
                    </w:rPr>
                    <w:t>O</w:t>
                  </w:r>
                  <w:r>
                    <w:rPr>
                      <w:rFonts w:hint="default" w:ascii="Times New Roman" w:hAnsi="Times New Roman" w:eastAsia="宋体" w:cs="Times New Roman"/>
                      <w:vertAlign w:val="subscript"/>
                    </w:rPr>
                    <w:t>3</w:t>
                  </w:r>
                  <w:r>
                    <w:rPr>
                      <w:rFonts w:hint="default" w:ascii="Times New Roman" w:hAnsi="Times New Roman" w:eastAsia="宋体" w:cs="Times New Roman"/>
                    </w:rPr>
                    <w:t>、CaO、TiO</w:t>
                  </w:r>
                  <w:r>
                    <w:rPr>
                      <w:rFonts w:hint="default" w:ascii="Times New Roman" w:hAnsi="Times New Roman" w:eastAsia="宋体" w:cs="Times New Roman"/>
                      <w:vertAlign w:val="subscript"/>
                    </w:rPr>
                    <w:t>2</w:t>
                  </w:r>
                  <w:r>
                    <w:rPr>
                      <w:rFonts w:hint="default" w:ascii="Times New Roman" w:hAnsi="Times New Roman" w:eastAsia="宋体" w:cs="Times New Roman"/>
                    </w:rPr>
                    <w:t>、MgO、K</w:t>
                  </w:r>
                  <w:r>
                    <w:rPr>
                      <w:rFonts w:hint="default" w:ascii="Times New Roman" w:hAnsi="Times New Roman" w:eastAsia="宋体" w:cs="Times New Roman"/>
                      <w:vertAlign w:val="subscript"/>
                    </w:rPr>
                    <w:t>2</w:t>
                  </w:r>
                  <w:r>
                    <w:rPr>
                      <w:rFonts w:hint="default" w:ascii="Times New Roman" w:hAnsi="Times New Roman" w:eastAsia="宋体" w:cs="Times New Roman"/>
                    </w:rPr>
                    <w:t>O、Na</w:t>
                  </w:r>
                  <w:r>
                    <w:rPr>
                      <w:rFonts w:hint="default" w:ascii="Times New Roman" w:hAnsi="Times New Roman" w:eastAsia="宋体" w:cs="Times New Roman"/>
                      <w:vertAlign w:val="subscript"/>
                    </w:rPr>
                    <w:t>2</w:t>
                  </w:r>
                  <w:r>
                    <w:rPr>
                      <w:rFonts w:hint="default" w:ascii="Times New Roman" w:hAnsi="Times New Roman" w:eastAsia="宋体" w:cs="Times New Roman"/>
                    </w:rPr>
                    <w:t>O、SO</w:t>
                  </w:r>
                  <w:r>
                    <w:rPr>
                      <w:rFonts w:hint="default" w:ascii="Times New Roman" w:hAnsi="Times New Roman" w:eastAsia="宋体" w:cs="Times New Roman"/>
                      <w:vertAlign w:val="subscript"/>
                    </w:rPr>
                    <w:t>3</w:t>
                  </w:r>
                  <w:r>
                    <w:rPr>
                      <w:rFonts w:hint="default" w:ascii="Times New Roman" w:hAnsi="Times New Roman" w:eastAsia="宋体" w:cs="Times New Roman"/>
                    </w:rPr>
                    <w:t>、MnO</w:t>
                  </w:r>
                  <w:r>
                    <w:rPr>
                      <w:rFonts w:hint="default" w:ascii="Times New Roman" w:hAnsi="Times New Roman" w:eastAsia="宋体" w:cs="Times New Roman"/>
                      <w:vertAlign w:val="subscript"/>
                    </w:rPr>
                    <w:t>2</w:t>
                  </w:r>
                  <w:r>
                    <w:rPr>
                      <w:rFonts w:hint="default" w:ascii="Times New Roman" w:hAnsi="Times New Roman" w:eastAsia="宋体" w:cs="Times New Roma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3</w:t>
                  </w:r>
                </w:p>
              </w:tc>
              <w:tc>
                <w:tcPr>
                  <w:tcW w:w="566" w:type="pct"/>
                  <w:noWrap w:val="0"/>
                  <w:vAlign w:val="center"/>
                </w:tcPr>
                <w:p>
                  <w:pPr>
                    <w:jc w:val="center"/>
                    <w:rPr>
                      <w:rFonts w:hint="default"/>
                      <w:lang w:val="en-US" w:eastAsia="zh-CN"/>
                    </w:rPr>
                  </w:pPr>
                  <w:r>
                    <w:rPr>
                      <w:rFonts w:hint="eastAsia"/>
                      <w:lang w:val="en-US" w:eastAsia="zh-CN"/>
                    </w:rPr>
                    <w:t>矿粉</w:t>
                  </w:r>
                </w:p>
              </w:tc>
              <w:tc>
                <w:tcPr>
                  <w:tcW w:w="4012" w:type="pct"/>
                  <w:noWrap w:val="0"/>
                  <w:vAlign w:val="center"/>
                </w:tcPr>
                <w:p>
                  <w:pPr>
                    <w:rPr>
                      <w:rFonts w:hint="eastAsia"/>
                      <w:lang w:eastAsia="zh-CN"/>
                    </w:rPr>
                  </w:pPr>
                  <w:r>
                    <w:rPr>
                      <w:rFonts w:hint="eastAsia"/>
                      <w:lang w:val="en-US" w:eastAsia="zh-CN"/>
                    </w:rPr>
                    <w:t>为石灰石粉末，质白细，罐装，贮存于矿粉仓内。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shd w:val="clear" w:color="auto" w:fill="auto"/>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4</w:t>
                  </w:r>
                </w:p>
              </w:tc>
              <w:tc>
                <w:tcPr>
                  <w:tcW w:w="566" w:type="pct"/>
                  <w:shd w:val="clear" w:color="auto" w:fill="auto"/>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napToGrid w:val="0"/>
                      <w:szCs w:val="21"/>
                    </w:rPr>
                    <w:t>聚羧酸减水剂</w:t>
                  </w:r>
                </w:p>
              </w:tc>
              <w:tc>
                <w:tcPr>
                  <w:tcW w:w="4012" w:type="pct"/>
                  <w:shd w:val="clear" w:color="auto" w:fill="auto"/>
                  <w:noWrap w:val="0"/>
                  <w:vAlign w:val="center"/>
                </w:tcPr>
                <w:p>
                  <w:pP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snapToGrid w:val="0"/>
                      <w:szCs w:val="21"/>
                    </w:rPr>
                    <w:t>聚羧酸减水剂主要由聚羧酸混合物、助剂和溶剂组成</w:t>
                  </w:r>
                  <w:r>
                    <w:rPr>
                      <w:rFonts w:hint="eastAsia" w:ascii="Times New Roman" w:hAnsi="Times New Roman" w:eastAsia="宋体" w:cs="Times New Roman"/>
                      <w:snapToGrid w:val="0"/>
                      <w:szCs w:val="21"/>
                      <w:lang w:eastAsia="zh-CN"/>
                    </w:rPr>
                    <w:t>，</w:t>
                  </w:r>
                  <w:r>
                    <w:rPr>
                      <w:rFonts w:hint="default" w:ascii="Times New Roman" w:hAnsi="Times New Roman" w:eastAsia="宋体" w:cs="Times New Roman"/>
                      <w:snapToGrid w:val="0"/>
                      <w:szCs w:val="21"/>
                    </w:rPr>
                    <w:t>其中，聚羧酸混合物是聚醚类单体与羧酸类型（如丙烯酸、顺丁烯二酸等）单体的共聚物，具有高分子量、分子结构复杂、分子链柔韧等特点</w:t>
                  </w:r>
                  <w:r>
                    <w:rPr>
                      <w:rFonts w:hint="default" w:ascii="Times New Roman" w:hAnsi="Times New Roman" w:eastAsia="宋体" w:cs="Times New Roman"/>
                      <w:snapToGrid w:val="0"/>
                      <w:szCs w:val="21"/>
                      <w:lang w:eastAsia="zh-CN"/>
                    </w:rPr>
                    <w:t>。</w:t>
                  </w:r>
                  <w:r>
                    <w:rPr>
                      <w:rFonts w:hint="default" w:ascii="Times New Roman" w:hAnsi="Times New Roman" w:eastAsia="宋体" w:cs="Times New Roman"/>
                      <w:snapToGrid w:val="0"/>
                      <w:szCs w:val="21"/>
                      <w:lang w:val="en-US" w:eastAsia="zh-CN"/>
                    </w:rPr>
                    <w:t>绿色环保，不易燃，不易爆，可以安全使用火车和汽车运输。稳定性好：低温时无沉淀析出，产品稳定性高，碱含量极低：碱含量通常≤0.2%，有利于混凝土的稳定性。一般物质、不属于挥发性有机物</w:t>
                  </w:r>
                  <w:r>
                    <w:rPr>
                      <w:rFonts w:hint="eastAsia" w:ascii="Times New Roman" w:hAnsi="Times New Roman" w:eastAsia="宋体" w:cs="Times New Roman"/>
                      <w:snapToGrid w:val="0"/>
                      <w:szCs w:val="21"/>
                      <w:lang w:val="en-US" w:eastAsia="zh-CN"/>
                    </w:rPr>
                    <w:t>。</w:t>
                  </w:r>
                </w:p>
              </w:tc>
            </w:tr>
          </w:tbl>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8.劳动定员及工作制度</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劳动定员：本项目新增劳动定员6人，均在厂区内食宿。</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生产制度：年工作90天，每天一班工作制，每班运行10h，年运行时数为900小时。</w:t>
            </w:r>
          </w:p>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9.厂区平面布置</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项目占地面积为3037.18m</w:t>
            </w:r>
            <w:r>
              <w:rPr>
                <w:rFonts w:hint="eastAsia"/>
                <w:vertAlign w:val="superscript"/>
                <w:lang w:val="en-US" w:eastAsia="zh-CN"/>
              </w:rPr>
              <w:t>2</w:t>
            </w:r>
            <w:r>
              <w:rPr>
                <w:rFonts w:hint="eastAsia"/>
                <w:lang w:val="en-US" w:eastAsia="zh-CN"/>
              </w:rPr>
              <w:t>，生产区位于厂区中心，办公生活区位于厂西侧。</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本项目分区明确，总平面布置较好地满足了工艺流程的顺畅性，车间布置紧凑，运输流畅，方便生产；在采取有效的治理措施后，生产废气和设备运转噪声对办公生活区的影响较小</w:t>
            </w:r>
            <w:r>
              <w:rPr>
                <w:rFonts w:hint="eastAsia"/>
                <w:lang w:eastAsia="zh-CN"/>
              </w:rPr>
              <w:t>。</w:t>
            </w:r>
            <w:r>
              <w:rPr>
                <w:rFonts w:hint="eastAsia"/>
                <w:lang w:val="en-US" w:eastAsia="zh-CN"/>
              </w:rPr>
              <w:t>厂区平面布置图见</w:t>
            </w:r>
            <w:r>
              <w:rPr>
                <w:rFonts w:hint="eastAsia"/>
                <w:highlight w:val="none"/>
                <w:lang w:val="en-US" w:eastAsia="zh-CN"/>
              </w:rPr>
              <w:t>附图5</w:t>
            </w:r>
            <w:r>
              <w:rPr>
                <w:rFonts w:hint="eastAsia"/>
                <w:lang w:val="en-US" w:eastAsia="zh-CN"/>
              </w:rPr>
              <w:t>。</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10.公用工程</w:t>
            </w:r>
          </w:p>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10.1给排水工程</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（1）给水</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本项目用水主要为员工生活用水和生产用水，供水由附近乡镇拉运。</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生活用水：</w:t>
            </w:r>
            <w:r>
              <w:rPr>
                <w:rFonts w:hint="default"/>
                <w:lang w:val="en-US" w:eastAsia="zh-CN"/>
              </w:rPr>
              <w:t>项目运营期</w:t>
            </w:r>
            <w:r>
              <w:rPr>
                <w:rFonts w:hint="default"/>
                <w:highlight w:val="none"/>
                <w:lang w:val="en-US" w:eastAsia="zh-CN"/>
              </w:rPr>
              <w:t>劳动定员</w:t>
            </w:r>
            <w:r>
              <w:rPr>
                <w:rFonts w:hint="eastAsia"/>
                <w:highlight w:val="none"/>
                <w:lang w:val="en-US" w:eastAsia="zh-CN"/>
              </w:rPr>
              <w:t>6</w:t>
            </w:r>
            <w:r>
              <w:rPr>
                <w:rFonts w:hint="default"/>
                <w:highlight w:val="none"/>
                <w:lang w:val="en-US" w:eastAsia="zh-CN"/>
              </w:rPr>
              <w:t>人</w:t>
            </w:r>
            <w:r>
              <w:rPr>
                <w:rFonts w:hint="default"/>
                <w:lang w:val="en-US" w:eastAsia="zh-CN"/>
              </w:rPr>
              <w:t>，年工作</w:t>
            </w:r>
            <w:r>
              <w:rPr>
                <w:rFonts w:hint="eastAsia"/>
                <w:lang w:val="en-US" w:eastAsia="zh-CN"/>
              </w:rPr>
              <w:t>90</w:t>
            </w:r>
            <w:r>
              <w:rPr>
                <w:rFonts w:hint="default"/>
                <w:lang w:val="en-US" w:eastAsia="zh-CN"/>
              </w:rPr>
              <w:t>d</w:t>
            </w:r>
            <w:r>
              <w:rPr>
                <w:rFonts w:hint="eastAsia"/>
                <w:lang w:val="en-US" w:eastAsia="zh-CN"/>
              </w:rPr>
              <w:t>，根据《新疆维吾尔自治区生活用水定额》，生活用水定额取80L/人·d计，则职工生活用水量为0.48m</w:t>
            </w:r>
            <w:r>
              <w:rPr>
                <w:rFonts w:hint="eastAsia"/>
                <w:vertAlign w:val="superscript"/>
                <w:lang w:val="en-US" w:eastAsia="zh-CN"/>
              </w:rPr>
              <w:t>3</w:t>
            </w:r>
            <w:r>
              <w:rPr>
                <w:rFonts w:hint="eastAsia"/>
                <w:lang w:val="en-US" w:eastAsia="zh-CN"/>
              </w:rPr>
              <w:t>/d（43.2m</w:t>
            </w:r>
            <w:r>
              <w:rPr>
                <w:rFonts w:hint="eastAsia"/>
                <w:vertAlign w:val="superscript"/>
                <w:lang w:val="en-US" w:eastAsia="zh-CN"/>
              </w:rPr>
              <w:t>3</w:t>
            </w:r>
            <w:r>
              <w:rPr>
                <w:rFonts w:hint="eastAsia"/>
                <w:lang w:val="en-US" w:eastAsia="zh-CN"/>
              </w:rPr>
              <w:t>/a）。</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生产用水：</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①混凝土配制用水：根据建设单位提供资料，本项目配制用水量为63m</w:t>
            </w:r>
            <w:r>
              <w:rPr>
                <w:rFonts w:hint="eastAsia"/>
                <w:vertAlign w:val="superscript"/>
                <w:lang w:val="en-US" w:eastAsia="zh-CN"/>
              </w:rPr>
              <w:t>3</w:t>
            </w:r>
            <w:r>
              <w:rPr>
                <w:rFonts w:hint="eastAsia"/>
                <w:lang w:val="en-US" w:eastAsia="zh-CN"/>
              </w:rPr>
              <w:t>/d（5670m</w:t>
            </w:r>
            <w:r>
              <w:rPr>
                <w:rFonts w:hint="eastAsia"/>
                <w:vertAlign w:val="superscript"/>
                <w:lang w:val="en-US" w:eastAsia="zh-CN"/>
              </w:rPr>
              <w:t>3</w:t>
            </w:r>
            <w:r>
              <w:rPr>
                <w:rFonts w:hint="eastAsia"/>
                <w:lang w:val="en-US" w:eastAsia="zh-CN"/>
              </w:rPr>
              <w:t>/a）。</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②搅拌设备清洗用水：搅拌设备在停止生产后，为利于下次生产，搅拌机需要清洗干净。根据建设单位提供资料，本项目搅拌设备每班结束后清洗，清洗用水量约为1m³/次，则搅拌设备清洗用水量为90m</w:t>
            </w:r>
            <w:r>
              <w:rPr>
                <w:rFonts w:hint="eastAsia"/>
                <w:vertAlign w:val="superscript"/>
                <w:lang w:val="en-US" w:eastAsia="zh-CN"/>
              </w:rPr>
              <w:t>3</w:t>
            </w:r>
            <w:r>
              <w:rPr>
                <w:rFonts w:hint="eastAsia"/>
                <w:lang w:val="en-US" w:eastAsia="zh-CN"/>
              </w:rPr>
              <w:t>/a。</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（2）排水</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生活污水：生活污水产污系数按0.8计，则生活污水排放量为0.384m</w:t>
            </w:r>
            <w:r>
              <w:rPr>
                <w:rFonts w:hint="eastAsia"/>
                <w:vertAlign w:val="superscript"/>
                <w:lang w:val="en-US" w:eastAsia="zh-CN"/>
              </w:rPr>
              <w:t>3</w:t>
            </w:r>
            <w:r>
              <w:rPr>
                <w:rFonts w:hint="eastAsia"/>
                <w:lang w:val="en-US" w:eastAsia="zh-CN"/>
              </w:rPr>
              <w:t>/d（34.56m</w:t>
            </w:r>
            <w:r>
              <w:rPr>
                <w:rFonts w:hint="eastAsia"/>
                <w:vertAlign w:val="superscript"/>
                <w:lang w:val="en-US" w:eastAsia="zh-CN"/>
              </w:rPr>
              <w:t>3</w:t>
            </w:r>
            <w:r>
              <w:rPr>
                <w:rFonts w:hint="eastAsia"/>
                <w:lang w:val="en-US" w:eastAsia="zh-CN"/>
              </w:rPr>
              <w:t>/a）。生活污水经化粪池预处理后拉运至若羌县城乡污水处理厂进行集中处理。</w:t>
            </w:r>
          </w:p>
          <w:p>
            <w:pPr>
              <w:pStyle w:val="8"/>
              <w:keepLines w:val="0"/>
              <w:pageBreakBefore w:val="0"/>
              <w:kinsoku/>
              <w:wordWrap/>
              <w:topLinePunct w:val="0"/>
              <w:autoSpaceDE/>
              <w:autoSpaceDN/>
              <w:bidi w:val="0"/>
              <w:spacing w:beforeAutospacing="0" w:afterAutospacing="0"/>
              <w:textAlignment w:val="auto"/>
              <w:rPr>
                <w:rFonts w:hint="default"/>
                <w:highlight w:val="none"/>
                <w:lang w:val="en-US" w:eastAsia="zh-CN"/>
              </w:rPr>
            </w:pPr>
            <w:r>
              <w:rPr>
                <w:rFonts w:hint="eastAsia"/>
                <w:highlight w:val="none"/>
                <w:lang w:val="en-US" w:eastAsia="zh-CN"/>
              </w:rPr>
              <w:t>搅拌设备清洗水废水产生量按用水量的0.8计，则搅拌设备清洗废水产生量为0.8m</w:t>
            </w:r>
            <w:r>
              <w:rPr>
                <w:rFonts w:hint="eastAsia"/>
                <w:highlight w:val="none"/>
                <w:vertAlign w:val="superscript"/>
                <w:lang w:val="en-US" w:eastAsia="zh-CN"/>
              </w:rPr>
              <w:t>3</w:t>
            </w:r>
            <w:r>
              <w:rPr>
                <w:rFonts w:hint="eastAsia"/>
                <w:highlight w:val="none"/>
                <w:lang w:val="en-US" w:eastAsia="zh-CN"/>
              </w:rPr>
              <w:t>/d（72m</w:t>
            </w:r>
            <w:r>
              <w:rPr>
                <w:rFonts w:hint="eastAsia"/>
                <w:highlight w:val="none"/>
                <w:vertAlign w:val="superscript"/>
                <w:lang w:val="en-US" w:eastAsia="zh-CN"/>
              </w:rPr>
              <w:t>3</w:t>
            </w:r>
            <w:r>
              <w:rPr>
                <w:rFonts w:hint="eastAsia"/>
                <w:highlight w:val="none"/>
                <w:lang w:val="en-US" w:eastAsia="zh-CN"/>
              </w:rPr>
              <w:t>/a），经沉淀池沉淀后用于厂区洒水抑尘，不外排。</w:t>
            </w:r>
          </w:p>
          <w:p>
            <w:pPr>
              <w:pStyle w:val="8"/>
              <w:keepLines w:val="0"/>
              <w:pageBreakBefore w:val="0"/>
              <w:kinsoku/>
              <w:wordWrap/>
              <w:topLinePunct w:val="0"/>
              <w:autoSpaceDE/>
              <w:autoSpaceDN/>
              <w:bidi w:val="0"/>
              <w:spacing w:beforeAutospacing="0" w:afterAutospacing="0" w:line="240" w:lineRule="auto"/>
              <w:ind w:left="0" w:leftChars="0" w:right="0" w:rightChars="0" w:firstLine="0" w:firstLineChars="0"/>
              <w:jc w:val="center"/>
              <w:textAlignment w:val="auto"/>
              <w:rPr>
                <w:rStyle w:val="43"/>
                <w:rFonts w:hint="eastAsia"/>
                <w:lang w:val="en-US" w:eastAsia="zh-CN"/>
              </w:rPr>
            </w:pPr>
            <w:r>
              <w:rPr>
                <w:rStyle w:val="43"/>
                <w:rFonts w:hint="eastAsia"/>
                <w:lang w:val="en-US" w:eastAsia="zh-CN"/>
              </w:rPr>
              <w:drawing>
                <wp:inline distT="0" distB="0" distL="114300" distR="114300">
                  <wp:extent cx="4473575" cy="2136775"/>
                  <wp:effectExtent l="0" t="0" r="0" b="0"/>
                  <wp:docPr id="6" name="ECB019B1-382A-4266-B25C-5B523AA43C14-1" descr="C:/Users/Administrator/AppData/Local/Temp/wps.YHywV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C:/Users/Administrator/AppData/Local/Temp/wps.YHywVtwps"/>
                          <pic:cNvPicPr>
                            <a:picLocks noChangeAspect="1"/>
                          </pic:cNvPicPr>
                        </pic:nvPicPr>
                        <pic:blipFill>
                          <a:blip r:embed="rId9"/>
                          <a:stretch>
                            <a:fillRect/>
                          </a:stretch>
                        </pic:blipFill>
                        <pic:spPr>
                          <a:xfrm>
                            <a:off x="0" y="0"/>
                            <a:ext cx="4473575" cy="2136775"/>
                          </a:xfrm>
                          <a:prstGeom prst="rect">
                            <a:avLst/>
                          </a:prstGeom>
                        </pic:spPr>
                      </pic:pic>
                    </a:graphicData>
                  </a:graphic>
                </wp:inline>
              </w:drawing>
            </w:r>
          </w:p>
          <w:p>
            <w:pPr>
              <w:pStyle w:val="8"/>
              <w:keepLines w:val="0"/>
              <w:pageBreakBefore w:val="0"/>
              <w:kinsoku/>
              <w:wordWrap/>
              <w:topLinePunct w:val="0"/>
              <w:autoSpaceDE/>
              <w:autoSpaceDN/>
              <w:bidi w:val="0"/>
              <w:spacing w:beforeAutospacing="0" w:afterAutospacing="0" w:line="240" w:lineRule="auto"/>
              <w:textAlignment w:val="auto"/>
              <w:rPr>
                <w:rFonts w:hint="eastAsia"/>
                <w:lang w:val="en-US" w:eastAsia="zh-CN"/>
              </w:rPr>
            </w:pPr>
            <w:r>
              <w:rPr>
                <w:rFonts w:hint="eastAsia"/>
                <w:lang w:val="en-US" w:eastAsia="zh-CN"/>
              </w:rPr>
              <w:t>本项目水平衡图见图2-1。</w:t>
            </w:r>
          </w:p>
          <w:p>
            <w:pPr>
              <w:keepNext w:val="0"/>
              <w:keepLines w:val="0"/>
              <w:pageBreakBefore w:val="0"/>
              <w:suppressLineNumbers w:val="0"/>
              <w:kinsoku/>
              <w:wordWrap/>
              <w:topLinePunct w:val="0"/>
              <w:autoSpaceDE/>
              <w:autoSpaceDN/>
              <w:bidi w:val="0"/>
              <w:spacing w:before="0" w:beforeAutospacing="0" w:after="0" w:afterAutospacing="0"/>
              <w:ind w:left="0" w:right="0"/>
              <w:jc w:val="center"/>
              <w:textAlignment w:val="auto"/>
              <w:rPr>
                <w:rFonts w:hint="eastAsia" w:cs="Times New Roman"/>
                <w:lang w:val="en-US" w:eastAsia="zh-CN"/>
              </w:rPr>
            </w:pPr>
            <w:r>
              <w:rPr>
                <w:rStyle w:val="43"/>
                <w:rFonts w:hint="eastAsia"/>
                <w:lang w:val="en-US" w:eastAsia="zh-CN"/>
              </w:rPr>
              <w:t>图2-1    项目水平衡图     m</w:t>
            </w:r>
            <w:r>
              <w:rPr>
                <w:rStyle w:val="43"/>
                <w:rFonts w:hint="eastAsia"/>
                <w:vertAlign w:val="superscript"/>
                <w:lang w:val="en-US" w:eastAsia="zh-CN"/>
              </w:rPr>
              <w:t>3</w:t>
            </w:r>
            <w:r>
              <w:rPr>
                <w:rStyle w:val="43"/>
                <w:rFonts w:hint="eastAsia"/>
                <w:lang w:val="en-US" w:eastAsia="zh-CN"/>
              </w:rPr>
              <w:t>/a</w:t>
            </w:r>
          </w:p>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11.项目环保投资估算</w:t>
            </w:r>
          </w:p>
          <w:p>
            <w:pPr>
              <w:pStyle w:val="8"/>
              <w:keepLines w:val="0"/>
              <w:pageBreakBefore w:val="0"/>
              <w:kinsoku/>
              <w:wordWrap/>
              <w:topLinePunct w:val="0"/>
              <w:autoSpaceDE/>
              <w:autoSpaceDN/>
              <w:bidi w:val="0"/>
              <w:spacing w:beforeAutospacing="0" w:afterAutospacing="0"/>
              <w:textAlignment w:val="auto"/>
            </w:pPr>
            <w:r>
              <w:t>本项目</w:t>
            </w:r>
            <w:r>
              <w:rPr>
                <w:highlight w:val="none"/>
              </w:rPr>
              <w:t>总</w:t>
            </w:r>
            <w:r>
              <w:rPr>
                <w:rFonts w:hint="eastAsia"/>
                <w:highlight w:val="none"/>
              </w:rPr>
              <w:t>投资</w:t>
            </w:r>
            <w:r>
              <w:rPr>
                <w:rFonts w:hint="eastAsia"/>
                <w:highlight w:val="none"/>
                <w:lang w:val="en-US" w:eastAsia="zh-CN"/>
              </w:rPr>
              <w:t>20</w:t>
            </w:r>
            <w:r>
              <w:rPr>
                <w:highlight w:val="none"/>
              </w:rPr>
              <w:t>万元，其中环保投资</w:t>
            </w:r>
            <w:r>
              <w:rPr>
                <w:rFonts w:hint="eastAsia"/>
                <w:highlight w:val="none"/>
                <w:lang w:val="en-US" w:eastAsia="zh-CN"/>
              </w:rPr>
              <w:t>9</w:t>
            </w:r>
            <w:r>
              <w:rPr>
                <w:rFonts w:hint="eastAsia"/>
                <w:highlight w:val="none"/>
              </w:rPr>
              <w:t>万元</w:t>
            </w:r>
            <w:r>
              <w:rPr>
                <w:highlight w:val="none"/>
              </w:rPr>
              <w:t>，占投资的</w:t>
            </w:r>
            <w:r>
              <w:rPr>
                <w:rFonts w:hint="eastAsia"/>
                <w:highlight w:val="none"/>
                <w:lang w:val="en-US" w:eastAsia="zh-CN"/>
              </w:rPr>
              <w:t>45</w:t>
            </w:r>
            <w:r>
              <w:rPr>
                <w:rFonts w:hint="eastAsia"/>
                <w:highlight w:val="none"/>
              </w:rPr>
              <w:t>%</w:t>
            </w:r>
            <w:r>
              <w:rPr>
                <w:highlight w:val="none"/>
              </w:rPr>
              <w:t>，</w:t>
            </w:r>
            <w:r>
              <w:t>具体情况</w:t>
            </w:r>
            <w:r>
              <w:rPr>
                <w:rFonts w:hint="eastAsia"/>
                <w:lang w:eastAsia="zh-CN"/>
              </w:rPr>
              <w:t>见</w:t>
            </w:r>
            <w:r>
              <w:rPr>
                <w:rFonts w:hint="eastAsia"/>
                <w:lang w:val="en-US" w:eastAsia="zh-CN"/>
              </w:rPr>
              <w:t>下</w:t>
            </w:r>
            <w:r>
              <w:rPr>
                <w:rFonts w:hint="eastAsia"/>
                <w:lang w:eastAsia="zh-CN"/>
              </w:rPr>
              <w:t>表</w:t>
            </w:r>
            <w:r>
              <w:t>。</w:t>
            </w:r>
          </w:p>
          <w:p>
            <w:pPr>
              <w:pStyle w:val="42"/>
              <w:bidi w:val="0"/>
            </w:pPr>
            <w:r>
              <w:rPr>
                <w:rFonts w:hint="eastAsia"/>
                <w:lang w:val="en-US" w:eastAsia="zh-CN"/>
              </w:rPr>
              <w:t xml:space="preserve">表2-6    </w:t>
            </w:r>
            <w:r>
              <w:rPr>
                <w:rFonts w:hint="default"/>
              </w:rPr>
              <w:t>环保设施（措施）及投资估算一览表</w:t>
            </w:r>
          </w:p>
          <w:tbl>
            <w:tblPr>
              <w:tblStyle w:val="23"/>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20"/>
              <w:gridCol w:w="913"/>
              <w:gridCol w:w="1231"/>
              <w:gridCol w:w="3904"/>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2" w:type="pct"/>
                  <w:noWrap w:val="0"/>
                  <w:vAlign w:val="center"/>
                </w:tcPr>
                <w:p>
                  <w:pPr>
                    <w:pStyle w:val="40"/>
                    <w:bidi w:val="0"/>
                    <w:rPr>
                      <w:rFonts w:hint="eastAsia"/>
                      <w:lang w:val="en-US" w:eastAsia="zh-CN"/>
                    </w:rPr>
                  </w:pPr>
                  <w:r>
                    <w:rPr>
                      <w:rFonts w:hint="eastAsia"/>
                      <w:lang w:val="en-US" w:eastAsia="zh-CN"/>
                    </w:rPr>
                    <w:t>时段</w:t>
                  </w:r>
                </w:p>
              </w:tc>
              <w:tc>
                <w:tcPr>
                  <w:tcW w:w="841" w:type="pct"/>
                  <w:gridSpan w:val="2"/>
                  <w:noWrap w:val="0"/>
                  <w:vAlign w:val="center"/>
                </w:tcPr>
                <w:p>
                  <w:pPr>
                    <w:pStyle w:val="40"/>
                    <w:bidi w:val="0"/>
                    <w:rPr>
                      <w:rFonts w:hint="default"/>
                    </w:rPr>
                  </w:pPr>
                  <w:r>
                    <w:rPr>
                      <w:rFonts w:hint="eastAsia"/>
                      <w:lang w:val="en-US" w:eastAsia="zh-CN"/>
                    </w:rPr>
                    <w:t>项目</w:t>
                  </w:r>
                </w:p>
              </w:tc>
              <w:tc>
                <w:tcPr>
                  <w:tcW w:w="3240" w:type="pct"/>
                  <w:gridSpan w:val="2"/>
                  <w:noWrap w:val="0"/>
                  <w:vAlign w:val="center"/>
                </w:tcPr>
                <w:p>
                  <w:pPr>
                    <w:pStyle w:val="40"/>
                    <w:bidi w:val="0"/>
                    <w:rPr>
                      <w:rFonts w:hint="default"/>
                      <w:lang w:val="en-US" w:eastAsia="zh-CN"/>
                    </w:rPr>
                  </w:pPr>
                  <w:r>
                    <w:rPr>
                      <w:rFonts w:hint="eastAsia"/>
                      <w:lang w:val="en-US" w:eastAsia="zh-CN"/>
                    </w:rPr>
                    <w:t>环保措施</w:t>
                  </w:r>
                </w:p>
              </w:tc>
              <w:tc>
                <w:tcPr>
                  <w:tcW w:w="615" w:type="pct"/>
                  <w:noWrap w:val="0"/>
                  <w:vAlign w:val="center"/>
                </w:tcPr>
                <w:p>
                  <w:pPr>
                    <w:pStyle w:val="40"/>
                    <w:bidi w:val="0"/>
                    <w:rPr>
                      <w:rFonts w:hint="default"/>
                      <w:lang w:val="en-US" w:eastAsia="zh-CN"/>
                    </w:rPr>
                  </w:pPr>
                  <w:r>
                    <w:rPr>
                      <w:rFonts w:hint="eastAsia"/>
                      <w:lang w:val="en-US" w:eastAsia="zh-CN"/>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02" w:type="pct"/>
                  <w:vMerge w:val="restart"/>
                  <w:noWrap w:val="0"/>
                  <w:vAlign w:val="center"/>
                </w:tcPr>
                <w:p>
                  <w:pPr>
                    <w:pStyle w:val="40"/>
                    <w:bidi w:val="0"/>
                    <w:rPr>
                      <w:rFonts w:hint="eastAsia"/>
                      <w:lang w:val="en-US" w:eastAsia="zh-CN"/>
                    </w:rPr>
                  </w:pPr>
                  <w:r>
                    <w:rPr>
                      <w:rFonts w:hint="eastAsia"/>
                      <w:lang w:val="en-US" w:eastAsia="zh-CN"/>
                    </w:rPr>
                    <w:t>施工期</w:t>
                  </w:r>
                </w:p>
              </w:tc>
              <w:tc>
                <w:tcPr>
                  <w:tcW w:w="841" w:type="pct"/>
                  <w:gridSpan w:val="2"/>
                  <w:noWrap w:val="0"/>
                  <w:vAlign w:val="center"/>
                </w:tcPr>
                <w:p>
                  <w:pPr>
                    <w:pStyle w:val="40"/>
                    <w:bidi w:val="0"/>
                    <w:rPr>
                      <w:rFonts w:hint="default"/>
                      <w:lang w:val="en-US" w:eastAsia="zh-CN"/>
                    </w:rPr>
                  </w:pPr>
                  <w:r>
                    <w:rPr>
                      <w:rFonts w:hint="default"/>
                      <w:lang w:val="en-US" w:eastAsia="zh-CN"/>
                    </w:rPr>
                    <w:t>废气治理</w:t>
                  </w:r>
                </w:p>
              </w:tc>
              <w:tc>
                <w:tcPr>
                  <w:tcW w:w="3240" w:type="pct"/>
                  <w:gridSpan w:val="2"/>
                  <w:noWrap w:val="0"/>
                  <w:vAlign w:val="center"/>
                </w:tcPr>
                <w:p>
                  <w:pPr>
                    <w:pStyle w:val="40"/>
                    <w:bidi w:val="0"/>
                    <w:rPr>
                      <w:rFonts w:hint="eastAsia"/>
                      <w:lang w:val="en-US" w:eastAsia="zh-CN"/>
                    </w:rPr>
                  </w:pPr>
                  <w:r>
                    <w:rPr>
                      <w:rFonts w:hint="eastAsia"/>
                      <w:lang w:val="en-US" w:eastAsia="zh-CN"/>
                    </w:rPr>
                    <w:t>定期对路面和施工场区洒水、材料运输中要采取遮盖措施</w:t>
                  </w:r>
                </w:p>
              </w:tc>
              <w:tc>
                <w:tcPr>
                  <w:tcW w:w="615" w:type="pct"/>
                  <w:noWrap w:val="0"/>
                  <w:vAlign w:val="center"/>
                </w:tcPr>
                <w:p>
                  <w:pPr>
                    <w:pStyle w:val="40"/>
                    <w:bidi w:val="0"/>
                    <w:rPr>
                      <w:rFonts w:hint="default"/>
                      <w:lang w:val="en-US" w:eastAsia="zh-CN"/>
                    </w:rPr>
                  </w:pPr>
                  <w:r>
                    <w:rPr>
                      <w:rFonts w:hint="eastAsia"/>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02" w:type="pct"/>
                  <w:vMerge w:val="continue"/>
                  <w:noWrap w:val="0"/>
                  <w:vAlign w:val="center"/>
                </w:tcPr>
                <w:p>
                  <w:pPr>
                    <w:pStyle w:val="40"/>
                    <w:bidi w:val="0"/>
                    <w:rPr>
                      <w:rFonts w:hint="eastAsia"/>
                      <w:lang w:val="en-US" w:eastAsia="zh-CN"/>
                    </w:rPr>
                  </w:pPr>
                </w:p>
              </w:tc>
              <w:tc>
                <w:tcPr>
                  <w:tcW w:w="841" w:type="pct"/>
                  <w:gridSpan w:val="2"/>
                  <w:noWrap w:val="0"/>
                  <w:vAlign w:val="center"/>
                </w:tcPr>
                <w:p>
                  <w:pPr>
                    <w:pStyle w:val="40"/>
                    <w:bidi w:val="0"/>
                  </w:pPr>
                  <w:r>
                    <w:t>废水</w:t>
                  </w:r>
                  <w:r>
                    <w:rPr>
                      <w:rFonts w:hint="eastAsia"/>
                      <w:lang w:val="en-US" w:eastAsia="zh-CN"/>
                    </w:rPr>
                    <w:t>治理</w:t>
                  </w:r>
                </w:p>
              </w:tc>
              <w:tc>
                <w:tcPr>
                  <w:tcW w:w="3240" w:type="pct"/>
                  <w:gridSpan w:val="2"/>
                  <w:noWrap w:val="0"/>
                  <w:vAlign w:val="center"/>
                </w:tcPr>
                <w:p>
                  <w:pPr>
                    <w:pStyle w:val="40"/>
                    <w:bidi w:val="0"/>
                  </w:pPr>
                  <w:r>
                    <w:rPr>
                      <w:rFonts w:hint="eastAsia"/>
                      <w:lang w:val="en-US" w:eastAsia="zh-CN"/>
                    </w:rPr>
                    <w:t>设置临时沉淀池，经过沉淀池沉淀后，用于洒水抑尘</w:t>
                  </w:r>
                </w:p>
              </w:tc>
              <w:tc>
                <w:tcPr>
                  <w:tcW w:w="615" w:type="pct"/>
                  <w:noWrap w:val="0"/>
                  <w:vAlign w:val="center"/>
                </w:tcPr>
                <w:p>
                  <w:pPr>
                    <w:pStyle w:val="40"/>
                    <w:bidi w:val="0"/>
                    <w:rPr>
                      <w:rFonts w:hint="default"/>
                      <w:lang w:val="en-US" w:eastAsia="zh-CN"/>
                    </w:rPr>
                  </w:pPr>
                  <w:r>
                    <w:rPr>
                      <w:rFonts w:hint="eastAsia"/>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02" w:type="pct"/>
                  <w:vMerge w:val="continue"/>
                  <w:noWrap w:val="0"/>
                  <w:vAlign w:val="center"/>
                </w:tcPr>
                <w:p>
                  <w:pPr>
                    <w:pStyle w:val="40"/>
                    <w:bidi w:val="0"/>
                    <w:rPr>
                      <w:rFonts w:hint="eastAsia"/>
                      <w:lang w:val="en-US" w:eastAsia="zh-CN"/>
                    </w:rPr>
                  </w:pPr>
                </w:p>
              </w:tc>
              <w:tc>
                <w:tcPr>
                  <w:tcW w:w="841" w:type="pct"/>
                  <w:gridSpan w:val="2"/>
                  <w:noWrap w:val="0"/>
                  <w:vAlign w:val="center"/>
                </w:tcPr>
                <w:p>
                  <w:pPr>
                    <w:pStyle w:val="40"/>
                    <w:bidi w:val="0"/>
                  </w:pPr>
                  <w:r>
                    <w:rPr>
                      <w:rFonts w:hint="default"/>
                      <w:lang w:val="en-US" w:eastAsia="zh-CN"/>
                    </w:rPr>
                    <w:t>噪声治理</w:t>
                  </w:r>
                </w:p>
              </w:tc>
              <w:tc>
                <w:tcPr>
                  <w:tcW w:w="3240" w:type="pct"/>
                  <w:gridSpan w:val="2"/>
                  <w:noWrap w:val="0"/>
                  <w:vAlign w:val="center"/>
                </w:tcPr>
                <w:p>
                  <w:pPr>
                    <w:pStyle w:val="40"/>
                    <w:bidi w:val="0"/>
                  </w:pPr>
                  <w:r>
                    <w:rPr>
                      <w:rFonts w:hint="default"/>
                      <w:lang w:val="en-US" w:eastAsia="zh-CN"/>
                    </w:rPr>
                    <w:t>采用低噪声设备、定期进行维修和养护</w:t>
                  </w:r>
                </w:p>
              </w:tc>
              <w:tc>
                <w:tcPr>
                  <w:tcW w:w="615" w:type="pct"/>
                  <w:noWrap w:val="0"/>
                  <w:vAlign w:val="center"/>
                </w:tcPr>
                <w:p>
                  <w:pPr>
                    <w:pStyle w:val="40"/>
                    <w:bidi w:val="0"/>
                    <w:rPr>
                      <w:rFonts w:hint="default"/>
                      <w:lang w:val="en-US" w:eastAsia="zh-CN"/>
                    </w:rPr>
                  </w:pPr>
                  <w:r>
                    <w:rPr>
                      <w:rFonts w:hint="eastAsia"/>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 w:type="pct"/>
                  <w:vMerge w:val="restart"/>
                  <w:noWrap w:val="0"/>
                  <w:vAlign w:val="center"/>
                </w:tcPr>
                <w:p>
                  <w:pPr>
                    <w:pStyle w:val="40"/>
                    <w:bidi w:val="0"/>
                    <w:rPr>
                      <w:rFonts w:hint="default"/>
                      <w:lang w:val="en-US" w:eastAsia="zh-CN"/>
                    </w:rPr>
                  </w:pPr>
                  <w:r>
                    <w:rPr>
                      <w:rFonts w:hint="eastAsia"/>
                      <w:lang w:val="en-US" w:eastAsia="zh-CN"/>
                    </w:rPr>
                    <w:t>运营期</w:t>
                  </w:r>
                </w:p>
              </w:tc>
              <w:tc>
                <w:tcPr>
                  <w:tcW w:w="265" w:type="pct"/>
                  <w:vMerge w:val="restart"/>
                  <w:noWrap w:val="0"/>
                  <w:vAlign w:val="center"/>
                </w:tcPr>
                <w:p>
                  <w:pPr>
                    <w:pStyle w:val="40"/>
                    <w:bidi w:val="0"/>
                    <w:rPr>
                      <w:rFonts w:hint="default"/>
                      <w:lang w:val="en-US" w:eastAsia="zh-CN"/>
                    </w:rPr>
                  </w:pPr>
                  <w:r>
                    <w:rPr>
                      <w:rFonts w:hint="eastAsia"/>
                      <w:lang w:val="en-US" w:eastAsia="zh-CN"/>
                    </w:rPr>
                    <w:t>废气</w:t>
                  </w:r>
                </w:p>
              </w:tc>
              <w:tc>
                <w:tcPr>
                  <w:tcW w:w="576" w:type="pct"/>
                  <w:vMerge w:val="restart"/>
                  <w:noWrap w:val="0"/>
                  <w:vAlign w:val="center"/>
                </w:tcPr>
                <w:p>
                  <w:pPr>
                    <w:pStyle w:val="40"/>
                    <w:bidi w:val="0"/>
                    <w:rPr>
                      <w:rFonts w:hint="default"/>
                      <w:lang w:val="en-US" w:eastAsia="zh-CN"/>
                    </w:rPr>
                  </w:pPr>
                  <w:r>
                    <w:rPr>
                      <w:rFonts w:hint="eastAsia"/>
                      <w:lang w:val="en-US" w:eastAsia="zh-CN"/>
                    </w:rPr>
                    <w:t>无组织粉尘</w:t>
                  </w:r>
                </w:p>
              </w:tc>
              <w:tc>
                <w:tcPr>
                  <w:tcW w:w="776" w:type="pct"/>
                  <w:noWrap w:val="0"/>
                  <w:vAlign w:val="center"/>
                </w:tcPr>
                <w:p>
                  <w:pPr>
                    <w:pStyle w:val="40"/>
                    <w:bidi w:val="0"/>
                    <w:rPr>
                      <w:rFonts w:hint="eastAsia"/>
                      <w:lang w:val="en-US" w:eastAsia="zh-CN"/>
                    </w:rPr>
                  </w:pPr>
                  <w:r>
                    <w:rPr>
                      <w:rFonts w:hint="default"/>
                      <w:lang w:val="en-US" w:eastAsia="zh-CN"/>
                    </w:rPr>
                    <w:t>原料堆存粉尘</w:t>
                  </w:r>
                </w:p>
              </w:tc>
              <w:tc>
                <w:tcPr>
                  <w:tcW w:w="2463" w:type="pct"/>
                  <w:noWrap w:val="0"/>
                  <w:vAlign w:val="center"/>
                </w:tcPr>
                <w:p>
                  <w:pPr>
                    <w:pStyle w:val="40"/>
                    <w:bidi w:val="0"/>
                    <w:rPr>
                      <w:rFonts w:hint="eastAsia"/>
                      <w:lang w:val="en-US" w:eastAsia="zh-CN"/>
                    </w:rPr>
                  </w:pPr>
                  <w:r>
                    <w:rPr>
                      <w:rFonts w:hint="eastAsia"/>
                      <w:lang w:val="en-US" w:eastAsia="zh-CN"/>
                    </w:rPr>
                    <w:t>半封闭仓库+洒水抑尘。</w:t>
                  </w:r>
                </w:p>
              </w:tc>
              <w:tc>
                <w:tcPr>
                  <w:tcW w:w="615" w:type="pct"/>
                  <w:noWrap w:val="0"/>
                  <w:vAlign w:val="center"/>
                </w:tcPr>
                <w:p>
                  <w:pPr>
                    <w:pStyle w:val="40"/>
                    <w:bidi w:val="0"/>
                    <w:rPr>
                      <w:rFonts w:hint="default"/>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2" w:type="pct"/>
                  <w:vMerge w:val="continue"/>
                  <w:noWrap w:val="0"/>
                  <w:vAlign w:val="center"/>
                </w:tcPr>
                <w:p>
                  <w:pPr>
                    <w:pStyle w:val="40"/>
                    <w:bidi w:val="0"/>
                    <w:rPr>
                      <w:rFonts w:hint="eastAsia"/>
                      <w:lang w:val="en-US" w:eastAsia="zh-CN"/>
                    </w:rPr>
                  </w:pPr>
                </w:p>
              </w:tc>
              <w:tc>
                <w:tcPr>
                  <w:tcW w:w="265" w:type="pct"/>
                  <w:vMerge w:val="continue"/>
                  <w:noWrap w:val="0"/>
                  <w:vAlign w:val="center"/>
                </w:tcPr>
                <w:p>
                  <w:pPr>
                    <w:pStyle w:val="40"/>
                    <w:bidi w:val="0"/>
                    <w:rPr>
                      <w:rFonts w:hint="eastAsia"/>
                      <w:lang w:val="en-US" w:eastAsia="zh-CN"/>
                    </w:rPr>
                  </w:pPr>
                </w:p>
              </w:tc>
              <w:tc>
                <w:tcPr>
                  <w:tcW w:w="576" w:type="pct"/>
                  <w:vMerge w:val="continue"/>
                  <w:noWrap w:val="0"/>
                  <w:vAlign w:val="center"/>
                </w:tcPr>
                <w:p>
                  <w:pPr>
                    <w:pStyle w:val="40"/>
                    <w:bidi w:val="0"/>
                    <w:rPr>
                      <w:rFonts w:hint="eastAsia"/>
                      <w:lang w:val="en-US" w:eastAsia="zh-CN"/>
                    </w:rPr>
                  </w:pPr>
                </w:p>
              </w:tc>
              <w:tc>
                <w:tcPr>
                  <w:tcW w:w="776" w:type="pct"/>
                  <w:noWrap w:val="0"/>
                  <w:vAlign w:val="center"/>
                </w:tcPr>
                <w:p>
                  <w:pPr>
                    <w:pStyle w:val="40"/>
                    <w:bidi w:val="0"/>
                    <w:rPr>
                      <w:rFonts w:hint="default"/>
                      <w:lang w:val="en-US" w:eastAsia="zh-CN"/>
                    </w:rPr>
                  </w:pPr>
                  <w:r>
                    <w:rPr>
                      <w:rFonts w:hint="eastAsia"/>
                      <w:lang w:val="en-US" w:eastAsia="zh-CN"/>
                    </w:rPr>
                    <w:t>筒仓粉尘</w:t>
                  </w:r>
                </w:p>
              </w:tc>
              <w:tc>
                <w:tcPr>
                  <w:tcW w:w="2463" w:type="pct"/>
                  <w:noWrap w:val="0"/>
                  <w:vAlign w:val="center"/>
                </w:tcPr>
                <w:p>
                  <w:pPr>
                    <w:pStyle w:val="40"/>
                    <w:bidi w:val="0"/>
                    <w:rPr>
                      <w:rFonts w:hint="default"/>
                      <w:lang w:val="en-US" w:eastAsia="zh-CN"/>
                    </w:rPr>
                  </w:pPr>
                  <w:r>
                    <w:rPr>
                      <w:rFonts w:hint="default"/>
                      <w:lang w:val="en-US" w:eastAsia="zh-CN"/>
                    </w:rPr>
                    <w:t>经仓顶</w:t>
                  </w:r>
                  <w:r>
                    <w:rPr>
                      <w:rFonts w:hint="eastAsia"/>
                      <w:lang w:val="en-US" w:eastAsia="zh-CN"/>
                    </w:rPr>
                    <w:t>脉冲式布袋除尘器</w:t>
                  </w:r>
                  <w:r>
                    <w:rPr>
                      <w:rFonts w:hint="default"/>
                      <w:lang w:val="en-US" w:eastAsia="zh-CN"/>
                    </w:rPr>
                    <w:t>处理后无组织排放</w:t>
                  </w:r>
                  <w:r>
                    <w:rPr>
                      <w:rFonts w:hint="eastAsia"/>
                      <w:lang w:val="en-US" w:eastAsia="zh-CN"/>
                    </w:rPr>
                    <w:t>。</w:t>
                  </w:r>
                </w:p>
              </w:tc>
              <w:tc>
                <w:tcPr>
                  <w:tcW w:w="615" w:type="pct"/>
                  <w:noWrap w:val="0"/>
                  <w:vAlign w:val="center"/>
                </w:tcPr>
                <w:p>
                  <w:pPr>
                    <w:pStyle w:val="40"/>
                    <w:bidi w:val="0"/>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2" w:type="pct"/>
                  <w:vMerge w:val="continue"/>
                  <w:noWrap w:val="0"/>
                  <w:vAlign w:val="center"/>
                </w:tcPr>
                <w:p>
                  <w:pPr>
                    <w:pStyle w:val="40"/>
                    <w:bidi w:val="0"/>
                    <w:rPr>
                      <w:rFonts w:hint="eastAsia"/>
                      <w:lang w:val="en-US" w:eastAsia="zh-CN"/>
                    </w:rPr>
                  </w:pPr>
                </w:p>
              </w:tc>
              <w:tc>
                <w:tcPr>
                  <w:tcW w:w="265" w:type="pct"/>
                  <w:vMerge w:val="continue"/>
                  <w:noWrap w:val="0"/>
                  <w:vAlign w:val="center"/>
                </w:tcPr>
                <w:p>
                  <w:pPr>
                    <w:pStyle w:val="40"/>
                    <w:bidi w:val="0"/>
                    <w:rPr>
                      <w:rFonts w:hint="eastAsia"/>
                      <w:lang w:val="en-US" w:eastAsia="zh-CN"/>
                    </w:rPr>
                  </w:pPr>
                </w:p>
              </w:tc>
              <w:tc>
                <w:tcPr>
                  <w:tcW w:w="576" w:type="pct"/>
                  <w:vMerge w:val="continue"/>
                  <w:noWrap w:val="0"/>
                  <w:vAlign w:val="center"/>
                </w:tcPr>
                <w:p>
                  <w:pPr>
                    <w:pStyle w:val="40"/>
                    <w:bidi w:val="0"/>
                    <w:rPr>
                      <w:rFonts w:hint="eastAsia"/>
                      <w:lang w:val="en-US" w:eastAsia="zh-CN"/>
                    </w:rPr>
                  </w:pPr>
                </w:p>
              </w:tc>
              <w:tc>
                <w:tcPr>
                  <w:tcW w:w="776" w:type="pct"/>
                  <w:noWrap w:val="0"/>
                  <w:vAlign w:val="center"/>
                </w:tcPr>
                <w:p>
                  <w:pPr>
                    <w:pStyle w:val="40"/>
                    <w:bidi w:val="0"/>
                    <w:rPr>
                      <w:rFonts w:hint="default"/>
                      <w:lang w:val="en-US" w:eastAsia="zh-CN"/>
                    </w:rPr>
                  </w:pPr>
                  <w:r>
                    <w:rPr>
                      <w:rFonts w:hint="eastAsia"/>
                      <w:lang w:val="en-US" w:eastAsia="zh-CN"/>
                    </w:rPr>
                    <w:t>投料粉尘</w:t>
                  </w:r>
                </w:p>
              </w:tc>
              <w:tc>
                <w:tcPr>
                  <w:tcW w:w="2463" w:type="pct"/>
                  <w:noWrap w:val="0"/>
                  <w:vAlign w:val="center"/>
                </w:tcPr>
                <w:p>
                  <w:pPr>
                    <w:pStyle w:val="40"/>
                    <w:bidi w:val="0"/>
                    <w:rPr>
                      <w:rFonts w:hint="default"/>
                      <w:lang w:val="en-US" w:eastAsia="zh-CN"/>
                    </w:rPr>
                  </w:pPr>
                  <w:r>
                    <w:rPr>
                      <w:rFonts w:hint="eastAsia"/>
                      <w:lang w:val="en-US" w:eastAsia="zh-CN"/>
                    </w:rPr>
                    <w:t>上料口围挡+洒水抑尘</w:t>
                  </w:r>
                </w:p>
              </w:tc>
              <w:tc>
                <w:tcPr>
                  <w:tcW w:w="615" w:type="pct"/>
                  <w:noWrap w:val="0"/>
                  <w:vAlign w:val="center"/>
                </w:tcPr>
                <w:p>
                  <w:pPr>
                    <w:pStyle w:val="40"/>
                    <w:bidi w:val="0"/>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02" w:type="pct"/>
                  <w:vMerge w:val="continue"/>
                  <w:noWrap w:val="0"/>
                  <w:vAlign w:val="center"/>
                </w:tcPr>
                <w:p>
                  <w:pPr>
                    <w:pStyle w:val="40"/>
                    <w:bidi w:val="0"/>
                    <w:rPr>
                      <w:rFonts w:hint="eastAsia"/>
                      <w:lang w:val="en-US" w:eastAsia="zh-CN"/>
                    </w:rPr>
                  </w:pPr>
                </w:p>
              </w:tc>
              <w:tc>
                <w:tcPr>
                  <w:tcW w:w="265" w:type="pct"/>
                  <w:vMerge w:val="continue"/>
                  <w:noWrap w:val="0"/>
                  <w:vAlign w:val="center"/>
                </w:tcPr>
                <w:p>
                  <w:pPr>
                    <w:pStyle w:val="40"/>
                    <w:bidi w:val="0"/>
                    <w:rPr>
                      <w:rFonts w:hint="eastAsia"/>
                      <w:lang w:val="en-US" w:eastAsia="zh-CN"/>
                    </w:rPr>
                  </w:pPr>
                </w:p>
              </w:tc>
              <w:tc>
                <w:tcPr>
                  <w:tcW w:w="576" w:type="pct"/>
                  <w:noWrap w:val="0"/>
                  <w:vAlign w:val="center"/>
                </w:tcPr>
                <w:p>
                  <w:pPr>
                    <w:pStyle w:val="40"/>
                    <w:bidi w:val="0"/>
                    <w:rPr>
                      <w:rFonts w:hint="eastAsia"/>
                      <w:lang w:val="en-US" w:eastAsia="zh-CN"/>
                    </w:rPr>
                  </w:pPr>
                  <w:r>
                    <w:rPr>
                      <w:rFonts w:hint="eastAsia"/>
                      <w:lang w:val="en-US" w:eastAsia="zh-CN"/>
                    </w:rPr>
                    <w:t>有组织粉尘</w:t>
                  </w:r>
                </w:p>
              </w:tc>
              <w:tc>
                <w:tcPr>
                  <w:tcW w:w="776" w:type="pct"/>
                  <w:noWrap w:val="0"/>
                  <w:vAlign w:val="center"/>
                </w:tcPr>
                <w:p>
                  <w:pPr>
                    <w:pStyle w:val="40"/>
                    <w:bidi w:val="0"/>
                    <w:rPr>
                      <w:rFonts w:hint="default"/>
                      <w:lang w:val="en-US" w:eastAsia="zh-CN"/>
                    </w:rPr>
                  </w:pPr>
                  <w:r>
                    <w:rPr>
                      <w:rFonts w:hint="eastAsia"/>
                      <w:lang w:val="en-US" w:eastAsia="zh-CN"/>
                    </w:rPr>
                    <w:t>搅拌</w:t>
                  </w:r>
                  <w:r>
                    <w:rPr>
                      <w:rFonts w:hint="default"/>
                      <w:lang w:val="en-US" w:eastAsia="zh-CN"/>
                    </w:rPr>
                    <w:t>粉尘</w:t>
                  </w:r>
                </w:p>
              </w:tc>
              <w:tc>
                <w:tcPr>
                  <w:tcW w:w="2463" w:type="pct"/>
                  <w:noWrap w:val="0"/>
                  <w:vAlign w:val="center"/>
                </w:tcPr>
                <w:p>
                  <w:pPr>
                    <w:pStyle w:val="40"/>
                    <w:bidi w:val="0"/>
                    <w:rPr>
                      <w:rFonts w:hint="default"/>
                      <w:lang w:val="en-US" w:eastAsia="zh-CN"/>
                    </w:rPr>
                  </w:pPr>
                  <w:r>
                    <w:rPr>
                      <w:rFonts w:hint="eastAsia"/>
                      <w:lang w:val="en-US" w:eastAsia="zh-CN"/>
                    </w:rPr>
                    <w:t>集气罩收集后经袋式除尘器处理后由15m高排气筒DA001排放。</w:t>
                  </w:r>
                </w:p>
              </w:tc>
              <w:tc>
                <w:tcPr>
                  <w:tcW w:w="615" w:type="pct"/>
                  <w:noWrap w:val="0"/>
                  <w:vAlign w:val="center"/>
                </w:tcPr>
                <w:p>
                  <w:pPr>
                    <w:pStyle w:val="40"/>
                    <w:bidi w:val="0"/>
                    <w:rPr>
                      <w:rFonts w:hint="eastAsia"/>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2" w:type="pct"/>
                  <w:vMerge w:val="continue"/>
                  <w:noWrap w:val="0"/>
                  <w:vAlign w:val="center"/>
                </w:tcPr>
                <w:p>
                  <w:pPr>
                    <w:pStyle w:val="40"/>
                    <w:bidi w:val="0"/>
                    <w:rPr>
                      <w:rFonts w:hint="eastAsia"/>
                      <w:lang w:val="en-US" w:eastAsia="zh-CN"/>
                    </w:rPr>
                  </w:pPr>
                </w:p>
              </w:tc>
              <w:tc>
                <w:tcPr>
                  <w:tcW w:w="265" w:type="pct"/>
                  <w:vMerge w:val="continue"/>
                  <w:noWrap w:val="0"/>
                  <w:vAlign w:val="center"/>
                </w:tcPr>
                <w:p>
                  <w:pPr>
                    <w:pStyle w:val="40"/>
                    <w:bidi w:val="0"/>
                    <w:rPr>
                      <w:rFonts w:hint="eastAsia"/>
                      <w:lang w:val="en-US" w:eastAsia="zh-CN"/>
                    </w:rPr>
                  </w:pPr>
                </w:p>
              </w:tc>
              <w:tc>
                <w:tcPr>
                  <w:tcW w:w="576" w:type="pct"/>
                  <w:noWrap w:val="0"/>
                  <w:vAlign w:val="center"/>
                </w:tcPr>
                <w:p>
                  <w:pPr>
                    <w:pStyle w:val="40"/>
                    <w:bidi w:val="0"/>
                    <w:rPr>
                      <w:rFonts w:hint="default"/>
                      <w:lang w:val="en-US" w:eastAsia="zh-CN"/>
                    </w:rPr>
                  </w:pPr>
                  <w:r>
                    <w:rPr>
                      <w:rFonts w:hint="eastAsia"/>
                      <w:lang w:val="en-US" w:eastAsia="zh-CN"/>
                    </w:rPr>
                    <w:t>食堂油烟</w:t>
                  </w:r>
                </w:p>
              </w:tc>
              <w:tc>
                <w:tcPr>
                  <w:tcW w:w="3240" w:type="pct"/>
                  <w:gridSpan w:val="2"/>
                  <w:noWrap w:val="0"/>
                  <w:vAlign w:val="center"/>
                </w:tcPr>
                <w:p>
                  <w:pPr>
                    <w:pStyle w:val="40"/>
                    <w:bidi w:val="0"/>
                    <w:rPr>
                      <w:rFonts w:hint="eastAsia"/>
                      <w:lang w:val="en-US" w:eastAsia="zh-CN"/>
                    </w:rPr>
                  </w:pPr>
                  <w:r>
                    <w:rPr>
                      <w:rFonts w:hint="default"/>
                      <w:lang w:val="en-US" w:eastAsia="zh-CN"/>
                    </w:rPr>
                    <w:t>食堂油烟经1台</w:t>
                  </w:r>
                  <w:r>
                    <w:rPr>
                      <w:rFonts w:hint="eastAsia"/>
                      <w:lang w:val="en-US" w:eastAsia="zh-CN"/>
                    </w:rPr>
                    <w:t>油烟净化器</w:t>
                  </w:r>
                  <w:r>
                    <w:rPr>
                      <w:rFonts w:hint="default"/>
                      <w:lang w:val="en-US" w:eastAsia="zh-CN"/>
                    </w:rPr>
                    <w:t>处理后排放</w:t>
                  </w:r>
                  <w:r>
                    <w:rPr>
                      <w:rFonts w:hint="eastAsia"/>
                      <w:lang w:val="en-US" w:eastAsia="zh-CN"/>
                    </w:rPr>
                    <w:t>。</w:t>
                  </w:r>
                </w:p>
              </w:tc>
              <w:tc>
                <w:tcPr>
                  <w:tcW w:w="615" w:type="pct"/>
                  <w:noWrap w:val="0"/>
                  <w:vAlign w:val="center"/>
                </w:tcPr>
                <w:p>
                  <w:pPr>
                    <w:pStyle w:val="40"/>
                    <w:bidi w:val="0"/>
                    <w:rPr>
                      <w:rFonts w:hint="default"/>
                      <w:lang w:val="en-US" w:eastAsia="zh-CN"/>
                    </w:rPr>
                  </w:pPr>
                  <w:r>
                    <w:rPr>
                      <w:rFonts w:hint="eastAsia"/>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02" w:type="pct"/>
                  <w:vMerge w:val="continue"/>
                  <w:noWrap w:val="0"/>
                  <w:vAlign w:val="center"/>
                </w:tcPr>
                <w:p>
                  <w:pPr>
                    <w:pStyle w:val="40"/>
                    <w:bidi w:val="0"/>
                    <w:rPr>
                      <w:rFonts w:hint="eastAsia"/>
                      <w:lang w:val="en-US" w:eastAsia="zh-CN"/>
                    </w:rPr>
                  </w:pPr>
                </w:p>
              </w:tc>
              <w:tc>
                <w:tcPr>
                  <w:tcW w:w="841" w:type="pct"/>
                  <w:gridSpan w:val="2"/>
                  <w:noWrap w:val="0"/>
                  <w:vAlign w:val="center"/>
                </w:tcPr>
                <w:p>
                  <w:pPr>
                    <w:pStyle w:val="40"/>
                    <w:bidi w:val="0"/>
                    <w:rPr>
                      <w:rFonts w:hint="default"/>
                      <w:lang w:val="en-US" w:eastAsia="zh-CN"/>
                    </w:rPr>
                  </w:pPr>
                  <w:r>
                    <w:rPr>
                      <w:rFonts w:hint="eastAsia"/>
                      <w:lang w:val="en-US" w:eastAsia="zh-CN"/>
                    </w:rPr>
                    <w:t>废水</w:t>
                  </w:r>
                </w:p>
              </w:tc>
              <w:tc>
                <w:tcPr>
                  <w:tcW w:w="3240" w:type="pct"/>
                  <w:gridSpan w:val="2"/>
                  <w:noWrap w:val="0"/>
                  <w:vAlign w:val="center"/>
                </w:tcPr>
                <w:p>
                  <w:pPr>
                    <w:pStyle w:val="40"/>
                    <w:bidi w:val="0"/>
                    <w:rPr>
                      <w:rFonts w:hint="eastAsia"/>
                      <w:lang w:val="en-US" w:eastAsia="zh-CN"/>
                    </w:rPr>
                  </w:pPr>
                  <w:r>
                    <w:rPr>
                      <w:rFonts w:hint="eastAsia"/>
                      <w:lang w:val="en-US" w:eastAsia="zh-CN"/>
                    </w:rPr>
                    <w:t>生活污水经化粪池处理后拉运至若羌县城乡污水处理厂进行集中处理；搅拌设备清洗水经沉淀池沉淀后用于厂区洒水抑尘。</w:t>
                  </w:r>
                </w:p>
              </w:tc>
              <w:tc>
                <w:tcPr>
                  <w:tcW w:w="615" w:type="pct"/>
                  <w:noWrap w:val="0"/>
                  <w:vAlign w:val="center"/>
                </w:tcPr>
                <w:p>
                  <w:pPr>
                    <w:pStyle w:val="40"/>
                    <w:bidi w:val="0"/>
                    <w:rPr>
                      <w:rFonts w:hint="default"/>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2" w:type="pct"/>
                  <w:vMerge w:val="continue"/>
                  <w:noWrap w:val="0"/>
                  <w:vAlign w:val="center"/>
                </w:tcPr>
                <w:p>
                  <w:pPr>
                    <w:pStyle w:val="40"/>
                    <w:bidi w:val="0"/>
                    <w:rPr>
                      <w:rFonts w:hint="eastAsia"/>
                      <w:lang w:val="en-US" w:eastAsia="zh-CN"/>
                    </w:rPr>
                  </w:pPr>
                </w:p>
              </w:tc>
              <w:tc>
                <w:tcPr>
                  <w:tcW w:w="841" w:type="pct"/>
                  <w:gridSpan w:val="2"/>
                  <w:noWrap w:val="0"/>
                  <w:vAlign w:val="center"/>
                </w:tcPr>
                <w:p>
                  <w:pPr>
                    <w:pStyle w:val="40"/>
                    <w:bidi w:val="0"/>
                    <w:rPr>
                      <w:rFonts w:hint="eastAsia"/>
                      <w:lang w:val="en-US" w:eastAsia="zh-CN"/>
                    </w:rPr>
                  </w:pPr>
                  <w:r>
                    <w:t>固废</w:t>
                  </w:r>
                  <w:r>
                    <w:rPr>
                      <w:rFonts w:hint="eastAsia"/>
                      <w:lang w:val="en-US" w:eastAsia="zh-CN"/>
                    </w:rPr>
                    <w:t>治理</w:t>
                  </w:r>
                </w:p>
              </w:tc>
              <w:tc>
                <w:tcPr>
                  <w:tcW w:w="3240" w:type="pct"/>
                  <w:gridSpan w:val="2"/>
                  <w:noWrap w:val="0"/>
                  <w:vAlign w:val="center"/>
                </w:tcPr>
                <w:p>
                  <w:pPr>
                    <w:pStyle w:val="40"/>
                    <w:bidi w:val="0"/>
                    <w:rPr>
                      <w:rFonts w:hint="eastAsia"/>
                      <w:lang w:val="en-US" w:eastAsia="zh-CN"/>
                    </w:rPr>
                  </w:pPr>
                  <w:r>
                    <w:t>生活垃圾分类收集，定期清运；</w:t>
                  </w:r>
                  <w:r>
                    <w:rPr>
                      <w:rFonts w:hint="eastAsia"/>
                    </w:rPr>
                    <w:t>除尘</w:t>
                  </w:r>
                  <w:r>
                    <w:rPr>
                      <w:rFonts w:hint="eastAsia"/>
                      <w:lang w:val="en-US" w:eastAsia="zh-CN"/>
                    </w:rPr>
                    <w:t>灰</w:t>
                  </w:r>
                  <w:r>
                    <w:rPr>
                      <w:rFonts w:hint="eastAsia"/>
                    </w:rPr>
                    <w:t>回用于生产，</w:t>
                  </w:r>
                  <w:r>
                    <w:rPr>
                      <w:rFonts w:hint="eastAsia"/>
                      <w:lang w:val="en-US" w:eastAsia="zh-CN"/>
                    </w:rPr>
                    <w:t>废布袋定期由设备厂家进行回收处理；废润滑油、废润滑油桶等危险废物贮存于危废贮存点内，定期交由有资质的单位进行处理。</w:t>
                  </w:r>
                </w:p>
              </w:tc>
              <w:tc>
                <w:tcPr>
                  <w:tcW w:w="615" w:type="pct"/>
                  <w:noWrap w:val="0"/>
                  <w:vAlign w:val="center"/>
                </w:tcPr>
                <w:p>
                  <w:pPr>
                    <w:pStyle w:val="40"/>
                    <w:bidi w:val="0"/>
                    <w:rPr>
                      <w:rFonts w:hint="default"/>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2" w:type="pct"/>
                  <w:vMerge w:val="continue"/>
                  <w:noWrap w:val="0"/>
                  <w:vAlign w:val="center"/>
                </w:tcPr>
                <w:p>
                  <w:pPr>
                    <w:pStyle w:val="40"/>
                    <w:bidi w:val="0"/>
                    <w:rPr>
                      <w:rFonts w:hint="eastAsia"/>
                      <w:lang w:val="en-US" w:eastAsia="zh-CN"/>
                    </w:rPr>
                  </w:pPr>
                </w:p>
              </w:tc>
              <w:tc>
                <w:tcPr>
                  <w:tcW w:w="841" w:type="pct"/>
                  <w:gridSpan w:val="2"/>
                  <w:noWrap w:val="0"/>
                  <w:vAlign w:val="center"/>
                </w:tcPr>
                <w:p>
                  <w:pPr>
                    <w:pStyle w:val="40"/>
                    <w:bidi w:val="0"/>
                    <w:rPr>
                      <w:rFonts w:hint="eastAsia"/>
                      <w:lang w:val="en-US" w:eastAsia="zh-CN"/>
                    </w:rPr>
                  </w:pPr>
                  <w:r>
                    <w:t>噪声</w:t>
                  </w:r>
                  <w:r>
                    <w:rPr>
                      <w:rFonts w:hint="eastAsia"/>
                      <w:lang w:val="en-US" w:eastAsia="zh-CN"/>
                    </w:rPr>
                    <w:t>治理</w:t>
                  </w:r>
                </w:p>
              </w:tc>
              <w:tc>
                <w:tcPr>
                  <w:tcW w:w="3240" w:type="pct"/>
                  <w:gridSpan w:val="2"/>
                  <w:noWrap w:val="0"/>
                  <w:vAlign w:val="center"/>
                </w:tcPr>
                <w:p>
                  <w:pPr>
                    <w:pStyle w:val="40"/>
                    <w:bidi w:val="0"/>
                    <w:rPr>
                      <w:rFonts w:hint="eastAsia"/>
                      <w:lang w:val="en-US" w:eastAsia="zh-CN"/>
                    </w:rPr>
                  </w:pPr>
                  <w:r>
                    <w:t>基础减震，定期维护</w:t>
                  </w:r>
                </w:p>
              </w:tc>
              <w:tc>
                <w:tcPr>
                  <w:tcW w:w="615" w:type="pct"/>
                  <w:noWrap w:val="0"/>
                  <w:vAlign w:val="center"/>
                </w:tcPr>
                <w:p>
                  <w:pPr>
                    <w:pStyle w:val="40"/>
                    <w:bidi w:val="0"/>
                    <w:rPr>
                      <w:rFonts w:hint="default"/>
                      <w:lang w:val="en-US" w:eastAsia="zh-CN"/>
                    </w:rPr>
                  </w:pPr>
                  <w:r>
                    <w:rPr>
                      <w:rFonts w:hint="eastAsia"/>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43" w:type="pct"/>
                  <w:gridSpan w:val="3"/>
                  <w:noWrap w:val="0"/>
                  <w:vAlign w:val="center"/>
                </w:tcPr>
                <w:p>
                  <w:pPr>
                    <w:pStyle w:val="40"/>
                    <w:bidi w:val="0"/>
                  </w:pPr>
                  <w:r>
                    <w:rPr>
                      <w:rFonts w:hint="eastAsia"/>
                      <w:lang w:val="en-US" w:eastAsia="zh-CN"/>
                    </w:rPr>
                    <w:t>环境风险防范工程</w:t>
                  </w:r>
                </w:p>
              </w:tc>
              <w:tc>
                <w:tcPr>
                  <w:tcW w:w="3240" w:type="pct"/>
                  <w:gridSpan w:val="2"/>
                  <w:noWrap w:val="0"/>
                  <w:vAlign w:val="center"/>
                </w:tcPr>
                <w:p>
                  <w:pPr>
                    <w:pStyle w:val="40"/>
                    <w:bidi w:val="0"/>
                  </w:pPr>
                  <w:r>
                    <w:rPr>
                      <w:rFonts w:hint="eastAsia"/>
                      <w:lang w:val="en-US" w:eastAsia="zh-CN"/>
                    </w:rPr>
                    <w:t>按照《危险废物贮存污染控制标准》（GB18597—2023）标准建设面积为5m</w:t>
                  </w:r>
                  <w:r>
                    <w:rPr>
                      <w:rFonts w:hint="eastAsia"/>
                      <w:vertAlign w:val="superscript"/>
                      <w:lang w:val="en-US" w:eastAsia="zh-CN"/>
                    </w:rPr>
                    <w:t>2</w:t>
                  </w:r>
                  <w:r>
                    <w:rPr>
                      <w:rFonts w:hint="eastAsia"/>
                      <w:lang w:val="en-US" w:eastAsia="zh-CN"/>
                    </w:rPr>
                    <w:t>危废贮存点。</w:t>
                  </w:r>
                </w:p>
              </w:tc>
              <w:tc>
                <w:tcPr>
                  <w:tcW w:w="615" w:type="pct"/>
                  <w:noWrap w:val="0"/>
                  <w:vAlign w:val="center"/>
                </w:tcPr>
                <w:p>
                  <w:pPr>
                    <w:pStyle w:val="40"/>
                    <w:bidi w:val="0"/>
                    <w:rPr>
                      <w:rFonts w:hint="default"/>
                      <w:lang w:val="en-US" w:eastAsia="zh-CN"/>
                    </w:rPr>
                  </w:pPr>
                  <w:r>
                    <w:rPr>
                      <w:rFonts w:hint="eastAsia"/>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384" w:type="pct"/>
                  <w:gridSpan w:val="5"/>
                  <w:noWrap w:val="0"/>
                  <w:vAlign w:val="center"/>
                </w:tcPr>
                <w:p>
                  <w:pPr>
                    <w:pStyle w:val="40"/>
                    <w:bidi w:val="0"/>
                  </w:pPr>
                  <w:r>
                    <w:rPr>
                      <w:rFonts w:hint="eastAsia"/>
                      <w:lang w:val="en-US" w:eastAsia="zh-CN"/>
                    </w:rPr>
                    <w:t>合计</w:t>
                  </w:r>
                </w:p>
              </w:tc>
              <w:tc>
                <w:tcPr>
                  <w:tcW w:w="615" w:type="pct"/>
                  <w:noWrap w:val="0"/>
                  <w:vAlign w:val="center"/>
                </w:tcPr>
                <w:p>
                  <w:pPr>
                    <w:pStyle w:val="40"/>
                    <w:bidi w:val="0"/>
                    <w:rPr>
                      <w:rFonts w:hint="default"/>
                      <w:lang w:val="en-US" w:eastAsia="zh-CN"/>
                    </w:rPr>
                  </w:pPr>
                  <w:r>
                    <w:rPr>
                      <w:rFonts w:hint="eastAsia"/>
                      <w:lang w:val="en-US" w:eastAsia="zh-CN"/>
                    </w:rPr>
                    <w:t>9</w:t>
                  </w:r>
                </w:p>
              </w:tc>
            </w:tr>
          </w:tbl>
          <w:p>
            <w:pPr>
              <w:pStyle w:val="42"/>
              <w:keepLines w:val="0"/>
              <w:pageBreakBefore w:val="0"/>
              <w:kinsoku/>
              <w:wordWrap/>
              <w:topLinePunct w:val="0"/>
              <w:autoSpaceDE/>
              <w:autoSpaceDN/>
              <w:bidi w:val="0"/>
              <w:spacing w:beforeAutospacing="0" w:afterAutospacing="0"/>
              <w:textAlignment w:val="auto"/>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823" w:type="dxa"/>
            <w:noWrap w:val="0"/>
            <w:vAlign w:val="center"/>
          </w:tcPr>
          <w:p>
            <w:pPr>
              <w:pStyle w:val="18"/>
              <w:keepLines w:val="0"/>
              <w:pageBreakBefore w:val="0"/>
              <w:kinsoku/>
              <w:wordWrap/>
              <w:topLinePunct w:val="0"/>
              <w:autoSpaceDE/>
              <w:autoSpaceDN/>
              <w:bidi w:val="0"/>
              <w:adjustRightInd w:val="0"/>
              <w:snapToGrid w:val="0"/>
              <w:spacing w:before="0" w:beforeAutospacing="0" w:after="0" w:afterAutospacing="0"/>
              <w:jc w:val="center"/>
              <w:textAlignment w:val="auto"/>
              <w:rPr>
                <w:rFonts w:cs="宋体"/>
                <w:sz w:val="21"/>
                <w:szCs w:val="21"/>
              </w:rPr>
            </w:pPr>
            <w:r>
              <w:rPr>
                <w:rFonts w:hint="eastAsia" w:cs="宋体"/>
                <w:sz w:val="21"/>
                <w:szCs w:val="21"/>
              </w:rPr>
              <w:t>工艺流程和产排污环节</w:t>
            </w:r>
          </w:p>
        </w:tc>
        <w:tc>
          <w:tcPr>
            <w:tcW w:w="8161" w:type="dxa"/>
            <w:noWrap w:val="0"/>
            <w:vAlign w:val="top"/>
          </w:tcPr>
          <w:p>
            <w:pPr>
              <w:pStyle w:val="2"/>
              <w:keepLines w:val="0"/>
              <w:pageBreakBefore w:val="0"/>
              <w:kinsoku/>
              <w:wordWrap/>
              <w:topLinePunct w:val="0"/>
              <w:autoSpaceDE/>
              <w:autoSpaceDN/>
              <w:bidi w:val="0"/>
              <w:spacing w:beforeAutospacing="0" w:afterAutospacing="0"/>
              <w:textAlignment w:val="auto"/>
            </w:pPr>
            <w:r>
              <w:rPr>
                <w:rFonts w:hint="eastAsia"/>
                <w:lang w:val="en-US" w:eastAsia="zh-CN"/>
              </w:rPr>
              <w:t>1.</w:t>
            </w:r>
            <w:r>
              <w:t>施工期工艺流程和产排污环节：</w:t>
            </w:r>
          </w:p>
          <w:p>
            <w:pPr>
              <w:pStyle w:val="8"/>
              <w:keepLines w:val="0"/>
              <w:pageBreakBefore w:val="0"/>
              <w:kinsoku/>
              <w:wordWrap/>
              <w:topLinePunct w:val="0"/>
              <w:autoSpaceDE/>
              <w:autoSpaceDN/>
              <w:bidi w:val="0"/>
              <w:spacing w:beforeAutospacing="0" w:afterAutospacing="0"/>
              <w:textAlignment w:val="auto"/>
            </w:pPr>
            <w:r>
              <w:rPr>
                <w:rFonts w:hint="eastAsia"/>
                <w:highlight w:val="none"/>
                <w:lang w:val="en-US" w:eastAsia="zh-CN"/>
              </w:rPr>
              <w:t>本项目已完成建设任务，经核查，施工期间产生的扬尘、噪声、废水等各类污染物已随施工活动终止而同步消除，不存在持续性环境影响基础。因此，针对施工期环境影响的评价分析工作不再予以开展。</w:t>
            </w:r>
          </w:p>
          <w:p>
            <w:pPr>
              <w:pStyle w:val="2"/>
              <w:bidi w:val="0"/>
              <w:rPr>
                <w:rFonts w:hint="eastAsia"/>
                <w:lang w:val="en-US" w:eastAsia="zh-CN"/>
              </w:rPr>
            </w:pPr>
            <w:r>
              <w:rPr>
                <w:rFonts w:hint="eastAsia"/>
                <w:lang w:val="en-US" w:eastAsia="zh-CN"/>
              </w:rPr>
              <w:t>2.运营期工艺流程和产排污环节：</w:t>
            </w:r>
          </w:p>
          <w:p>
            <w:pPr>
              <w:pStyle w:val="2"/>
              <w:bidi w:val="0"/>
              <w:spacing w:line="240" w:lineRule="auto"/>
              <w:ind w:left="0" w:leftChars="0" w:right="0" w:rightChars="0" w:firstLine="0" w:firstLineChars="0"/>
              <w:jc w:val="center"/>
              <w:rPr>
                <w:rFonts w:hint="eastAsia"/>
                <w:lang w:val="en-US" w:eastAsia="zh-CN"/>
              </w:rPr>
            </w:pPr>
            <w:r>
              <w:rPr>
                <w:rFonts w:hint="eastAsia"/>
                <w:lang w:val="en-US" w:eastAsia="zh-CN"/>
              </w:rPr>
              <w:drawing>
                <wp:inline distT="0" distB="0" distL="114300" distR="114300">
                  <wp:extent cx="4150360" cy="2599690"/>
                  <wp:effectExtent l="0" t="0" r="2540" b="10160"/>
                  <wp:docPr id="7" name="F360BE8B-6686-4F3D-AEAF-501FE73E4058-2" descr="C:/Users/Administrator/AppData/Local/Temp/绘图1(84).png绘图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360BE8B-6686-4F3D-AEAF-501FE73E4058-2" descr="C:/Users/Administrator/AppData/Local/Temp/绘图1(84).png绘图1(84)"/>
                          <pic:cNvPicPr>
                            <a:picLocks noChangeAspect="1"/>
                          </pic:cNvPicPr>
                        </pic:nvPicPr>
                        <pic:blipFill>
                          <a:blip r:embed="rId10"/>
                          <a:stretch>
                            <a:fillRect/>
                          </a:stretch>
                        </pic:blipFill>
                        <pic:spPr>
                          <a:xfrm>
                            <a:off x="0" y="0"/>
                            <a:ext cx="4150360" cy="2599690"/>
                          </a:xfrm>
                          <a:prstGeom prst="rect">
                            <a:avLst/>
                          </a:prstGeom>
                          <a:noFill/>
                          <a:ln>
                            <a:noFill/>
                          </a:ln>
                        </pic:spPr>
                      </pic:pic>
                    </a:graphicData>
                  </a:graphic>
                </wp:inline>
              </w:drawing>
            </w:r>
          </w:p>
          <w:p>
            <w:pPr>
              <w:pStyle w:val="42"/>
              <w:keepLines w:val="0"/>
              <w:pageBreakBefore w:val="0"/>
              <w:kinsoku/>
              <w:wordWrap/>
              <w:topLinePunct w:val="0"/>
              <w:autoSpaceDE/>
              <w:autoSpaceDN/>
              <w:bidi w:val="0"/>
              <w:spacing w:beforeAutospacing="0" w:afterAutospacing="0"/>
              <w:textAlignment w:val="auto"/>
              <w:rPr>
                <w:rFonts w:hint="default"/>
                <w:lang w:val="en-US"/>
              </w:rPr>
            </w:pPr>
            <w:r>
              <w:rPr>
                <w:rFonts w:hint="eastAsia"/>
                <w:lang w:val="en-US" w:eastAsia="zh-CN"/>
              </w:rPr>
              <w:t>图2-2    商品混凝土生产工艺流程及产污环节图</w:t>
            </w:r>
          </w:p>
          <w:p>
            <w:pPr>
              <w:pStyle w:val="2"/>
              <w:keepLines w:val="0"/>
              <w:pageBreakBefore w:val="0"/>
              <w:kinsoku/>
              <w:wordWrap/>
              <w:topLinePunct w:val="0"/>
              <w:autoSpaceDE/>
              <w:autoSpaceDN/>
              <w:bidi w:val="0"/>
              <w:spacing w:beforeAutospacing="0" w:afterAutospacing="0"/>
              <w:textAlignment w:val="auto"/>
            </w:pPr>
            <w:r>
              <w:t>工艺流程</w:t>
            </w:r>
            <w:r>
              <w:rPr>
                <w:rFonts w:hint="eastAsia"/>
                <w:lang w:val="en-US" w:eastAsia="zh-CN"/>
              </w:rPr>
              <w:t>简述</w:t>
            </w:r>
            <w:r>
              <w:t>：</w:t>
            </w:r>
          </w:p>
          <w:p>
            <w:pPr>
              <w:pStyle w:val="8"/>
              <w:bidi w:val="0"/>
              <w:rPr>
                <w:rFonts w:hint="eastAsia" w:ascii="宋体" w:hAnsi="宋体" w:cs="宋体"/>
                <w:bCs/>
                <w:szCs w:val="21"/>
                <w:lang w:val="en-US" w:eastAsia="zh-CN"/>
              </w:rPr>
            </w:pPr>
            <w:r>
              <w:rPr>
                <w:rFonts w:hint="eastAsia" w:ascii="宋体" w:hAnsi="宋体" w:cs="宋体"/>
                <w:bCs/>
                <w:szCs w:val="21"/>
                <w:lang w:val="en-US" w:eastAsia="zh-CN"/>
              </w:rPr>
              <w:t>骨料称量：所需骨料主要为砂石料，由汽车运至厂区（要求混凝土所需骨料需符合使用标准，或经过洗石机洗石达标的骨料），通过车辆自卸方式存入料场。再分别用装载机装入密闭料仓，在料仓下方均接一个计量秤，分别对各种砂石料按质量配比称量，称好的砂石料由皮带输送机（封闭）输送到骨料过渡仓，由过渡仓开门落至混凝土搅拌机内搅拌。</w:t>
            </w:r>
          </w:p>
          <w:p>
            <w:pPr>
              <w:pStyle w:val="8"/>
              <w:bidi w:val="0"/>
              <w:rPr>
                <w:rFonts w:hint="eastAsia" w:ascii="宋体" w:hAnsi="宋体" w:cs="宋体"/>
                <w:bCs/>
                <w:szCs w:val="21"/>
                <w:lang w:val="en-US" w:eastAsia="zh-CN"/>
              </w:rPr>
            </w:pPr>
            <w:r>
              <w:rPr>
                <w:rFonts w:hint="eastAsia" w:ascii="宋体" w:hAnsi="宋体" w:cs="宋体"/>
                <w:bCs/>
                <w:szCs w:val="21"/>
                <w:lang w:val="en-US" w:eastAsia="zh-CN"/>
              </w:rPr>
              <w:t>粉料称量（水泥、粉煤灰、矿粉）：所需的粉料由密封罐车运至厂区，再由罐车或其他输送装置通过压缩空气泵打入立式筒仓，开启蝶阀，粉料落入密闭螺旋输送机，再由螺旋输送机输送到称量斗称量，称好的水泥由水泥称量斗下的气缸开启蝶阀滑入混凝土搅拌机内搅拌。</w:t>
            </w:r>
          </w:p>
          <w:p>
            <w:pPr>
              <w:pStyle w:val="8"/>
              <w:bidi w:val="0"/>
              <w:rPr>
                <w:rFonts w:hint="eastAsia" w:ascii="宋体" w:hAnsi="宋体" w:cs="宋体"/>
                <w:bCs/>
                <w:szCs w:val="21"/>
                <w:lang w:val="en-US" w:eastAsia="zh-CN"/>
              </w:rPr>
            </w:pPr>
            <w:r>
              <w:rPr>
                <w:rFonts w:hint="eastAsia" w:ascii="宋体" w:hAnsi="宋体" w:cs="宋体"/>
                <w:bCs/>
                <w:szCs w:val="21"/>
                <w:lang w:val="en-US" w:eastAsia="zh-CN"/>
              </w:rPr>
              <w:t>水称量：所需的水由水泵把水抽入称量箱称量，称好的水投入混凝土搅拌机。</w:t>
            </w:r>
          </w:p>
          <w:p>
            <w:pPr>
              <w:pStyle w:val="8"/>
              <w:bidi w:val="0"/>
              <w:rPr>
                <w:rFonts w:hint="eastAsia" w:ascii="宋体" w:hAnsi="宋体" w:cs="宋体"/>
                <w:bCs/>
                <w:szCs w:val="21"/>
                <w:lang w:val="en-US" w:eastAsia="zh-CN"/>
              </w:rPr>
            </w:pPr>
            <w:r>
              <w:rPr>
                <w:rFonts w:hint="eastAsia" w:ascii="宋体" w:hAnsi="宋体" w:cs="宋体"/>
                <w:bCs/>
                <w:szCs w:val="21"/>
                <w:lang w:val="en-US" w:eastAsia="zh-CN"/>
              </w:rPr>
              <w:t>外加剂称量：所需的添加剂由自吸泵从外加剂桶内抽至称量箱称量，称好的添加剂投入混凝土搅拌机。</w:t>
            </w:r>
          </w:p>
          <w:p>
            <w:pPr>
              <w:pStyle w:val="8"/>
              <w:bidi w:val="0"/>
              <w:rPr>
                <w:rFonts w:hint="eastAsia"/>
                <w:lang w:val="en-US" w:eastAsia="zh-CN"/>
              </w:rPr>
            </w:pPr>
            <w:r>
              <w:rPr>
                <w:rFonts w:hint="eastAsia" w:ascii="宋体" w:hAnsi="宋体" w:cs="宋体"/>
                <w:bCs/>
                <w:szCs w:val="21"/>
                <w:lang w:val="en-US" w:eastAsia="zh-CN"/>
              </w:rPr>
              <w:t>混凝土搅拌站的搅拌主机进行搅拌：骨料、粉料、水及外加剂等是按照设定的时间投入混凝土搅拌机的，进入混凝土搅拌机的物料在相互翻转的两根搅拌轴上的双道螺旋叶片的搅拌下使物料产生挤压，摩擦、剪切、对流，从而进行剧烈的强制掺合。搅拌时间到时，由搅拌机开门装置的气缸将门打开，由叶片将已搅拌好的混凝土推到等待在混凝土搅拌机下的运输车（在进入运输车之前先取一部分搅拌好的混凝土进行抽测试验，检验是否满足要求），合格后全部推出后关门进入下一个搅拌循环，成品料由混凝土罐车运往施工现场</w:t>
            </w:r>
            <w:r>
              <w:rPr>
                <w:rFonts w:hint="eastAsia"/>
                <w:lang w:val="en-US" w:eastAsia="zh-CN"/>
              </w:rPr>
              <w:t>。</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产排污环节分析：</w:t>
            </w:r>
          </w:p>
          <w:p>
            <w:pPr>
              <w:pStyle w:val="8"/>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Cs w:val="24"/>
                <w:lang w:val="en-US" w:eastAsia="zh-CN" w:bidi="ar-SA"/>
              </w:rPr>
            </w:pPr>
            <w:r>
              <w:rPr>
                <w:rFonts w:hint="default"/>
                <w:lang w:val="en-US" w:eastAsia="zh-CN"/>
              </w:rPr>
              <w:t>本项目生产中会产生相应类别的污染物，公辅设施也会产生相应污染物，主要为厂区职工生活污水</w:t>
            </w:r>
            <w:r>
              <w:rPr>
                <w:rFonts w:hint="eastAsia"/>
                <w:lang w:val="en-US" w:eastAsia="zh-CN"/>
              </w:rPr>
              <w:t>和</w:t>
            </w:r>
            <w:r>
              <w:rPr>
                <w:rFonts w:hint="default"/>
                <w:lang w:val="en-US" w:eastAsia="zh-CN"/>
              </w:rPr>
              <w:t>厂区生活垃圾。本项目产污环节汇总</w:t>
            </w:r>
            <w:r>
              <w:rPr>
                <w:rFonts w:hint="eastAsia"/>
                <w:lang w:val="en-US" w:eastAsia="zh-CN"/>
              </w:rPr>
              <w:t>详</w:t>
            </w:r>
            <w:r>
              <w:rPr>
                <w:rFonts w:hint="default"/>
                <w:lang w:val="en-US" w:eastAsia="zh-CN"/>
              </w:rPr>
              <w:t>见</w:t>
            </w:r>
            <w:r>
              <w:rPr>
                <w:rFonts w:hint="eastAsia"/>
                <w:lang w:val="en-US" w:eastAsia="zh-CN"/>
              </w:rPr>
              <w:t>下</w:t>
            </w:r>
            <w:r>
              <w:rPr>
                <w:rFonts w:hint="default"/>
                <w:lang w:val="en-US" w:eastAsia="zh-CN"/>
              </w:rPr>
              <w:t>表。</w:t>
            </w:r>
          </w:p>
          <w:p>
            <w:pPr>
              <w:pStyle w:val="4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表2-7    项目运营期主要污染工序一览表</w:t>
            </w:r>
          </w:p>
          <w:tbl>
            <w:tblPr>
              <w:tblStyle w:val="23"/>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71"/>
              <w:gridCol w:w="1558"/>
              <w:gridCol w:w="1708"/>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lang w:val="en-US" w:eastAsia="zh-CN"/>
                    </w:rPr>
                  </w:pPr>
                  <w:r>
                    <w:rPr>
                      <w:rFonts w:hint="default" w:ascii="Times New Roman" w:hAnsi="Times New Roman" w:eastAsia="宋体" w:cs="Times New Roman"/>
                      <w:sz w:val="21"/>
                      <w:szCs w:val="21"/>
                    </w:rPr>
                    <w:t>污染类别</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lang w:val="en-US" w:eastAsia="zh-CN"/>
                    </w:rPr>
                  </w:pPr>
                  <w:r>
                    <w:rPr>
                      <w:rFonts w:hint="default" w:ascii="Times New Roman" w:hAnsi="Times New Roman" w:eastAsia="宋体" w:cs="Times New Roman"/>
                      <w:sz w:val="21"/>
                      <w:szCs w:val="21"/>
                    </w:rPr>
                    <w:t>来源</w:t>
                  </w:r>
                </w:p>
              </w:tc>
              <w:tc>
                <w:tcPr>
                  <w:tcW w:w="1708"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主要污染因子</w:t>
                  </w:r>
                </w:p>
              </w:tc>
              <w:tc>
                <w:tcPr>
                  <w:tcW w:w="3505"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2"/>
                  <w:vMerge w:val="restart"/>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废气</w:t>
                  </w:r>
                </w:p>
              </w:tc>
              <w:tc>
                <w:tcPr>
                  <w:tcW w:w="1558" w:type="dxa"/>
                  <w:vAlign w:val="center"/>
                </w:tcPr>
                <w:p>
                  <w:pPr>
                    <w:jc w:val="center"/>
                    <w:rPr>
                      <w:rFonts w:hint="default"/>
                      <w:lang w:val="en-US" w:eastAsia="zh-CN"/>
                    </w:rPr>
                  </w:pPr>
                  <w:r>
                    <w:rPr>
                      <w:rFonts w:hint="eastAsia"/>
                      <w:sz w:val="21"/>
                      <w:szCs w:val="21"/>
                      <w:highlight w:val="none"/>
                      <w:vertAlign w:val="baseline"/>
                      <w:lang w:val="en-US" w:eastAsia="zh-CN"/>
                    </w:rPr>
                    <w:t>原料堆场</w:t>
                  </w:r>
                </w:p>
              </w:tc>
              <w:tc>
                <w:tcPr>
                  <w:tcW w:w="1708"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颗粒物</w:t>
                  </w:r>
                </w:p>
              </w:tc>
              <w:tc>
                <w:tcPr>
                  <w:tcW w:w="3505" w:type="dxa"/>
                  <w:vAlign w:val="center"/>
                </w:tcPr>
                <w:p>
                  <w:pPr>
                    <w:jc w:val="center"/>
                    <w:rPr>
                      <w:rFonts w:hint="default"/>
                      <w:lang w:val="en-US" w:eastAsia="zh-CN"/>
                    </w:rPr>
                  </w:pPr>
                  <w:r>
                    <w:rPr>
                      <w:rFonts w:hint="eastAsia"/>
                      <w:sz w:val="21"/>
                      <w:szCs w:val="21"/>
                      <w:highlight w:val="none"/>
                      <w:vertAlign w:val="baseline"/>
                      <w:lang w:val="en-US" w:eastAsia="zh-CN"/>
                    </w:rPr>
                    <w:t>半封闭仓库+洒水降尘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2"/>
                  <w:vMerge w:val="continue"/>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p>
              </w:tc>
              <w:tc>
                <w:tcPr>
                  <w:tcW w:w="1558" w:type="dxa"/>
                  <w:vAlign w:val="center"/>
                </w:tcPr>
                <w:p>
                  <w:pPr>
                    <w:jc w:val="center"/>
                    <w:rPr>
                      <w:rFonts w:hint="default"/>
                      <w:lang w:val="en-US" w:eastAsia="zh-CN"/>
                    </w:rPr>
                  </w:pPr>
                  <w:r>
                    <w:rPr>
                      <w:rFonts w:hint="eastAsia"/>
                      <w:sz w:val="21"/>
                      <w:szCs w:val="21"/>
                      <w:highlight w:val="none"/>
                      <w:vertAlign w:val="baseline"/>
                      <w:lang w:val="en-US" w:eastAsia="zh-CN"/>
                    </w:rPr>
                    <w:t>粉料筒仓</w:t>
                  </w:r>
                </w:p>
              </w:tc>
              <w:tc>
                <w:tcPr>
                  <w:tcW w:w="1708" w:type="dxa"/>
                  <w:vAlign w:val="center"/>
                </w:tcPr>
                <w:p>
                  <w:pPr>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eastAsia"/>
                      <w:lang w:val="en-US" w:eastAsia="zh-CN"/>
                    </w:rPr>
                  </w:pPr>
                  <w:r>
                    <w:rPr>
                      <w:rFonts w:hint="eastAsia"/>
                      <w:lang w:val="en-US" w:eastAsia="zh-CN"/>
                    </w:rPr>
                    <w:t>颗粒物</w:t>
                  </w:r>
                </w:p>
              </w:tc>
              <w:tc>
                <w:tcPr>
                  <w:tcW w:w="3505" w:type="dxa"/>
                  <w:vAlign w:val="center"/>
                </w:tcPr>
                <w:p>
                  <w:pPr>
                    <w:jc w:val="center"/>
                    <w:rPr>
                      <w:rFonts w:hint="eastAsia"/>
                      <w:lang w:val="en-US" w:eastAsia="zh-CN"/>
                    </w:rPr>
                  </w:pPr>
                  <w:r>
                    <w:rPr>
                      <w:rFonts w:hint="eastAsia"/>
                      <w:sz w:val="21"/>
                      <w:szCs w:val="21"/>
                      <w:highlight w:val="none"/>
                      <w:vertAlign w:val="baseline"/>
                      <w:lang w:val="en-US" w:eastAsia="zh-CN"/>
                    </w:rPr>
                    <w:t>密闭筒仓+仓顶脉冲式布袋除尘器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2"/>
                  <w:vMerge w:val="continue"/>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p>
              </w:tc>
              <w:tc>
                <w:tcPr>
                  <w:tcW w:w="1558" w:type="dxa"/>
                  <w:vAlign w:val="center"/>
                </w:tcPr>
                <w:p>
                  <w:pPr>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投料工序</w:t>
                  </w:r>
                </w:p>
              </w:tc>
              <w:tc>
                <w:tcPr>
                  <w:tcW w:w="1708" w:type="dxa"/>
                  <w:vAlign w:val="center"/>
                </w:tcPr>
                <w:p>
                  <w:pPr>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eastAsia"/>
                      <w:lang w:val="en-US" w:eastAsia="zh-CN"/>
                    </w:rPr>
                  </w:pPr>
                  <w:r>
                    <w:rPr>
                      <w:rFonts w:hint="eastAsia"/>
                      <w:lang w:val="en-US" w:eastAsia="zh-CN"/>
                    </w:rPr>
                    <w:t>颗粒物</w:t>
                  </w:r>
                </w:p>
              </w:tc>
              <w:tc>
                <w:tcPr>
                  <w:tcW w:w="3505" w:type="dxa"/>
                  <w:vAlign w:val="center"/>
                </w:tcPr>
                <w:p>
                  <w:pPr>
                    <w:jc w:val="center"/>
                    <w:rPr>
                      <w:rFonts w:hint="eastAsia"/>
                      <w:sz w:val="21"/>
                      <w:szCs w:val="21"/>
                      <w:highlight w:val="none"/>
                      <w:vertAlign w:val="baseline"/>
                      <w:lang w:val="en-US" w:eastAsia="zh-CN"/>
                    </w:rPr>
                  </w:pPr>
                  <w:r>
                    <w:rPr>
                      <w:rFonts w:hint="eastAsia"/>
                      <w:sz w:val="21"/>
                      <w:szCs w:val="21"/>
                      <w:highlight w:val="none"/>
                      <w:vertAlign w:val="baseline"/>
                      <w:lang w:val="en-US" w:eastAsia="zh-CN"/>
                    </w:rPr>
                    <w:t>上料口围挡+洒水抑尘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2"/>
                  <w:vMerge w:val="continue"/>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p>
              </w:tc>
              <w:tc>
                <w:tcPr>
                  <w:tcW w:w="1558" w:type="dxa"/>
                  <w:shd w:val="clear" w:color="auto" w:fill="auto"/>
                  <w:vAlign w:val="center"/>
                </w:tcPr>
                <w:p>
                  <w:pPr>
                    <w:jc w:val="center"/>
                    <w:rPr>
                      <w:rFonts w:hint="eastAsia" w:ascii="Times New Roman" w:hAnsi="Times New Roman" w:eastAsia="宋体" w:cs="Times New Roman"/>
                      <w:kern w:val="2"/>
                      <w:sz w:val="21"/>
                      <w:szCs w:val="24"/>
                      <w:lang w:val="en-US" w:eastAsia="zh-CN" w:bidi="ar-SA"/>
                    </w:rPr>
                  </w:pPr>
                  <w:r>
                    <w:rPr>
                      <w:rFonts w:hint="eastAsia"/>
                      <w:sz w:val="21"/>
                      <w:szCs w:val="21"/>
                      <w:highlight w:val="none"/>
                      <w:vertAlign w:val="baseline"/>
                      <w:lang w:val="en-US" w:eastAsia="zh-CN"/>
                    </w:rPr>
                    <w:t>混合搅拌</w:t>
                  </w:r>
                </w:p>
              </w:tc>
              <w:tc>
                <w:tcPr>
                  <w:tcW w:w="1708" w:type="dxa"/>
                  <w:shd w:val="clear" w:color="auto" w:fill="auto"/>
                  <w:vAlign w:val="center"/>
                </w:tcPr>
                <w:p>
                  <w:pPr>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颗粒物</w:t>
                  </w:r>
                </w:p>
              </w:tc>
              <w:tc>
                <w:tcPr>
                  <w:tcW w:w="3505" w:type="dxa"/>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eastAsia"/>
                      <w:sz w:val="21"/>
                      <w:szCs w:val="21"/>
                      <w:highlight w:val="none"/>
                      <w:vertAlign w:val="baseline"/>
                      <w:lang w:val="en-US" w:eastAsia="zh-CN"/>
                    </w:rPr>
                    <w:t>布袋除尘器+15m排气筒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2"/>
                  <w:vMerge w:val="continue"/>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p>
              </w:tc>
              <w:tc>
                <w:tcPr>
                  <w:tcW w:w="1558" w:type="dxa"/>
                  <w:vAlign w:val="center"/>
                </w:tcPr>
                <w:p>
                  <w:pPr>
                    <w:jc w:val="center"/>
                    <w:rPr>
                      <w:rFonts w:hint="default"/>
                      <w:lang w:val="en-US" w:eastAsia="zh-CN"/>
                    </w:rPr>
                  </w:pPr>
                  <w:r>
                    <w:rPr>
                      <w:rFonts w:hint="eastAsia"/>
                      <w:lang w:val="en-US" w:eastAsia="zh-CN"/>
                    </w:rPr>
                    <w:t>食堂油烟</w:t>
                  </w:r>
                </w:p>
              </w:tc>
              <w:tc>
                <w:tcPr>
                  <w:tcW w:w="1708" w:type="dxa"/>
                  <w:vAlign w:val="center"/>
                </w:tcPr>
                <w:p>
                  <w:pPr>
                    <w:keepLines w:val="0"/>
                    <w:pageBreakBefore w:val="0"/>
                    <w:kinsoku/>
                    <w:wordWrap/>
                    <w:topLinePunct w:val="0"/>
                    <w:autoSpaceDE/>
                    <w:autoSpaceDN/>
                    <w:bidi w:val="0"/>
                    <w:spacing w:beforeAutospacing="0" w:afterAutospacing="0"/>
                    <w:ind w:left="0" w:leftChars="0" w:right="0" w:rightChars="0" w:firstLine="0" w:firstLineChars="0"/>
                    <w:jc w:val="center"/>
                    <w:textAlignment w:val="auto"/>
                    <w:rPr>
                      <w:rFonts w:hint="default"/>
                      <w:lang w:val="en-US" w:eastAsia="zh-CN"/>
                    </w:rPr>
                  </w:pPr>
                  <w:r>
                    <w:rPr>
                      <w:rFonts w:hint="eastAsia"/>
                      <w:lang w:val="en-US" w:eastAsia="zh-CN"/>
                    </w:rPr>
                    <w:t>油烟</w:t>
                  </w:r>
                </w:p>
              </w:tc>
              <w:tc>
                <w:tcPr>
                  <w:tcW w:w="3505" w:type="dxa"/>
                  <w:vAlign w:val="center"/>
                </w:tcPr>
                <w:p>
                  <w:pPr>
                    <w:jc w:val="center"/>
                    <w:rPr>
                      <w:rFonts w:hint="default"/>
                      <w:lang w:val="en-US" w:eastAsia="zh-CN"/>
                    </w:rPr>
                  </w:pPr>
                  <w:r>
                    <w:rPr>
                      <w:rFonts w:hint="eastAsia"/>
                      <w:lang w:val="en-US" w:eastAsia="zh-CN"/>
                    </w:rPr>
                    <w:t>油烟净化器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29" w:type="dxa"/>
                  <w:gridSpan w:val="2"/>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废水</w:t>
                  </w:r>
                </w:p>
              </w:tc>
              <w:tc>
                <w:tcPr>
                  <w:tcW w:w="1558"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生活污水</w:t>
                  </w:r>
                </w:p>
              </w:tc>
              <w:tc>
                <w:tcPr>
                  <w:tcW w:w="1708"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pH、</w:t>
                  </w:r>
                  <w:r>
                    <w:rPr>
                      <w:rFonts w:hint="default"/>
                      <w:lang w:val="en-US" w:eastAsia="zh-CN"/>
                    </w:rPr>
                    <w:t>COD</w:t>
                  </w:r>
                  <w:r>
                    <w:rPr>
                      <w:rFonts w:hint="eastAsia"/>
                      <w:lang w:val="en-US" w:eastAsia="zh-CN"/>
                    </w:rPr>
                    <w:t>、</w:t>
                  </w:r>
                  <w:r>
                    <w:rPr>
                      <w:rFonts w:hint="default"/>
                      <w:lang w:val="en-US" w:eastAsia="zh-CN"/>
                    </w:rPr>
                    <w:t>BOD</w:t>
                  </w:r>
                  <w:r>
                    <w:rPr>
                      <w:rFonts w:hint="default"/>
                      <w:vertAlign w:val="subscript"/>
                      <w:lang w:val="en-US" w:eastAsia="zh-CN"/>
                    </w:rPr>
                    <w:t>5</w:t>
                  </w:r>
                  <w:r>
                    <w:rPr>
                      <w:rFonts w:hint="eastAsia"/>
                      <w:lang w:val="en-US" w:eastAsia="zh-CN"/>
                    </w:rPr>
                    <w:t>、</w:t>
                  </w:r>
                  <w:r>
                    <w:rPr>
                      <w:rFonts w:hint="default"/>
                      <w:lang w:val="en-US" w:eastAsia="zh-CN"/>
                    </w:rPr>
                    <w:t>SS</w:t>
                  </w:r>
                  <w:r>
                    <w:rPr>
                      <w:rFonts w:hint="eastAsia"/>
                      <w:lang w:val="en-US" w:eastAsia="zh-CN"/>
                    </w:rPr>
                    <w:t>、</w:t>
                  </w:r>
                  <w:r>
                    <w:rPr>
                      <w:rFonts w:hint="default"/>
                      <w:lang w:val="en-US" w:eastAsia="zh-CN"/>
                    </w:rPr>
                    <w:t>氨氮</w:t>
                  </w:r>
                  <w:r>
                    <w:rPr>
                      <w:rFonts w:hint="eastAsia"/>
                      <w:lang w:val="en-US" w:eastAsia="zh-CN"/>
                    </w:rPr>
                    <w:t>、动植物油</w:t>
                  </w:r>
                </w:p>
              </w:tc>
              <w:tc>
                <w:tcPr>
                  <w:tcW w:w="3505"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化粪池预处理后拉运至若羌县城乡污水处理厂进行集中处理。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29" w:type="dxa"/>
                  <w:gridSpan w:val="2"/>
                  <w:vAlign w:val="center"/>
                </w:tcPr>
                <w:p>
                  <w:pPr>
                    <w:keepLines w:val="0"/>
                    <w:pageBreakBefore w:val="0"/>
                    <w:kinsoku/>
                    <w:wordWrap/>
                    <w:topLinePunct w:val="0"/>
                    <w:autoSpaceDE/>
                    <w:autoSpaceDN/>
                    <w:bidi w:val="0"/>
                    <w:spacing w:beforeAutospacing="0" w:afterAutospacing="0"/>
                    <w:jc w:val="center"/>
                    <w:textAlignment w:val="auto"/>
                    <w:rPr>
                      <w:rFonts w:hint="eastAsia"/>
                      <w:lang w:val="en-US" w:eastAsia="zh-CN"/>
                    </w:rPr>
                  </w:pPr>
                  <w:r>
                    <w:rPr>
                      <w:rFonts w:hint="eastAsia"/>
                      <w:highlight w:val="none"/>
                      <w:lang w:val="en-US" w:eastAsia="zh-CN"/>
                    </w:rPr>
                    <w:t>噪声</w:t>
                  </w:r>
                </w:p>
              </w:tc>
              <w:tc>
                <w:tcPr>
                  <w:tcW w:w="1558" w:type="dxa"/>
                  <w:vAlign w:val="center"/>
                </w:tcPr>
                <w:p>
                  <w:pPr>
                    <w:keepLines w:val="0"/>
                    <w:pageBreakBefore w:val="0"/>
                    <w:kinsoku/>
                    <w:wordWrap/>
                    <w:topLinePunct w:val="0"/>
                    <w:autoSpaceDE/>
                    <w:autoSpaceDN/>
                    <w:bidi w:val="0"/>
                    <w:spacing w:beforeAutospacing="0" w:afterAutospacing="0"/>
                    <w:jc w:val="center"/>
                    <w:textAlignment w:val="auto"/>
                    <w:rPr>
                      <w:rFonts w:hint="eastAsia"/>
                      <w:lang w:val="en-US" w:eastAsia="zh-CN"/>
                    </w:rPr>
                  </w:pPr>
                  <w:r>
                    <w:rPr>
                      <w:rFonts w:hint="eastAsia"/>
                      <w:highlight w:val="none"/>
                      <w:lang w:val="en-US" w:eastAsia="zh-CN"/>
                    </w:rPr>
                    <w:t>生产设备及运输车辆</w:t>
                  </w:r>
                </w:p>
              </w:tc>
              <w:tc>
                <w:tcPr>
                  <w:tcW w:w="1708"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噪声</w:t>
                  </w:r>
                </w:p>
              </w:tc>
              <w:tc>
                <w:tcPr>
                  <w:tcW w:w="3505"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低噪声源设备、并采取减振等措施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8" w:type="dxa"/>
                  <w:vMerge w:val="restart"/>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固体废物</w:t>
                  </w:r>
                </w:p>
              </w:tc>
              <w:tc>
                <w:tcPr>
                  <w:tcW w:w="871" w:type="dxa"/>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一般工业固废</w:t>
                  </w:r>
                </w:p>
              </w:tc>
              <w:tc>
                <w:tcPr>
                  <w:tcW w:w="6771" w:type="dxa"/>
                  <w:gridSpan w:val="3"/>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除尘灰回用于生产，废布袋定期由设备厂家进行回收处理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58" w:type="dxa"/>
                  <w:vMerge w:val="continue"/>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p>
              </w:tc>
              <w:tc>
                <w:tcPr>
                  <w:tcW w:w="871"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危险废物</w:t>
                  </w:r>
                </w:p>
              </w:tc>
              <w:tc>
                <w:tcPr>
                  <w:tcW w:w="6771" w:type="dxa"/>
                  <w:gridSpan w:val="3"/>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废润滑油、废润滑油桶等危险废物贮存于危废贮存点内，定期交由有资质的单位进行处理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8" w:type="dxa"/>
                  <w:vMerge w:val="continue"/>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p>
              </w:tc>
              <w:tc>
                <w:tcPr>
                  <w:tcW w:w="871" w:type="dxa"/>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生活垃圾</w:t>
                  </w:r>
                </w:p>
              </w:tc>
              <w:tc>
                <w:tcPr>
                  <w:tcW w:w="1558"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办公生活</w:t>
                  </w:r>
                </w:p>
              </w:tc>
              <w:tc>
                <w:tcPr>
                  <w:tcW w:w="1708"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生活垃圾</w:t>
                  </w:r>
                </w:p>
              </w:tc>
              <w:tc>
                <w:tcPr>
                  <w:tcW w:w="3505" w:type="dxa"/>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交环卫部门处理</w:t>
                  </w:r>
                </w:p>
              </w:tc>
            </w:tr>
          </w:tbl>
          <w:p>
            <w:pPr>
              <w:pStyle w:val="8"/>
              <w:keepLines w:val="0"/>
              <w:pageBreakBefore w:val="0"/>
              <w:kinsoku/>
              <w:wordWrap/>
              <w:topLinePunct w:val="0"/>
              <w:autoSpaceDE/>
              <w:autoSpaceDN/>
              <w:bidi w:val="0"/>
              <w:spacing w:beforeAutospacing="0" w:afterAutospacing="0"/>
              <w:ind w:left="0" w:leftChars="0" w:firstLine="0" w:firstLineChars="0"/>
              <w:textAlignment w:val="auto"/>
              <w:rPr>
                <w:rFonts w:hint="default" w:ascii="宋体" w:hAnsi="宋体" w:cs="宋体"/>
                <w:bCs/>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823" w:type="dxa"/>
            <w:noWrap w:val="0"/>
            <w:vAlign w:val="center"/>
          </w:tcPr>
          <w:p>
            <w:pPr>
              <w:pStyle w:val="18"/>
              <w:keepLines w:val="0"/>
              <w:pageBreakBefore w:val="0"/>
              <w:kinsoku/>
              <w:wordWrap/>
              <w:topLinePunct w:val="0"/>
              <w:autoSpaceDE/>
              <w:autoSpaceDN/>
              <w:bidi w:val="0"/>
              <w:adjustRightInd w:val="0"/>
              <w:snapToGrid w:val="0"/>
              <w:spacing w:before="0" w:beforeAutospacing="0" w:after="0" w:afterAutospacing="0"/>
              <w:jc w:val="center"/>
              <w:textAlignment w:val="auto"/>
              <w:rPr>
                <w:rFonts w:cs="宋体"/>
                <w:sz w:val="21"/>
                <w:szCs w:val="21"/>
              </w:rPr>
            </w:pPr>
            <w:r>
              <w:rPr>
                <w:rFonts w:hint="eastAsia" w:cs="宋体"/>
                <w:bCs/>
                <w:kern w:val="2"/>
                <w:sz w:val="21"/>
                <w:szCs w:val="21"/>
              </w:rPr>
              <w:t>与项目有关的原有环境污染问题</w:t>
            </w:r>
          </w:p>
        </w:tc>
        <w:tc>
          <w:tcPr>
            <w:tcW w:w="8161" w:type="dxa"/>
            <w:noWrap w:val="0"/>
            <w:vAlign w:val="center"/>
          </w:tcPr>
          <w:p>
            <w:pPr>
              <w:pStyle w:val="49"/>
              <w:bidi w:val="0"/>
              <w:rPr>
                <w:rFonts w:hint="eastAsia"/>
                <w:lang w:val="en-US" w:eastAsia="zh-CN"/>
              </w:rPr>
            </w:pPr>
            <w:r>
              <w:rPr>
                <w:rFonts w:hint="eastAsia"/>
                <w:lang w:val="en-US" w:eastAsia="zh-CN"/>
              </w:rPr>
              <w:t>1.项目已建设基本情况</w:t>
            </w:r>
          </w:p>
          <w:p>
            <w:pPr>
              <w:pStyle w:val="53"/>
              <w:bidi w:val="0"/>
              <w:rPr>
                <w:rFonts w:hint="eastAsia"/>
                <w:lang w:val="en-US" w:eastAsia="zh-CN"/>
              </w:rPr>
            </w:pPr>
            <w:r>
              <w:rPr>
                <w:rFonts w:hint="eastAsia"/>
                <w:lang w:val="en-US" w:eastAsia="zh-CN"/>
              </w:rPr>
              <w:t>本项目位于新疆维吾尔自治区巴音郭楞蒙古自治州若羌县，项目占地面积为3037.18m</w:t>
            </w:r>
            <w:r>
              <w:rPr>
                <w:rFonts w:hint="eastAsia"/>
                <w:vertAlign w:val="superscript"/>
                <w:lang w:val="en-US" w:eastAsia="zh-CN"/>
              </w:rPr>
              <w:t>2</w:t>
            </w:r>
            <w:r>
              <w:rPr>
                <w:rFonts w:hint="eastAsia"/>
                <w:lang w:val="en-US" w:eastAsia="zh-CN"/>
              </w:rPr>
              <w:t>，本项目现已建成1条商品混凝土搅拌站。建设初期项目未履行相关环评手续，属于未批先建项目，现补办相关环评手续。现场调查情况可知，项目周边无环境敏感目标。</w:t>
            </w:r>
          </w:p>
          <w:p>
            <w:pPr>
              <w:pStyle w:val="49"/>
              <w:bidi w:val="0"/>
              <w:rPr>
                <w:rFonts w:hint="eastAsia"/>
                <w:lang w:val="en-US" w:eastAsia="zh-CN"/>
              </w:rPr>
            </w:pPr>
            <w:r>
              <w:rPr>
                <w:rFonts w:hint="eastAsia"/>
                <w:lang w:val="en-US" w:eastAsia="zh-CN"/>
              </w:rPr>
              <w:t>2.项目已有污染防治措施</w:t>
            </w:r>
          </w:p>
          <w:p>
            <w:pPr>
              <w:pStyle w:val="53"/>
              <w:bidi w:val="0"/>
              <w:rPr>
                <w:rFonts w:hint="eastAsia"/>
                <w:lang w:val="en-US" w:eastAsia="zh-CN"/>
              </w:rPr>
            </w:pPr>
            <w:r>
              <w:rPr>
                <w:rFonts w:hint="eastAsia"/>
                <w:lang w:val="en-US" w:eastAsia="zh-CN"/>
              </w:rPr>
              <w:t>根据现场了解的情况，目前厂区内已有的污染防治措施如下：</w:t>
            </w:r>
          </w:p>
          <w:p>
            <w:pPr>
              <w:pStyle w:val="53"/>
              <w:bidi w:val="0"/>
              <w:rPr>
                <w:rFonts w:hint="eastAsia"/>
                <w:highlight w:val="none"/>
                <w:lang w:val="en-US" w:eastAsia="zh-CN"/>
              </w:rPr>
            </w:pPr>
            <w:r>
              <w:rPr>
                <w:rFonts w:hint="eastAsia"/>
                <w:highlight w:val="none"/>
                <w:lang w:val="en-US" w:eastAsia="zh-CN"/>
              </w:rPr>
              <w:t>废气：粉煤灰、水泥和矿粉筒仓产生的颗粒物均由筒仓自带的脉冲式布袋除尘器处理后进行无组织排放。</w:t>
            </w:r>
          </w:p>
          <w:p>
            <w:pPr>
              <w:pStyle w:val="53"/>
              <w:bidi w:val="0"/>
              <w:rPr>
                <w:rFonts w:hint="eastAsia"/>
                <w:highlight w:val="none"/>
                <w:lang w:val="en-US" w:eastAsia="zh-CN"/>
              </w:rPr>
            </w:pPr>
            <w:r>
              <w:rPr>
                <w:rFonts w:hint="eastAsia"/>
                <w:highlight w:val="none"/>
                <w:lang w:val="en-US" w:eastAsia="zh-CN"/>
              </w:rPr>
              <w:t>废水：生活污水经化粪池处理后拉运至若羌县城乡污水处理厂进行集中处理，厂区内无生产废水外排。</w:t>
            </w:r>
          </w:p>
          <w:p>
            <w:pPr>
              <w:pStyle w:val="53"/>
              <w:bidi w:val="0"/>
              <w:rPr>
                <w:rFonts w:hint="eastAsia"/>
                <w:highlight w:val="none"/>
                <w:lang w:val="en-US" w:eastAsia="zh-CN"/>
              </w:rPr>
            </w:pPr>
            <w:r>
              <w:rPr>
                <w:rFonts w:hint="eastAsia"/>
                <w:highlight w:val="none"/>
                <w:lang w:val="en-US" w:eastAsia="zh-CN"/>
              </w:rPr>
              <w:t>噪声：厂区内采用低噪声源设备、并采取减振等措施。</w:t>
            </w:r>
          </w:p>
          <w:p>
            <w:pPr>
              <w:pStyle w:val="53"/>
              <w:bidi w:val="0"/>
              <w:rPr>
                <w:rFonts w:hint="eastAsia"/>
                <w:highlight w:val="none"/>
                <w:lang w:val="en-US" w:eastAsia="zh-CN"/>
              </w:rPr>
            </w:pPr>
            <w:r>
              <w:rPr>
                <w:rFonts w:hint="eastAsia"/>
                <w:highlight w:val="none"/>
                <w:lang w:val="en-US" w:eastAsia="zh-CN"/>
              </w:rPr>
              <w:t>固废：厂区内垃圾桶都已配套。</w:t>
            </w:r>
          </w:p>
          <w:p>
            <w:pPr>
              <w:pStyle w:val="49"/>
              <w:bidi w:val="0"/>
              <w:rPr>
                <w:rFonts w:hint="eastAsia"/>
                <w:highlight w:val="none"/>
                <w:lang w:val="en-US" w:eastAsia="zh-CN"/>
              </w:rPr>
            </w:pPr>
            <w:r>
              <w:rPr>
                <w:rFonts w:hint="eastAsia"/>
                <w:highlight w:val="none"/>
                <w:lang w:val="en-US" w:eastAsia="zh-CN"/>
              </w:rPr>
              <w:t>3.项目主要存在的环境整改问题</w:t>
            </w:r>
          </w:p>
          <w:p>
            <w:pPr>
              <w:pStyle w:val="53"/>
              <w:bidi w:val="0"/>
              <w:rPr>
                <w:rFonts w:hint="eastAsia"/>
                <w:highlight w:val="none"/>
                <w:lang w:val="en-US" w:eastAsia="zh-CN"/>
              </w:rPr>
            </w:pPr>
            <w:r>
              <w:rPr>
                <w:rFonts w:hint="eastAsia"/>
                <w:highlight w:val="none"/>
                <w:lang w:val="en-US" w:eastAsia="zh-CN"/>
              </w:rPr>
              <w:t>①搅拌工序未配套环保治理设施，该工序产生的颗粒物需配套布袋除尘器进行高效处理，处理达标后通过1根15m排气筒有组织排放。②堆场砂石料露天堆放，应通过半封闭仓库+洒水降尘的措施降低无组织颗粒物的逸散。③上料口未配套环保设施，应采取上料口三面一顶围挡+洒水抑尘的措施降低无组织颗粒物的逸散。</w:t>
            </w:r>
          </w:p>
          <w:p>
            <w:pPr>
              <w:pStyle w:val="53"/>
              <w:bidi w:val="0"/>
              <w:rPr>
                <w:rFonts w:hint="eastAsia"/>
                <w:highlight w:val="none"/>
                <w:lang w:val="en-US" w:eastAsia="zh-CN"/>
              </w:rPr>
            </w:pPr>
          </w:p>
          <w:p>
            <w:pPr>
              <w:pStyle w:val="53"/>
              <w:bidi w:val="0"/>
              <w:rPr>
                <w:rFonts w:hint="eastAsia"/>
                <w:highlight w:val="none"/>
                <w:lang w:val="en-US" w:eastAsia="zh-CN"/>
              </w:rPr>
            </w:pPr>
          </w:p>
          <w:p>
            <w:pPr>
              <w:pStyle w:val="53"/>
              <w:bidi w:val="0"/>
              <w:rPr>
                <w:rFonts w:hint="eastAsia"/>
                <w:highlight w:val="none"/>
                <w:lang w:val="en-US" w:eastAsia="zh-CN"/>
              </w:rPr>
            </w:pPr>
          </w:p>
          <w:p>
            <w:pPr>
              <w:pStyle w:val="53"/>
              <w:bidi w:val="0"/>
              <w:rPr>
                <w:rFonts w:hint="eastAsia"/>
                <w:highlight w:val="none"/>
                <w:lang w:val="en-US" w:eastAsia="zh-CN"/>
              </w:rPr>
            </w:pPr>
          </w:p>
          <w:p>
            <w:pPr>
              <w:pStyle w:val="53"/>
              <w:bidi w:val="0"/>
              <w:rPr>
                <w:rFonts w:hint="eastAsia"/>
                <w:highlight w:val="none"/>
                <w:lang w:val="en-US" w:eastAsia="zh-CN"/>
              </w:rPr>
            </w:pPr>
          </w:p>
          <w:p>
            <w:pPr>
              <w:pStyle w:val="53"/>
              <w:bidi w:val="0"/>
              <w:rPr>
                <w:rFonts w:hint="eastAsia"/>
                <w:highlight w:val="none"/>
                <w:lang w:val="en-US" w:eastAsia="zh-CN"/>
              </w:rPr>
            </w:pPr>
          </w:p>
          <w:p>
            <w:pPr>
              <w:pStyle w:val="53"/>
              <w:bidi w:val="0"/>
              <w:rPr>
                <w:rFonts w:hint="eastAsia"/>
                <w:highlight w:val="none"/>
                <w:lang w:val="en-US" w:eastAsia="zh-CN"/>
              </w:rPr>
            </w:pPr>
          </w:p>
          <w:p>
            <w:pPr>
              <w:pStyle w:val="53"/>
              <w:bidi w:val="0"/>
              <w:rPr>
                <w:rFonts w:hint="eastAsia"/>
                <w:highlight w:val="none"/>
                <w:lang w:val="en-US" w:eastAsia="zh-CN"/>
              </w:rPr>
            </w:pPr>
          </w:p>
          <w:p>
            <w:pPr>
              <w:pStyle w:val="53"/>
              <w:bidi w:val="0"/>
              <w:rPr>
                <w:rFonts w:hint="eastAsia"/>
                <w:highlight w:val="none"/>
                <w:lang w:val="en-US" w:eastAsia="zh-CN"/>
              </w:rPr>
            </w:pPr>
          </w:p>
          <w:p>
            <w:pPr>
              <w:pStyle w:val="53"/>
              <w:bidi w:val="0"/>
              <w:rPr>
                <w:rFonts w:hint="default"/>
                <w:highlight w:val="none"/>
                <w:lang w:val="en-US" w:eastAsia="zh-CN"/>
              </w:rPr>
            </w:pPr>
          </w:p>
        </w:tc>
      </w:tr>
    </w:tbl>
    <w:p>
      <w:pPr>
        <w:pStyle w:val="18"/>
        <w:keepLines w:val="0"/>
        <w:pageBreakBefore w:val="0"/>
        <w:kinsoku/>
        <w:wordWrap/>
        <w:topLinePunct w:val="0"/>
        <w:autoSpaceDE/>
        <w:autoSpaceDN/>
        <w:bidi w:val="0"/>
        <w:spacing w:beforeAutospacing="0" w:afterAutospacing="0"/>
        <w:jc w:val="center"/>
        <w:textAlignment w:val="auto"/>
        <w:rPr>
          <w:rFonts w:ascii="黑体" w:hAnsi="黑体" w:eastAsia="黑体"/>
          <w:snapToGrid w:val="0"/>
          <w:sz w:val="36"/>
          <w:szCs w:val="36"/>
        </w:rPr>
        <w:sectPr>
          <w:footerReference r:id="rId5"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8"/>
        <w:keepLines w:val="0"/>
        <w:pageBreakBefore w:val="0"/>
        <w:kinsoku/>
        <w:wordWrap/>
        <w:topLinePunct w:val="0"/>
        <w:autoSpaceDE/>
        <w:autoSpaceDN/>
        <w:bidi w:val="0"/>
        <w:spacing w:beforeAutospacing="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2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0" w:hRule="atLeast"/>
          <w:jc w:val="center"/>
        </w:trPr>
        <w:tc>
          <w:tcPr>
            <w:tcW w:w="800" w:type="dxa"/>
            <w:noWrap w:val="0"/>
            <w:vAlign w:val="center"/>
          </w:tcPr>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区域</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环境</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质量</w:t>
            </w:r>
          </w:p>
          <w:p>
            <w:pPr>
              <w:keepLines w:val="0"/>
              <w:pageBreakBefore w:val="0"/>
              <w:kinsoku/>
              <w:wordWrap/>
              <w:topLinePunct w:val="0"/>
              <w:autoSpaceDE/>
              <w:autoSpaceDN/>
              <w:bidi w:val="0"/>
              <w:adjustRightInd w:val="0"/>
              <w:snapToGrid w:val="0"/>
              <w:spacing w:beforeAutospacing="0" w:afterAutospacing="0"/>
              <w:jc w:val="center"/>
              <w:textAlignment w:val="auto"/>
              <w:rPr>
                <w:rFonts w:ascii="宋体" w:hAnsi="宋体" w:cs="宋体"/>
                <w:kern w:val="0"/>
                <w:szCs w:val="21"/>
              </w:rPr>
            </w:pPr>
            <w:r>
              <w:rPr>
                <w:rFonts w:hint="eastAsia" w:ascii="宋体" w:hAnsi="宋体" w:cs="宋体"/>
                <w:kern w:val="0"/>
                <w:szCs w:val="21"/>
              </w:rPr>
              <w:t>现状</w:t>
            </w:r>
          </w:p>
        </w:tc>
        <w:tc>
          <w:tcPr>
            <w:tcW w:w="8190" w:type="dxa"/>
            <w:noWrap w:val="0"/>
            <w:vAlign w:val="top"/>
          </w:tcPr>
          <w:p>
            <w:pPr>
              <w:pStyle w:val="2"/>
              <w:keepLines w:val="0"/>
              <w:pageBreakBefore w:val="0"/>
              <w:kinsoku/>
              <w:wordWrap/>
              <w:topLinePunct w:val="0"/>
              <w:autoSpaceDE/>
              <w:autoSpaceDN/>
              <w:bidi w:val="0"/>
              <w:spacing w:beforeAutospacing="0" w:afterAutospacing="0"/>
              <w:jc w:val="both"/>
              <w:textAlignment w:val="auto"/>
              <w:rPr>
                <w:rFonts w:hint="default"/>
                <w:lang w:val="en-US" w:eastAsia="zh-CN"/>
              </w:rPr>
            </w:pPr>
            <w:r>
              <w:rPr>
                <w:rFonts w:hint="eastAsia"/>
                <w:lang w:val="en-US" w:eastAsia="zh-CN"/>
              </w:rPr>
              <w:t>1.环境空气现状调查与评价</w:t>
            </w:r>
          </w:p>
          <w:p>
            <w:pPr>
              <w:pStyle w:val="2"/>
              <w:keepLines w:val="0"/>
              <w:pageBreakBefore w:val="0"/>
              <w:kinsoku/>
              <w:wordWrap/>
              <w:topLinePunct w:val="0"/>
              <w:autoSpaceDE/>
              <w:autoSpaceDN/>
              <w:bidi w:val="0"/>
              <w:spacing w:beforeAutospacing="0" w:afterAutospacing="0"/>
              <w:jc w:val="both"/>
              <w:textAlignment w:val="auto"/>
              <w:rPr>
                <w:rFonts w:hint="default"/>
                <w:lang w:val="en-US" w:eastAsia="zh-CN"/>
              </w:rPr>
            </w:pPr>
            <w:r>
              <w:rPr>
                <w:rFonts w:hint="eastAsia"/>
                <w:lang w:val="en-US" w:eastAsia="zh-CN"/>
              </w:rPr>
              <w:t>1.1基本污染物空气环境质量现状</w:t>
            </w:r>
          </w:p>
          <w:p>
            <w:pPr>
              <w:pStyle w:val="8"/>
              <w:keepLines w:val="0"/>
              <w:pageBreakBefore w:val="0"/>
              <w:kinsoku/>
              <w:wordWrap/>
              <w:topLinePunct w:val="0"/>
              <w:autoSpaceDE/>
              <w:autoSpaceDN/>
              <w:bidi w:val="0"/>
              <w:spacing w:beforeAutospacing="0" w:afterAutospacing="0"/>
              <w:textAlignment w:val="auto"/>
              <w:rPr>
                <w:rFonts w:hint="eastAsia"/>
              </w:rPr>
            </w:pPr>
            <w:r>
              <w:rPr>
                <w:rFonts w:hint="eastAsia"/>
              </w:rPr>
              <w:t>根据《建设项目环境影响报告表编制技术指南（污染影响类）（试行）》，对于基本污染物环境质量现状数据，项目所在区域达标判定优先采用国家或地方生态环境主管部门公开发布的评价基准年环境质量公告或环境质量报告中的数据或结论。</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本工程建设地点位于若羌县政府方位角92.8°，直线距离约50千米处，道路北侧，本次评价现状监测资料引用巴音郭楞蒙古自治州若羌县2024年的自动监测数据。作为环境空气现状评价基本污染物SO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的数据来源。</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（1）监测项目、监测时间</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监测项目：基本污染物SO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监测时间：基本污染物SO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的监测时间为2024年全年监测数据。</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（2）评价标准</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根据环境空气质量功能区划分区规定，本次评价基本污染物SO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执行《环境空气质量标准》（GB3095-2026）过渡阶段的二级标准。</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（3）评价方法</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按照《环境空气质量评价技术规范》（HJ 663-2026）中各评价项目的年评价指标进行判定。年评价指标中的年均浓度和相应百分位数24h平均或8h平均质量浓度满足《环境空气质量标准》（GB3095-2026）过渡阶段的二级浓度限值要求的即为达标。对于超标的污染物，计算其超标倍数和超标率。</w:t>
            </w:r>
          </w:p>
          <w:p>
            <w:pPr>
              <w:pStyle w:val="8"/>
              <w:keepLines w:val="0"/>
              <w:pageBreakBefore w:val="0"/>
              <w:kinsoku/>
              <w:wordWrap/>
              <w:topLinePunct w:val="0"/>
              <w:autoSpaceDE/>
              <w:autoSpaceDN/>
              <w:bidi w:val="0"/>
              <w:spacing w:beforeAutospacing="0" w:afterAutospacing="0"/>
              <w:textAlignment w:val="auto"/>
              <w:rPr>
                <w:rFonts w:hint="eastAsia" w:ascii="Times New Roman" w:hAnsi="Times New Roman" w:eastAsia="宋体" w:cs="Times New Roman"/>
                <w:kern w:val="2"/>
                <w:szCs w:val="24"/>
                <w:highlight w:val="none"/>
                <w:lang w:val="en-US" w:eastAsia="zh-CN" w:bidi="ar-SA"/>
              </w:rPr>
            </w:pPr>
            <w:r>
              <w:rPr>
                <w:rFonts w:hint="eastAsia"/>
                <w:lang w:val="en-US" w:eastAsia="zh-CN"/>
              </w:rPr>
              <w:t>区域空气质量现状评价见下表3-1。</w:t>
            </w:r>
          </w:p>
          <w:p>
            <w:pPr>
              <w:pStyle w:val="4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表3-1    区域空气质量现状评价</w:t>
            </w:r>
          </w:p>
          <w:tbl>
            <w:tblPr>
              <w:tblStyle w:val="23"/>
              <w:tblW w:w="499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357"/>
              <w:gridCol w:w="1318"/>
              <w:gridCol w:w="1396"/>
              <w:gridCol w:w="88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rPr>
                      <w:rFonts w:hint="eastAsia"/>
                    </w:rPr>
                    <w:t>污染物</w:t>
                  </w: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rPr>
                      <w:rFonts w:hint="eastAsia"/>
                    </w:rPr>
                    <w:t>评价项目</w:t>
                  </w:r>
                </w:p>
              </w:tc>
              <w:tc>
                <w:tcPr>
                  <w:tcW w:w="827"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t>浓度（</w:t>
                  </w:r>
                  <w:r>
                    <w:rPr>
                      <w:rFonts w:hint="default"/>
                    </w:rPr>
                    <w:t>μ</w:t>
                  </w:r>
                  <w:r>
                    <w:rPr>
                      <w:rFonts w:hint="default"/>
                      <w:lang w:val="en-US" w:eastAsia="zh-CN"/>
                    </w:rPr>
                    <w:t>g</w:t>
                  </w:r>
                  <w:r>
                    <w:rPr>
                      <w:rFonts w:hint="default"/>
                    </w:rPr>
                    <w:t>/m</w:t>
                  </w:r>
                  <w:r>
                    <w:rPr>
                      <w:rFonts w:hint="default"/>
                      <w:vertAlign w:val="superscript"/>
                    </w:rPr>
                    <w:t>3</w:t>
                  </w:r>
                  <w:r>
                    <w:t>）</w:t>
                  </w:r>
                </w:p>
              </w:tc>
              <w:tc>
                <w:tcPr>
                  <w:tcW w:w="876"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rPr>
                      <w:rFonts w:hint="eastAsia"/>
                    </w:rPr>
                    <w:t>标准（二级）</w:t>
                  </w:r>
                  <w:r>
                    <w:t>（</w:t>
                  </w:r>
                  <w:r>
                    <w:rPr>
                      <w:rFonts w:hint="default"/>
                    </w:rPr>
                    <w:t>μ</w:t>
                  </w:r>
                  <w:r>
                    <w:rPr>
                      <w:rFonts w:hint="default"/>
                      <w:lang w:val="en-US" w:eastAsia="zh-CN"/>
                    </w:rPr>
                    <w:t>g</w:t>
                  </w:r>
                  <w:r>
                    <w:rPr>
                      <w:rFonts w:hint="default"/>
                    </w:rPr>
                    <w:t>/m</w:t>
                  </w:r>
                  <w:r>
                    <w:rPr>
                      <w:rFonts w:hint="default"/>
                      <w:vertAlign w:val="superscript"/>
                    </w:rPr>
                    <w:t>3</w:t>
                  </w:r>
                  <w:r>
                    <w:t>）</w:t>
                  </w:r>
                </w:p>
              </w:tc>
              <w:tc>
                <w:tcPr>
                  <w:tcW w:w="558"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eastAsia="zh-CN"/>
                    </w:rPr>
                    <w:t>占标率</w:t>
                  </w:r>
                  <w:r>
                    <w:rPr>
                      <w:rFonts w:hint="eastAsia"/>
                      <w:lang w:val="en-US" w:eastAsia="zh-CN"/>
                    </w:rPr>
                    <w:t>%</w:t>
                  </w:r>
                </w:p>
              </w:tc>
              <w:tc>
                <w:tcPr>
                  <w:tcW w:w="708"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lang w:eastAsia="zh-CN"/>
                    </w:rPr>
                  </w:pPr>
                  <w:r>
                    <w:rPr>
                      <w:rFonts w:hint="eastAsia"/>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 w:type="pct"/>
                  <w:vMerge w:val="restar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rPr>
                      <w:rFonts w:hint="eastAsia"/>
                    </w:rPr>
                    <w:t>SO</w:t>
                  </w:r>
                  <w:r>
                    <w:rPr>
                      <w:rFonts w:hint="eastAsia"/>
                      <w:vertAlign w:val="subscript"/>
                    </w:rPr>
                    <w:t>2</w:t>
                  </w: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年平均</w:t>
                  </w:r>
                </w:p>
              </w:tc>
              <w:tc>
                <w:tcPr>
                  <w:tcW w:w="1318" w:type="dxa"/>
                  <w:tcBorders>
                    <w:tl2br w:val="nil"/>
                    <w:tr2bl w:val="nil"/>
                  </w:tcBorders>
                  <w:noWrap w:val="0"/>
                  <w:vAlign w:val="center"/>
                </w:tcPr>
                <w:p>
                  <w:pPr>
                    <w:pStyle w:val="61"/>
                    <w:spacing w:beforeLines="0" w:afterLines="0"/>
                    <w:rPr>
                      <w:rFonts w:hint="default"/>
                      <w:lang w:val="en-US" w:eastAsia="zh-CN"/>
                    </w:rPr>
                  </w:pPr>
                  <w:r>
                    <w:rPr>
                      <w:rFonts w:hint="eastAsia"/>
                      <w:color w:val="auto"/>
                      <w:sz w:val="21"/>
                      <w:szCs w:val="21"/>
                      <w:lang w:val="en-US" w:eastAsia="zh-CN"/>
                    </w:rPr>
                    <w:t>6</w:t>
                  </w:r>
                </w:p>
              </w:tc>
              <w:tc>
                <w:tcPr>
                  <w:tcW w:w="1396" w:type="dxa"/>
                  <w:tcBorders>
                    <w:tl2br w:val="nil"/>
                    <w:tr2bl w:val="nil"/>
                  </w:tcBorders>
                  <w:noWrap w:val="0"/>
                  <w:vAlign w:val="center"/>
                </w:tcPr>
                <w:p>
                  <w:pPr>
                    <w:pStyle w:val="61"/>
                    <w:spacing w:beforeLines="0" w:afterLines="0"/>
                  </w:pPr>
                  <w:r>
                    <w:rPr>
                      <w:rFonts w:hint="eastAsia"/>
                      <w:color w:val="auto"/>
                      <w:sz w:val="21"/>
                      <w:szCs w:val="21"/>
                    </w:rPr>
                    <w:t>60</w:t>
                  </w:r>
                </w:p>
              </w:tc>
              <w:tc>
                <w:tcPr>
                  <w:tcW w:w="889" w:type="dxa"/>
                  <w:tcBorders>
                    <w:tl2br w:val="nil"/>
                    <w:tr2bl w:val="nil"/>
                  </w:tcBorders>
                  <w:noWrap w:val="0"/>
                  <w:vAlign w:val="center"/>
                </w:tcPr>
                <w:p>
                  <w:pPr>
                    <w:pStyle w:val="61"/>
                    <w:bidi w:val="0"/>
                    <w:rPr>
                      <w:rFonts w:hint="default"/>
                      <w:lang w:val="en-US" w:eastAsia="zh-CN"/>
                    </w:rPr>
                  </w:pPr>
                  <w:r>
                    <w:rPr>
                      <w:rFonts w:hint="eastAsia"/>
                      <w:lang w:val="en-US" w:eastAsia="zh-CN"/>
                    </w:rPr>
                    <w:t>10</w:t>
                  </w:r>
                </w:p>
              </w:tc>
              <w:tc>
                <w:tcPr>
                  <w:tcW w:w="1129"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lang w:eastAsia="zh-CN"/>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 w:type="pct"/>
                  <w:vMerge w:val="continue"/>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24h平均第98百分位数</w:t>
                  </w:r>
                </w:p>
              </w:tc>
              <w:tc>
                <w:tcPr>
                  <w:tcW w:w="1318" w:type="dxa"/>
                  <w:tcBorders>
                    <w:tl2br w:val="nil"/>
                    <w:tr2bl w:val="nil"/>
                  </w:tcBorders>
                  <w:noWrap w:val="0"/>
                  <w:vAlign w:val="center"/>
                </w:tcPr>
                <w:p>
                  <w:pPr>
                    <w:pStyle w:val="61"/>
                    <w:spacing w:beforeLines="0" w:afterLines="0"/>
                    <w:rPr>
                      <w:rFonts w:hint="default"/>
                      <w:lang w:val="en-US" w:eastAsia="zh-CN"/>
                    </w:rPr>
                  </w:pPr>
                  <w:r>
                    <w:rPr>
                      <w:rFonts w:hint="eastAsia"/>
                      <w:color w:val="auto"/>
                      <w:sz w:val="21"/>
                      <w:szCs w:val="21"/>
                    </w:rPr>
                    <w:t>9</w:t>
                  </w:r>
                </w:p>
              </w:tc>
              <w:tc>
                <w:tcPr>
                  <w:tcW w:w="1396" w:type="dxa"/>
                  <w:tcBorders>
                    <w:tl2br w:val="nil"/>
                    <w:tr2bl w:val="nil"/>
                  </w:tcBorders>
                  <w:noWrap w:val="0"/>
                  <w:vAlign w:val="center"/>
                </w:tcPr>
                <w:p>
                  <w:pPr>
                    <w:pStyle w:val="61"/>
                    <w:spacing w:beforeLines="0" w:afterLines="0"/>
                  </w:pPr>
                  <w:r>
                    <w:rPr>
                      <w:rFonts w:hint="eastAsia"/>
                      <w:color w:val="auto"/>
                      <w:sz w:val="21"/>
                      <w:szCs w:val="21"/>
                    </w:rPr>
                    <w:t>150</w:t>
                  </w:r>
                </w:p>
              </w:tc>
              <w:tc>
                <w:tcPr>
                  <w:tcW w:w="889" w:type="dxa"/>
                  <w:tcBorders>
                    <w:tl2br w:val="nil"/>
                    <w:tr2bl w:val="nil"/>
                  </w:tcBorders>
                  <w:noWrap w:val="0"/>
                  <w:vAlign w:val="center"/>
                </w:tcPr>
                <w:p>
                  <w:pPr>
                    <w:pStyle w:val="61"/>
                    <w:bidi w:val="0"/>
                    <w:rPr>
                      <w:rFonts w:hint="default"/>
                      <w:lang w:val="en-US" w:eastAsia="zh-CN"/>
                    </w:rPr>
                  </w:pPr>
                  <w:r>
                    <w:rPr>
                      <w:rFonts w:hint="eastAsia"/>
                      <w:lang w:val="en-US" w:eastAsia="zh-CN"/>
                    </w:rPr>
                    <w:t>6</w:t>
                  </w:r>
                </w:p>
              </w:tc>
              <w:tc>
                <w:tcPr>
                  <w:tcW w:w="1129"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 w:type="pct"/>
                  <w:vMerge w:val="restar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rPr>
                      <w:rFonts w:hint="eastAsia"/>
                    </w:rPr>
                    <w:t>NO</w:t>
                  </w:r>
                  <w:r>
                    <w:rPr>
                      <w:rFonts w:hint="eastAsia"/>
                      <w:vertAlign w:val="subscript"/>
                    </w:rPr>
                    <w:t>2</w:t>
                  </w: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年平均</w:t>
                  </w:r>
                </w:p>
              </w:tc>
              <w:tc>
                <w:tcPr>
                  <w:tcW w:w="1318" w:type="dxa"/>
                  <w:tcBorders>
                    <w:tl2br w:val="nil"/>
                    <w:tr2bl w:val="nil"/>
                  </w:tcBorders>
                  <w:noWrap w:val="0"/>
                  <w:vAlign w:val="center"/>
                </w:tcPr>
                <w:p>
                  <w:pPr>
                    <w:pStyle w:val="61"/>
                    <w:spacing w:beforeLines="0" w:afterLines="0"/>
                    <w:rPr>
                      <w:rFonts w:hint="default"/>
                      <w:lang w:val="en-US" w:eastAsia="zh-CN"/>
                    </w:rPr>
                  </w:pPr>
                  <w:r>
                    <w:rPr>
                      <w:rFonts w:hint="eastAsia"/>
                      <w:lang w:val="en-US" w:eastAsia="zh-CN"/>
                    </w:rPr>
                    <w:t>8</w:t>
                  </w:r>
                </w:p>
              </w:tc>
              <w:tc>
                <w:tcPr>
                  <w:tcW w:w="1396" w:type="dxa"/>
                  <w:tcBorders>
                    <w:tl2br w:val="nil"/>
                    <w:tr2bl w:val="nil"/>
                  </w:tcBorders>
                  <w:noWrap w:val="0"/>
                  <w:vAlign w:val="center"/>
                </w:tcPr>
                <w:p>
                  <w:pPr>
                    <w:pStyle w:val="61"/>
                    <w:spacing w:beforeLines="0" w:afterLines="0"/>
                  </w:pPr>
                  <w:r>
                    <w:rPr>
                      <w:rFonts w:hint="eastAsia"/>
                      <w:color w:val="auto"/>
                      <w:sz w:val="21"/>
                      <w:szCs w:val="21"/>
                    </w:rPr>
                    <w:t>40</w:t>
                  </w:r>
                </w:p>
              </w:tc>
              <w:tc>
                <w:tcPr>
                  <w:tcW w:w="889" w:type="dxa"/>
                  <w:tcBorders>
                    <w:tl2br w:val="nil"/>
                    <w:tr2bl w:val="nil"/>
                  </w:tcBorders>
                  <w:noWrap w:val="0"/>
                  <w:vAlign w:val="center"/>
                </w:tcPr>
                <w:p>
                  <w:pPr>
                    <w:pStyle w:val="61"/>
                    <w:bidi w:val="0"/>
                    <w:rPr>
                      <w:rFonts w:hint="default"/>
                      <w:lang w:val="en-US" w:eastAsia="zh-CN"/>
                    </w:rPr>
                  </w:pPr>
                  <w:r>
                    <w:rPr>
                      <w:rFonts w:hint="eastAsia"/>
                      <w:lang w:val="en-US" w:eastAsia="zh-CN"/>
                    </w:rPr>
                    <w:t>20</w:t>
                  </w:r>
                </w:p>
              </w:tc>
              <w:tc>
                <w:tcPr>
                  <w:tcW w:w="1129"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 w:type="pct"/>
                  <w:vMerge w:val="continue"/>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24h平均第98百分位数</w:t>
                  </w:r>
                </w:p>
              </w:tc>
              <w:tc>
                <w:tcPr>
                  <w:tcW w:w="1318" w:type="dxa"/>
                  <w:tcBorders>
                    <w:tl2br w:val="nil"/>
                    <w:tr2bl w:val="nil"/>
                  </w:tcBorders>
                  <w:noWrap w:val="0"/>
                  <w:vAlign w:val="center"/>
                </w:tcPr>
                <w:p>
                  <w:pPr>
                    <w:pStyle w:val="61"/>
                    <w:spacing w:beforeLines="0" w:afterLines="0"/>
                    <w:rPr>
                      <w:rFonts w:hint="default"/>
                      <w:lang w:val="en-US" w:eastAsia="zh-CN"/>
                    </w:rPr>
                  </w:pPr>
                  <w:r>
                    <w:rPr>
                      <w:rFonts w:hint="eastAsia"/>
                      <w:lang w:val="en-US" w:eastAsia="zh-CN"/>
                    </w:rPr>
                    <w:t>15</w:t>
                  </w:r>
                </w:p>
              </w:tc>
              <w:tc>
                <w:tcPr>
                  <w:tcW w:w="1396" w:type="dxa"/>
                  <w:tcBorders>
                    <w:tl2br w:val="nil"/>
                    <w:tr2bl w:val="nil"/>
                  </w:tcBorders>
                  <w:noWrap w:val="0"/>
                  <w:vAlign w:val="center"/>
                </w:tcPr>
                <w:p>
                  <w:pPr>
                    <w:pStyle w:val="61"/>
                    <w:spacing w:beforeLines="0" w:afterLines="0"/>
                  </w:pPr>
                  <w:r>
                    <w:rPr>
                      <w:rFonts w:hint="eastAsia"/>
                      <w:color w:val="auto"/>
                      <w:sz w:val="21"/>
                      <w:szCs w:val="21"/>
                    </w:rPr>
                    <w:t>80</w:t>
                  </w:r>
                </w:p>
              </w:tc>
              <w:tc>
                <w:tcPr>
                  <w:tcW w:w="889" w:type="dxa"/>
                  <w:tcBorders>
                    <w:tl2br w:val="nil"/>
                    <w:tr2bl w:val="nil"/>
                  </w:tcBorders>
                  <w:noWrap w:val="0"/>
                  <w:vAlign w:val="center"/>
                </w:tcPr>
                <w:p>
                  <w:pPr>
                    <w:pStyle w:val="61"/>
                    <w:bidi w:val="0"/>
                    <w:rPr>
                      <w:rFonts w:hint="default"/>
                      <w:lang w:val="en-US" w:eastAsia="zh-CN"/>
                    </w:rPr>
                  </w:pPr>
                  <w:r>
                    <w:rPr>
                      <w:rFonts w:hint="eastAsia"/>
                      <w:lang w:val="en-US" w:eastAsia="zh-CN"/>
                    </w:rPr>
                    <w:t>19</w:t>
                  </w:r>
                </w:p>
              </w:tc>
              <w:tc>
                <w:tcPr>
                  <w:tcW w:w="1129"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rPr>
                      <w:rFonts w:hint="eastAsia"/>
                    </w:rPr>
                    <w:t>CO</w:t>
                  </w: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24h平均第95百分位数</w:t>
                  </w:r>
                </w:p>
              </w:tc>
              <w:tc>
                <w:tcPr>
                  <w:tcW w:w="1318" w:type="dxa"/>
                  <w:tcBorders>
                    <w:tl2br w:val="nil"/>
                    <w:tr2bl w:val="nil"/>
                  </w:tcBorders>
                  <w:noWrap w:val="0"/>
                  <w:vAlign w:val="center"/>
                </w:tcPr>
                <w:p>
                  <w:pPr>
                    <w:pStyle w:val="61"/>
                    <w:spacing w:beforeLines="0" w:afterLines="0"/>
                    <w:rPr>
                      <w:rFonts w:hint="default"/>
                      <w:lang w:val="en-US" w:eastAsia="zh-CN"/>
                    </w:rPr>
                  </w:pPr>
                  <w:r>
                    <w:rPr>
                      <w:rFonts w:hint="eastAsia"/>
                      <w:lang w:val="en-US" w:eastAsia="zh-CN"/>
                    </w:rPr>
                    <w:t>500</w:t>
                  </w:r>
                </w:p>
              </w:tc>
              <w:tc>
                <w:tcPr>
                  <w:tcW w:w="1396" w:type="dxa"/>
                  <w:tcBorders>
                    <w:tl2br w:val="nil"/>
                    <w:tr2bl w:val="nil"/>
                  </w:tcBorders>
                  <w:noWrap w:val="0"/>
                  <w:vAlign w:val="center"/>
                </w:tcPr>
                <w:p>
                  <w:pPr>
                    <w:pStyle w:val="61"/>
                    <w:spacing w:beforeLines="0" w:afterLines="0"/>
                    <w:rPr>
                      <w:rFonts w:hint="default"/>
                      <w:lang w:val="en-US" w:eastAsia="zh-CN"/>
                    </w:rPr>
                  </w:pPr>
                  <w:r>
                    <w:rPr>
                      <w:rFonts w:hint="eastAsia"/>
                      <w:color w:val="auto"/>
                      <w:sz w:val="21"/>
                      <w:szCs w:val="21"/>
                    </w:rPr>
                    <w:t>4000</w:t>
                  </w:r>
                </w:p>
              </w:tc>
              <w:tc>
                <w:tcPr>
                  <w:tcW w:w="889" w:type="dxa"/>
                  <w:tcBorders>
                    <w:tl2br w:val="nil"/>
                    <w:tr2bl w:val="nil"/>
                  </w:tcBorders>
                  <w:noWrap w:val="0"/>
                  <w:vAlign w:val="center"/>
                </w:tcPr>
                <w:p>
                  <w:pPr>
                    <w:pStyle w:val="61"/>
                    <w:bidi w:val="0"/>
                    <w:rPr>
                      <w:rFonts w:hint="default"/>
                      <w:lang w:val="en-US" w:eastAsia="zh-CN"/>
                    </w:rPr>
                  </w:pPr>
                  <w:r>
                    <w:rPr>
                      <w:rFonts w:hint="eastAsia"/>
                      <w:lang w:val="en-US" w:eastAsia="zh-CN"/>
                    </w:rPr>
                    <w:t>13</w:t>
                  </w:r>
                </w:p>
              </w:tc>
              <w:tc>
                <w:tcPr>
                  <w:tcW w:w="1129"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rPr>
                      <w:rFonts w:hint="eastAsia"/>
                    </w:rPr>
                    <w:t>O</w:t>
                  </w:r>
                  <w:r>
                    <w:rPr>
                      <w:rFonts w:hint="eastAsia"/>
                      <w:vertAlign w:val="subscript"/>
                    </w:rPr>
                    <w:t>3</w:t>
                  </w: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最大8小时滑动平均值的第90百分位数</w:t>
                  </w:r>
                </w:p>
              </w:tc>
              <w:tc>
                <w:tcPr>
                  <w:tcW w:w="1318" w:type="dxa"/>
                  <w:tcBorders>
                    <w:tl2br w:val="nil"/>
                    <w:tr2bl w:val="nil"/>
                  </w:tcBorders>
                  <w:noWrap w:val="0"/>
                  <w:vAlign w:val="center"/>
                </w:tcPr>
                <w:p>
                  <w:pPr>
                    <w:pStyle w:val="61"/>
                    <w:spacing w:beforeLines="0" w:afterLines="0"/>
                    <w:rPr>
                      <w:rFonts w:hint="default"/>
                      <w:lang w:val="en-US" w:eastAsia="zh-CN"/>
                    </w:rPr>
                  </w:pPr>
                  <w:r>
                    <w:rPr>
                      <w:rFonts w:hint="eastAsia"/>
                      <w:lang w:val="en-US" w:eastAsia="zh-CN"/>
                    </w:rPr>
                    <w:t>131</w:t>
                  </w:r>
                </w:p>
              </w:tc>
              <w:tc>
                <w:tcPr>
                  <w:tcW w:w="1396" w:type="dxa"/>
                  <w:tcBorders>
                    <w:tl2br w:val="nil"/>
                    <w:tr2bl w:val="nil"/>
                  </w:tcBorders>
                  <w:noWrap w:val="0"/>
                  <w:vAlign w:val="center"/>
                </w:tcPr>
                <w:p>
                  <w:pPr>
                    <w:pStyle w:val="61"/>
                    <w:spacing w:beforeLines="0" w:afterLines="0"/>
                  </w:pPr>
                  <w:r>
                    <w:rPr>
                      <w:rFonts w:hint="eastAsia"/>
                      <w:color w:val="auto"/>
                      <w:sz w:val="21"/>
                      <w:szCs w:val="21"/>
                    </w:rPr>
                    <w:t>160</w:t>
                  </w:r>
                </w:p>
              </w:tc>
              <w:tc>
                <w:tcPr>
                  <w:tcW w:w="889" w:type="dxa"/>
                  <w:tcBorders>
                    <w:tl2br w:val="nil"/>
                    <w:tr2bl w:val="nil"/>
                  </w:tcBorders>
                  <w:noWrap w:val="0"/>
                  <w:vAlign w:val="center"/>
                </w:tcPr>
                <w:p>
                  <w:pPr>
                    <w:pStyle w:val="61"/>
                    <w:bidi w:val="0"/>
                    <w:rPr>
                      <w:rFonts w:hint="default"/>
                      <w:lang w:val="en-US" w:eastAsia="zh-CN"/>
                    </w:rPr>
                  </w:pPr>
                  <w:r>
                    <w:rPr>
                      <w:rFonts w:hint="eastAsia"/>
                      <w:lang w:val="en-US" w:eastAsia="zh-CN"/>
                    </w:rPr>
                    <w:t>82</w:t>
                  </w:r>
                </w:p>
              </w:tc>
              <w:tc>
                <w:tcPr>
                  <w:tcW w:w="1129"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trPr>
              <w:tc>
                <w:tcPr>
                  <w:tcW w:w="549" w:type="pct"/>
                  <w:vMerge w:val="restar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rPr>
                      <w:rFonts w:hint="eastAsia"/>
                    </w:rPr>
                    <w:t>PM</w:t>
                  </w:r>
                  <w:r>
                    <w:rPr>
                      <w:rFonts w:hint="eastAsia"/>
                      <w:vertAlign w:val="subscript"/>
                    </w:rPr>
                    <w:t>10</w:t>
                  </w: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年平均</w:t>
                  </w:r>
                </w:p>
              </w:tc>
              <w:tc>
                <w:tcPr>
                  <w:tcW w:w="1318" w:type="dxa"/>
                  <w:tcBorders>
                    <w:tl2br w:val="nil"/>
                    <w:tr2bl w:val="nil"/>
                  </w:tcBorders>
                  <w:noWrap w:val="0"/>
                  <w:vAlign w:val="center"/>
                </w:tcPr>
                <w:p>
                  <w:pPr>
                    <w:pStyle w:val="61"/>
                    <w:spacing w:beforeLines="0" w:afterLines="0"/>
                    <w:rPr>
                      <w:rFonts w:hint="default"/>
                      <w:lang w:val="en-US" w:eastAsia="zh-CN"/>
                    </w:rPr>
                  </w:pPr>
                  <w:r>
                    <w:rPr>
                      <w:rFonts w:hint="eastAsia"/>
                      <w:lang w:val="en-US" w:eastAsia="zh-CN"/>
                    </w:rPr>
                    <w:t>284</w:t>
                  </w:r>
                </w:p>
              </w:tc>
              <w:tc>
                <w:tcPr>
                  <w:tcW w:w="1396" w:type="dxa"/>
                  <w:tcBorders>
                    <w:tl2br w:val="nil"/>
                    <w:tr2bl w:val="nil"/>
                  </w:tcBorders>
                  <w:noWrap w:val="0"/>
                  <w:vAlign w:val="center"/>
                </w:tcPr>
                <w:p>
                  <w:pPr>
                    <w:pStyle w:val="61"/>
                    <w:spacing w:beforeLines="0" w:afterLines="0"/>
                  </w:pPr>
                  <w:r>
                    <w:rPr>
                      <w:rFonts w:hint="eastAsia"/>
                      <w:color w:val="auto"/>
                      <w:sz w:val="21"/>
                      <w:szCs w:val="21"/>
                      <w:lang w:val="en-US" w:eastAsia="zh-CN"/>
                    </w:rPr>
                    <w:t>60</w:t>
                  </w:r>
                </w:p>
              </w:tc>
              <w:tc>
                <w:tcPr>
                  <w:tcW w:w="889" w:type="dxa"/>
                  <w:tcBorders>
                    <w:tl2br w:val="nil"/>
                    <w:tr2bl w:val="nil"/>
                  </w:tcBorders>
                  <w:noWrap w:val="0"/>
                  <w:vAlign w:val="center"/>
                </w:tcPr>
                <w:p>
                  <w:pPr>
                    <w:pStyle w:val="61"/>
                    <w:bidi w:val="0"/>
                    <w:rPr>
                      <w:rFonts w:hint="default"/>
                      <w:lang w:val="en-US" w:eastAsia="zh-CN"/>
                    </w:rPr>
                  </w:pPr>
                  <w:r>
                    <w:rPr>
                      <w:rFonts w:hint="eastAsia"/>
                      <w:lang w:val="en-US" w:eastAsia="zh-CN"/>
                    </w:rPr>
                    <w:t>473</w:t>
                  </w:r>
                </w:p>
              </w:tc>
              <w:tc>
                <w:tcPr>
                  <w:tcW w:w="1129"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 w:type="pct"/>
                  <w:vMerge w:val="continue"/>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24h平均第95百分位数</w:t>
                  </w:r>
                </w:p>
              </w:tc>
              <w:tc>
                <w:tcPr>
                  <w:tcW w:w="1318" w:type="dxa"/>
                  <w:tcBorders>
                    <w:tl2br w:val="nil"/>
                    <w:tr2bl w:val="nil"/>
                  </w:tcBorders>
                  <w:noWrap w:val="0"/>
                  <w:vAlign w:val="center"/>
                </w:tcPr>
                <w:p>
                  <w:pPr>
                    <w:pStyle w:val="61"/>
                    <w:spacing w:beforeLines="0" w:afterLines="0"/>
                    <w:rPr>
                      <w:rFonts w:hint="default"/>
                      <w:lang w:val="en-US" w:eastAsia="zh-CN"/>
                    </w:rPr>
                  </w:pPr>
                  <w:r>
                    <w:rPr>
                      <w:rFonts w:hint="eastAsia"/>
                      <w:lang w:val="en-US" w:eastAsia="zh-CN"/>
                    </w:rPr>
                    <w:t>876</w:t>
                  </w:r>
                </w:p>
              </w:tc>
              <w:tc>
                <w:tcPr>
                  <w:tcW w:w="1396" w:type="dxa"/>
                  <w:tcBorders>
                    <w:tl2br w:val="nil"/>
                    <w:tr2bl w:val="nil"/>
                  </w:tcBorders>
                  <w:noWrap w:val="0"/>
                  <w:vAlign w:val="center"/>
                </w:tcPr>
                <w:p>
                  <w:pPr>
                    <w:pStyle w:val="61"/>
                    <w:spacing w:beforeLines="0" w:afterLines="0"/>
                  </w:pPr>
                  <w:r>
                    <w:rPr>
                      <w:rFonts w:hint="eastAsia"/>
                      <w:lang w:val="en-US" w:eastAsia="zh-CN"/>
                    </w:rPr>
                    <w:t>120</w:t>
                  </w:r>
                </w:p>
              </w:tc>
              <w:tc>
                <w:tcPr>
                  <w:tcW w:w="889" w:type="dxa"/>
                  <w:tcBorders>
                    <w:tl2br w:val="nil"/>
                    <w:tr2bl w:val="nil"/>
                  </w:tcBorders>
                  <w:noWrap w:val="0"/>
                  <w:vAlign w:val="center"/>
                </w:tcPr>
                <w:p>
                  <w:pPr>
                    <w:pStyle w:val="61"/>
                    <w:bidi w:val="0"/>
                    <w:rPr>
                      <w:rFonts w:hint="default"/>
                      <w:lang w:val="en-US" w:eastAsia="zh-CN"/>
                    </w:rPr>
                  </w:pPr>
                  <w:r>
                    <w:rPr>
                      <w:rFonts w:hint="eastAsia"/>
                      <w:lang w:val="en-US" w:eastAsia="zh-CN"/>
                    </w:rPr>
                    <w:t>730</w:t>
                  </w:r>
                </w:p>
              </w:tc>
              <w:tc>
                <w:tcPr>
                  <w:tcW w:w="1129"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 w:type="pct"/>
                  <w:vMerge w:val="restar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rPr>
                      <w:rFonts w:hint="eastAsia"/>
                    </w:rPr>
                    <w:t>PM</w:t>
                  </w:r>
                  <w:r>
                    <w:rPr>
                      <w:rFonts w:hint="eastAsia"/>
                      <w:vertAlign w:val="subscript"/>
                    </w:rPr>
                    <w:t>2.5</w:t>
                  </w: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年平均</w:t>
                  </w:r>
                </w:p>
              </w:tc>
              <w:tc>
                <w:tcPr>
                  <w:tcW w:w="1318" w:type="dxa"/>
                  <w:tcBorders>
                    <w:tl2br w:val="nil"/>
                    <w:tr2bl w:val="nil"/>
                  </w:tcBorders>
                  <w:noWrap w:val="0"/>
                  <w:vAlign w:val="center"/>
                </w:tcPr>
                <w:p>
                  <w:pPr>
                    <w:pStyle w:val="61"/>
                    <w:spacing w:beforeLines="0" w:afterLines="0"/>
                    <w:rPr>
                      <w:rFonts w:hint="default"/>
                      <w:lang w:val="en-US" w:eastAsia="zh-CN"/>
                    </w:rPr>
                  </w:pPr>
                  <w:r>
                    <w:rPr>
                      <w:rFonts w:hint="eastAsia"/>
                      <w:lang w:val="en-US" w:eastAsia="zh-CN"/>
                    </w:rPr>
                    <w:t>94</w:t>
                  </w:r>
                </w:p>
              </w:tc>
              <w:tc>
                <w:tcPr>
                  <w:tcW w:w="1396" w:type="dxa"/>
                  <w:tcBorders>
                    <w:tl2br w:val="nil"/>
                    <w:tr2bl w:val="nil"/>
                  </w:tcBorders>
                  <w:noWrap w:val="0"/>
                  <w:vAlign w:val="center"/>
                </w:tcPr>
                <w:p>
                  <w:pPr>
                    <w:pStyle w:val="61"/>
                    <w:spacing w:beforeLines="0" w:afterLines="0"/>
                  </w:pPr>
                  <w:r>
                    <w:rPr>
                      <w:rFonts w:hint="eastAsia"/>
                      <w:lang w:val="en-US" w:eastAsia="zh-CN"/>
                    </w:rPr>
                    <w:t>30</w:t>
                  </w:r>
                </w:p>
              </w:tc>
              <w:tc>
                <w:tcPr>
                  <w:tcW w:w="889" w:type="dxa"/>
                  <w:tcBorders>
                    <w:tl2br w:val="nil"/>
                    <w:tr2bl w:val="nil"/>
                  </w:tcBorders>
                  <w:noWrap w:val="0"/>
                  <w:vAlign w:val="center"/>
                </w:tcPr>
                <w:p>
                  <w:pPr>
                    <w:pStyle w:val="61"/>
                    <w:bidi w:val="0"/>
                    <w:rPr>
                      <w:rFonts w:hint="default"/>
                      <w:lang w:val="en-US" w:eastAsia="zh-CN"/>
                    </w:rPr>
                  </w:pPr>
                  <w:r>
                    <w:rPr>
                      <w:rFonts w:hint="eastAsia"/>
                      <w:lang w:val="en-US" w:eastAsia="zh-CN"/>
                    </w:rPr>
                    <w:t>313</w:t>
                  </w:r>
                </w:p>
              </w:tc>
              <w:tc>
                <w:tcPr>
                  <w:tcW w:w="1129"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 w:type="pct"/>
                  <w:vMerge w:val="continue"/>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p>
              </w:tc>
              <w:tc>
                <w:tcPr>
                  <w:tcW w:w="1479" w:type="pc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24h平均第95百分位数</w:t>
                  </w:r>
                </w:p>
              </w:tc>
              <w:tc>
                <w:tcPr>
                  <w:tcW w:w="1318" w:type="dxa"/>
                  <w:tcBorders>
                    <w:tl2br w:val="nil"/>
                    <w:tr2bl w:val="nil"/>
                  </w:tcBorders>
                  <w:noWrap w:val="0"/>
                  <w:vAlign w:val="center"/>
                </w:tcPr>
                <w:p>
                  <w:pPr>
                    <w:pStyle w:val="61"/>
                    <w:spacing w:beforeLines="0" w:afterLines="0"/>
                    <w:rPr>
                      <w:rFonts w:hint="default"/>
                      <w:lang w:val="en-US" w:eastAsia="zh-CN"/>
                    </w:rPr>
                  </w:pPr>
                  <w:r>
                    <w:rPr>
                      <w:rFonts w:hint="eastAsia"/>
                      <w:lang w:val="en-US" w:eastAsia="zh-CN"/>
                    </w:rPr>
                    <w:t>320</w:t>
                  </w:r>
                </w:p>
              </w:tc>
              <w:tc>
                <w:tcPr>
                  <w:tcW w:w="1396" w:type="dxa"/>
                  <w:tcBorders>
                    <w:tl2br w:val="nil"/>
                    <w:tr2bl w:val="nil"/>
                  </w:tcBorders>
                  <w:noWrap w:val="0"/>
                  <w:vAlign w:val="center"/>
                </w:tcPr>
                <w:p>
                  <w:pPr>
                    <w:pStyle w:val="61"/>
                    <w:spacing w:beforeLines="0" w:afterLines="0"/>
                  </w:pPr>
                  <w:r>
                    <w:rPr>
                      <w:rFonts w:hint="eastAsia"/>
                      <w:lang w:val="en-US" w:eastAsia="zh-CN"/>
                    </w:rPr>
                    <w:t>60</w:t>
                  </w:r>
                </w:p>
              </w:tc>
              <w:tc>
                <w:tcPr>
                  <w:tcW w:w="889" w:type="dxa"/>
                  <w:tcBorders>
                    <w:tl2br w:val="nil"/>
                    <w:tr2bl w:val="nil"/>
                  </w:tcBorders>
                  <w:noWrap w:val="0"/>
                  <w:vAlign w:val="center"/>
                </w:tcPr>
                <w:p>
                  <w:pPr>
                    <w:pStyle w:val="61"/>
                    <w:bidi w:val="0"/>
                    <w:rPr>
                      <w:rFonts w:hint="default"/>
                      <w:lang w:val="en-US" w:eastAsia="zh-CN"/>
                    </w:rPr>
                  </w:pPr>
                  <w:r>
                    <w:rPr>
                      <w:rFonts w:hint="eastAsia"/>
                      <w:lang w:val="en-US" w:eastAsia="zh-CN"/>
                    </w:rPr>
                    <w:t>533</w:t>
                  </w:r>
                </w:p>
              </w:tc>
              <w:tc>
                <w:tcPr>
                  <w:tcW w:w="1129"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eastAsia="zh-CN"/>
                    </w:rPr>
                    <w:t>不达标</w:t>
                  </w:r>
                </w:p>
              </w:tc>
            </w:tr>
          </w:tbl>
          <w:p>
            <w:pPr>
              <w:pStyle w:val="8"/>
              <w:keepLines w:val="0"/>
              <w:pageBreakBefore w:val="0"/>
              <w:kinsoku/>
              <w:wordWrap/>
              <w:topLinePunct w:val="0"/>
              <w:autoSpaceDE/>
              <w:autoSpaceDN/>
              <w:bidi w:val="0"/>
              <w:spacing w:beforeAutospacing="0" w:afterAutospacing="0"/>
              <w:textAlignment w:val="auto"/>
              <w:rPr>
                <w:rFonts w:hint="default"/>
                <w:lang w:eastAsia="zh-CN"/>
              </w:rPr>
            </w:pPr>
            <w:r>
              <w:rPr>
                <w:rFonts w:hint="eastAsia"/>
                <w:lang w:val="en-US" w:eastAsia="zh-CN"/>
              </w:rPr>
              <w:t>本项目所在区域PM</w:t>
            </w:r>
            <w:r>
              <w:rPr>
                <w:rFonts w:hint="eastAsia"/>
                <w:vertAlign w:val="subscript"/>
                <w:lang w:val="en-US" w:eastAsia="zh-CN"/>
              </w:rPr>
              <w:t>2.5</w:t>
            </w:r>
            <w:r>
              <w:rPr>
                <w:rFonts w:hint="eastAsia"/>
                <w:lang w:val="en-US" w:eastAsia="zh-CN"/>
              </w:rPr>
              <w:t>、</w:t>
            </w:r>
            <w:r>
              <w:rPr>
                <w:rFonts w:hint="default"/>
                <w:lang w:val="en-US" w:eastAsia="zh-CN"/>
              </w:rPr>
              <w:t>PM</w:t>
            </w:r>
            <w:r>
              <w:rPr>
                <w:rFonts w:hint="default"/>
                <w:vertAlign w:val="subscript"/>
                <w:lang w:val="en-US" w:eastAsia="zh-CN"/>
              </w:rPr>
              <w:t>10</w:t>
            </w:r>
            <w:r>
              <w:rPr>
                <w:rFonts w:hint="eastAsia"/>
                <w:lang w:val="en-US" w:eastAsia="zh-CN"/>
              </w:rPr>
              <w:t>年平均和24h平均第95百分位数浓度超过《环境空气质量标准》（GB3095-2026）过渡阶段的二级标准要求，SO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、CO、O</w:t>
            </w:r>
            <w:r>
              <w:rPr>
                <w:rFonts w:hint="eastAsia"/>
                <w:vertAlign w:val="subscript"/>
                <w:lang w:val="en-US" w:eastAsia="zh-CN"/>
              </w:rPr>
              <w:t>3</w:t>
            </w:r>
            <w:r>
              <w:rPr>
                <w:rFonts w:hint="eastAsia"/>
                <w:lang w:val="en-US" w:eastAsia="zh-CN"/>
              </w:rPr>
              <w:t>等其他监测指标均满足二级标准。PM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超标主要与当地气候条件和地理位置有关，评价区大气受当地干旱气候的影响，空气中</w:t>
            </w:r>
            <w:r>
              <w:rPr>
                <w:rFonts w:hint="default"/>
                <w:lang w:val="en-US" w:eastAsia="zh-CN"/>
              </w:rPr>
              <w:t>PM</w:t>
            </w:r>
            <w:r>
              <w:rPr>
                <w:rFonts w:hint="default"/>
                <w:vertAlign w:val="subscript"/>
                <w:lang w:val="en-US" w:eastAsia="zh-CN"/>
              </w:rPr>
              <w:t>2.5</w:t>
            </w:r>
            <w:r>
              <w:rPr>
                <w:rFonts w:hint="eastAsia"/>
                <w:lang w:val="en-US" w:eastAsia="zh-CN"/>
              </w:rPr>
              <w:t>、</w:t>
            </w:r>
            <w:r>
              <w:rPr>
                <w:rFonts w:hint="default"/>
                <w:lang w:val="en-US" w:eastAsia="zh-CN"/>
              </w:rPr>
              <w:t>PM</w:t>
            </w:r>
            <w:r>
              <w:rPr>
                <w:rFonts w:hint="default"/>
                <w:vertAlign w:val="subscript"/>
                <w:lang w:val="en-US" w:eastAsia="zh-CN"/>
              </w:rPr>
              <w:t>10</w:t>
            </w:r>
            <w:r>
              <w:rPr>
                <w:rFonts w:hint="eastAsia"/>
                <w:lang w:val="en-US" w:eastAsia="zh-CN"/>
              </w:rPr>
              <w:t>的本底值偏高，尤其在沙尘暴和浮尘天气，会出现严重超标。</w:t>
            </w:r>
            <w:r>
              <w:rPr>
                <w:rFonts w:hint="default"/>
                <w:lang w:eastAsia="zh-CN"/>
              </w:rPr>
              <w:t>因此，项目所在区域为不达标区。</w:t>
            </w:r>
          </w:p>
          <w:p>
            <w:pPr>
              <w:pStyle w:val="2"/>
              <w:keepLines w:val="0"/>
              <w:pageBreakBefore w:val="0"/>
              <w:kinsoku/>
              <w:wordWrap/>
              <w:topLinePunct w:val="0"/>
              <w:autoSpaceDE/>
              <w:autoSpaceDN/>
              <w:bidi w:val="0"/>
              <w:spacing w:beforeAutospacing="0" w:afterAutospacing="0"/>
              <w:textAlignment w:val="auto"/>
              <w:rPr>
                <w:rFonts w:hint="eastAsia"/>
                <w:highlight w:val="none"/>
                <w:lang w:val="en-US" w:eastAsia="zh-CN"/>
              </w:rPr>
            </w:pPr>
            <w:r>
              <w:rPr>
                <w:rFonts w:hint="eastAsia"/>
                <w:lang w:val="en-US" w:eastAsia="zh-CN"/>
              </w:rPr>
              <w:t>1.2</w:t>
            </w:r>
            <w:r>
              <w:rPr>
                <w:rFonts w:hint="eastAsia"/>
                <w:highlight w:val="none"/>
                <w:lang w:val="en-US" w:eastAsia="zh-CN"/>
              </w:rPr>
              <w:t>其他污染物质量现状</w:t>
            </w:r>
          </w:p>
          <w:p>
            <w:pPr>
              <w:pStyle w:val="8"/>
              <w:keepLines w:val="0"/>
              <w:pageBreakBefore w:val="0"/>
              <w:kinsoku/>
              <w:wordWrap/>
              <w:topLinePunct w:val="0"/>
              <w:autoSpaceDE/>
              <w:autoSpaceDN/>
              <w:bidi w:val="0"/>
              <w:spacing w:beforeAutospacing="0" w:afterAutospacing="0"/>
              <w:textAlignment w:val="auto"/>
              <w:rPr>
                <w:rFonts w:hint="eastAsia"/>
                <w:highlight w:val="none"/>
                <w:lang w:eastAsia="zh-CN"/>
              </w:rPr>
            </w:pPr>
            <w:r>
              <w:rPr>
                <w:rFonts w:hint="eastAsia"/>
                <w:highlight w:val="none"/>
                <w:lang w:val="en-US" w:eastAsia="zh-CN"/>
              </w:rPr>
              <w:t>根据《建设项目环境影响报告表编制技术指南（污染影响类）（试行）》，排放国家、地方环境空气质量标准中有标准限值要求的特征污染物时，引用建设项目周边5千米范围内近3年的现有监测数据</w:t>
            </w:r>
            <w:r>
              <w:rPr>
                <w:rFonts w:hint="eastAsia"/>
                <w:highlight w:val="none"/>
                <w:lang w:eastAsia="zh-CN"/>
              </w:rPr>
              <w:t>。</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highlight w:val="none"/>
                <w:lang w:val="en-US" w:eastAsia="zh-CN"/>
              </w:rPr>
              <w:t>本次特征污染物质量现状调查委托新疆中测测试有限责任公司于202</w:t>
            </w:r>
            <w:r>
              <w:rPr>
                <w:rFonts w:hint="eastAsia"/>
                <w:highlight w:val="none"/>
                <w:lang w:val="en-US" w:eastAsia="zh-CN"/>
              </w:rPr>
              <w:t>6</w:t>
            </w:r>
            <w:r>
              <w:rPr>
                <w:rFonts w:hint="default"/>
                <w:highlight w:val="none"/>
                <w:lang w:val="en-US" w:eastAsia="zh-CN"/>
              </w:rPr>
              <w:t>年</w:t>
            </w:r>
            <w:r>
              <w:rPr>
                <w:rFonts w:hint="eastAsia"/>
                <w:highlight w:val="none"/>
                <w:lang w:val="en-US" w:eastAsia="zh-CN"/>
              </w:rPr>
              <w:t>3</w:t>
            </w:r>
            <w:r>
              <w:rPr>
                <w:rFonts w:hint="default"/>
                <w:highlight w:val="none"/>
                <w:lang w:val="en-US" w:eastAsia="zh-CN"/>
              </w:rPr>
              <w:t>月1</w:t>
            </w:r>
            <w:r>
              <w:rPr>
                <w:rFonts w:hint="eastAsia"/>
                <w:highlight w:val="none"/>
                <w:lang w:val="en-US" w:eastAsia="zh-CN"/>
              </w:rPr>
              <w:t>0</w:t>
            </w:r>
            <w:r>
              <w:rPr>
                <w:rFonts w:hint="default"/>
                <w:highlight w:val="none"/>
                <w:lang w:val="en-US" w:eastAsia="zh-CN"/>
              </w:rPr>
              <w:t>日至</w:t>
            </w:r>
            <w:r>
              <w:rPr>
                <w:rFonts w:hint="eastAsia"/>
                <w:highlight w:val="none"/>
                <w:lang w:val="en-US" w:eastAsia="zh-CN"/>
              </w:rPr>
              <w:t>3</w:t>
            </w:r>
            <w:r>
              <w:rPr>
                <w:rFonts w:hint="default"/>
                <w:highlight w:val="none"/>
                <w:lang w:val="en-US" w:eastAsia="zh-CN"/>
              </w:rPr>
              <w:t>月</w:t>
            </w:r>
            <w:r>
              <w:rPr>
                <w:rFonts w:hint="eastAsia"/>
                <w:highlight w:val="none"/>
                <w:lang w:val="en-US" w:eastAsia="zh-CN"/>
              </w:rPr>
              <w:t>13</w:t>
            </w:r>
            <w:r>
              <w:rPr>
                <w:rFonts w:hint="default"/>
                <w:highlight w:val="none"/>
                <w:lang w:val="en-US" w:eastAsia="zh-CN"/>
              </w:rPr>
              <w:t>日在项目区下风向进行监测，监测点位图详见附图</w:t>
            </w:r>
            <w:r>
              <w:rPr>
                <w:rFonts w:hint="eastAsia"/>
                <w:highlight w:val="none"/>
                <w:lang w:val="en-US" w:eastAsia="zh-CN"/>
              </w:rPr>
              <w:t>6</w:t>
            </w:r>
            <w:r>
              <w:rPr>
                <w:rFonts w:hint="default"/>
                <w:lang w:val="en-US" w:eastAsia="zh-CN"/>
              </w:rPr>
              <w:t>。</w:t>
            </w:r>
          </w:p>
          <w:p>
            <w:pPr>
              <w:pStyle w:val="44"/>
              <w:numPr>
                <w:ilvl w:val="0"/>
                <w:numId w:val="0"/>
              </w:numPr>
              <w:bidi w:val="0"/>
              <w:ind w:firstLine="480" w:firstLineChars="200"/>
              <w:rPr>
                <w:rFonts w:hint="default"/>
                <w:lang w:val="en-US" w:eastAsia="zh-CN"/>
              </w:rPr>
            </w:pPr>
            <w:r>
              <w:rPr>
                <w:rFonts w:hint="default" w:ascii="Times New Roman" w:hAnsi="Times New Roman" w:eastAsia="宋体" w:cs="宋体"/>
                <w:kern w:val="0"/>
                <w:sz w:val="24"/>
                <w:szCs w:val="24"/>
                <w:lang w:val="en-US" w:eastAsia="zh-CN" w:bidi="ar-SA"/>
              </w:rPr>
              <w:t>（1）</w:t>
            </w:r>
            <w:r>
              <w:rPr>
                <w:rFonts w:hint="eastAsia"/>
                <w:lang w:val="en-US" w:eastAsia="zh-CN"/>
              </w:rPr>
              <w:t>监测项目、监测频次</w:t>
            </w:r>
          </w:p>
          <w:p>
            <w:pPr>
              <w:pStyle w:val="44"/>
              <w:bidi w:val="0"/>
              <w:rPr>
                <w:rFonts w:hint="eastAsia"/>
                <w:lang w:val="en-US" w:eastAsia="zh-CN"/>
              </w:rPr>
            </w:pPr>
            <w:r>
              <w:rPr>
                <w:rFonts w:hint="eastAsia"/>
                <w:lang w:val="en-US" w:eastAsia="zh-CN"/>
              </w:rPr>
              <w:t>监测项目：TSP。</w:t>
            </w:r>
          </w:p>
          <w:p>
            <w:pPr>
              <w:pStyle w:val="44"/>
              <w:bidi w:val="0"/>
              <w:rPr>
                <w:rFonts w:hint="eastAsia"/>
                <w:lang w:val="en-US" w:eastAsia="zh-CN"/>
              </w:rPr>
            </w:pPr>
            <w:r>
              <w:rPr>
                <w:rFonts w:hint="eastAsia"/>
                <w:lang w:val="en-US" w:eastAsia="zh-CN"/>
              </w:rPr>
              <w:t>监测频率：连续采样3天。</w:t>
            </w:r>
          </w:p>
          <w:p>
            <w:pPr>
              <w:pStyle w:val="44"/>
              <w:numPr>
                <w:ilvl w:val="0"/>
                <w:numId w:val="0"/>
              </w:numPr>
              <w:bidi w:val="0"/>
              <w:ind w:left="0" w:leftChars="0"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（2）</w:t>
            </w:r>
            <w:r>
              <w:rPr>
                <w:rFonts w:hint="eastAsia"/>
                <w:lang w:val="en-US" w:eastAsia="zh-CN"/>
              </w:rPr>
              <w:t>采样分析方法、评价标准及方法</w:t>
            </w:r>
          </w:p>
          <w:p>
            <w:pPr>
              <w:pStyle w:val="44"/>
              <w:bidi w:val="0"/>
              <w:rPr>
                <w:rFonts w:hint="eastAsia"/>
                <w:lang w:val="en-US" w:eastAsia="zh-CN"/>
              </w:rPr>
            </w:pPr>
            <w:r>
              <w:rPr>
                <w:rFonts w:hint="eastAsia"/>
                <w:lang w:val="en-US" w:eastAsia="zh-CN"/>
              </w:rPr>
              <w:t>采样和分析方法：依据国家环保局颁布的《环境监测技术规范》（大气部分）和《空气和废气监测分析方法》进行监测。</w:t>
            </w:r>
          </w:p>
          <w:p>
            <w:pPr>
              <w:pStyle w:val="44"/>
              <w:bidi w:val="0"/>
              <w:rPr>
                <w:rFonts w:hint="eastAsia"/>
                <w:lang w:val="en-US" w:eastAsia="zh-CN"/>
              </w:rPr>
            </w:pPr>
            <w:r>
              <w:rPr>
                <w:rFonts w:hint="eastAsia"/>
                <w:lang w:val="en-US" w:eastAsia="zh-CN"/>
              </w:rPr>
              <w:t>评价标准：TSP执行《环境空气质量标准》（GB3095-2026）及其修改单二级标准值。</w:t>
            </w:r>
          </w:p>
          <w:p>
            <w:pPr>
              <w:pStyle w:val="8"/>
              <w:bidi w:val="0"/>
            </w:pPr>
            <w:r>
              <w:rPr>
                <w:rFonts w:hint="eastAsia"/>
                <w:lang w:val="en-US" w:eastAsia="zh-CN"/>
              </w:rPr>
              <w:t>评价方法：本次大气环境质量现状评价采用</w:t>
            </w:r>
            <w:r>
              <w:t>最大占标百分比，计算公式如下：</w:t>
            </w:r>
          </w:p>
          <w:p>
            <w:pPr>
              <w:pStyle w:val="8"/>
              <w:bidi w:val="0"/>
            </w:pPr>
            <w:r>
              <w:t>Pi=Ci/Coi</w:t>
            </w:r>
          </w:p>
          <w:p>
            <w:pPr>
              <w:pStyle w:val="8"/>
              <w:bidi w:val="0"/>
            </w:pPr>
            <w:r>
              <w:t>式中：Pi——i评价因子最大浓度占标率；</w:t>
            </w:r>
          </w:p>
          <w:p>
            <w:pPr>
              <w:pStyle w:val="8"/>
              <w:bidi w:val="0"/>
            </w:pPr>
            <w:r>
              <w:t>Ci——i评价因子的最大监测浓度（mg/m</w:t>
            </w:r>
            <w:r>
              <w:rPr>
                <w:vertAlign w:val="superscript"/>
              </w:rPr>
              <w:t>3</w:t>
            </w:r>
            <w:r>
              <w:t>）；</w:t>
            </w:r>
          </w:p>
          <w:p>
            <w:pPr>
              <w:pStyle w:val="8"/>
              <w:bidi w:val="0"/>
            </w:pPr>
            <w:r>
              <w:t>Coi——i评价因子的评价标准（mg/m</w:t>
            </w:r>
            <w:r>
              <w:rPr>
                <w:vertAlign w:val="superscript"/>
              </w:rPr>
              <w:t>3</w:t>
            </w:r>
            <w:r>
              <w:t>）</w:t>
            </w:r>
          </w:p>
          <w:p>
            <w:pPr>
              <w:pStyle w:val="44"/>
              <w:numPr>
                <w:ilvl w:val="0"/>
                <w:numId w:val="0"/>
              </w:numPr>
              <w:bidi w:val="0"/>
              <w:ind w:left="0" w:leftChars="0"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w:t>
            </w:r>
            <w:r>
              <w:rPr>
                <w:rFonts w:hint="eastAsia" w:cs="宋体"/>
                <w:kern w:val="0"/>
                <w:sz w:val="24"/>
                <w:szCs w:val="24"/>
                <w:lang w:val="en-US" w:eastAsia="zh-CN" w:bidi="ar-SA"/>
              </w:rPr>
              <w:t>3</w:t>
            </w:r>
            <w:r>
              <w:rPr>
                <w:rFonts w:hint="eastAsia" w:ascii="Times New Roman" w:hAnsi="Times New Roman" w:eastAsia="宋体" w:cs="宋体"/>
                <w:kern w:val="0"/>
                <w:sz w:val="24"/>
                <w:szCs w:val="24"/>
                <w:lang w:val="en-US" w:eastAsia="zh-CN" w:bidi="ar-SA"/>
              </w:rPr>
              <w:t>）</w:t>
            </w:r>
            <w:r>
              <w:rPr>
                <w:rFonts w:hint="eastAsia"/>
                <w:lang w:val="en-US" w:eastAsia="zh-CN"/>
              </w:rPr>
              <w:t>现状监测及评价结果</w:t>
            </w:r>
          </w:p>
          <w:p>
            <w:pPr>
              <w:pStyle w:val="44"/>
              <w:bidi w:val="0"/>
              <w:rPr>
                <w:rFonts w:hint="default"/>
                <w:lang w:val="en-US" w:eastAsia="zh-CN"/>
              </w:rPr>
            </w:pPr>
            <w:r>
              <w:rPr>
                <w:rFonts w:hint="eastAsia"/>
                <w:lang w:val="en-US" w:eastAsia="zh-CN"/>
              </w:rPr>
              <w:t>颗粒物现状监测、评价结果见下表。</w:t>
            </w:r>
          </w:p>
          <w:p>
            <w:pPr>
              <w:pStyle w:val="4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表3-2    TSP现状监测表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621"/>
              <w:gridCol w:w="1547"/>
              <w:gridCol w:w="1141"/>
              <w:gridCol w:w="1125"/>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1077" w:type="pct"/>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监测点位</w:t>
                  </w:r>
                </w:p>
              </w:tc>
              <w:tc>
                <w:tcPr>
                  <w:tcW w:w="1016" w:type="pct"/>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时间</w:t>
                  </w:r>
                </w:p>
              </w:tc>
              <w:tc>
                <w:tcPr>
                  <w:tcW w:w="970" w:type="pct"/>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检测结果</w:t>
                  </w:r>
                  <w:r>
                    <w:rPr>
                      <w:rFonts w:hint="default"/>
                    </w:rPr>
                    <w:t>（</w:t>
                  </w:r>
                  <w:r>
                    <w:rPr>
                      <w:rFonts w:hint="eastAsia"/>
                      <w:lang w:val="en-US" w:eastAsia="zh-CN"/>
                    </w:rPr>
                    <w:t>ug/m</w:t>
                  </w:r>
                  <w:r>
                    <w:rPr>
                      <w:rFonts w:hint="eastAsia"/>
                      <w:vertAlign w:val="superscript"/>
                      <w:lang w:val="en-US" w:eastAsia="zh-CN"/>
                    </w:rPr>
                    <w:t>3</w:t>
                  </w:r>
                  <w:r>
                    <w:rPr>
                      <w:rFonts w:hint="default"/>
                    </w:rPr>
                    <w:t>）</w:t>
                  </w:r>
                </w:p>
              </w:tc>
              <w:tc>
                <w:tcPr>
                  <w:tcW w:w="715" w:type="pct"/>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标准值</w:t>
                  </w:r>
                  <w:r>
                    <w:rPr>
                      <w:rFonts w:hint="eastAsia"/>
                      <w:lang w:eastAsia="zh-CN"/>
                    </w:rPr>
                    <w:t>（</w:t>
                  </w:r>
                  <w:r>
                    <w:rPr>
                      <w:rFonts w:hint="eastAsia"/>
                      <w:lang w:val="en-US" w:eastAsia="zh-CN"/>
                    </w:rPr>
                    <w:t>ug/m</w:t>
                  </w:r>
                  <w:r>
                    <w:rPr>
                      <w:rFonts w:hint="eastAsia"/>
                      <w:vertAlign w:val="superscript"/>
                      <w:lang w:val="en-US" w:eastAsia="zh-CN"/>
                    </w:rPr>
                    <w:t>3</w:t>
                  </w:r>
                  <w:r>
                    <w:rPr>
                      <w:rFonts w:hint="eastAsia"/>
                      <w:lang w:eastAsia="zh-CN"/>
                    </w:rPr>
                    <w:t>）</w:t>
                  </w:r>
                </w:p>
              </w:tc>
              <w:tc>
                <w:tcPr>
                  <w:tcW w:w="705" w:type="pct"/>
                  <w:vAlign w:val="center"/>
                </w:tcPr>
                <w:p>
                  <w:pPr>
                    <w:pStyle w:val="40"/>
                    <w:keepLines w:val="0"/>
                    <w:pageBreakBefore w:val="0"/>
                    <w:kinsoku/>
                    <w:wordWrap/>
                    <w:topLinePunct w:val="0"/>
                    <w:autoSpaceDE/>
                    <w:autoSpaceDN/>
                    <w:bidi w:val="0"/>
                    <w:spacing w:beforeAutospacing="0" w:afterAutospacing="0"/>
                    <w:textAlignment w:val="auto"/>
                    <w:rPr>
                      <w:rFonts w:hint="default"/>
                    </w:rPr>
                  </w:pPr>
                  <w:r>
                    <w:rPr>
                      <w:rFonts w:hint="default"/>
                    </w:rPr>
                    <w:t>浓度占标率（</w:t>
                  </w:r>
                  <w:r>
                    <w:rPr>
                      <w:rFonts w:hint="default"/>
                      <w:lang w:val="en-US" w:eastAsia="zh-CN"/>
                    </w:rPr>
                    <w:t>%</w:t>
                  </w:r>
                  <w:r>
                    <w:rPr>
                      <w:rFonts w:hint="default"/>
                    </w:rPr>
                    <w:t>）</w:t>
                  </w:r>
                </w:p>
              </w:tc>
              <w:tc>
                <w:tcPr>
                  <w:tcW w:w="514" w:type="pct"/>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077" w:type="pct"/>
                  <w:vMerge w:val="restart"/>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经度88.746284，纬度38.988773</w:t>
                  </w:r>
                </w:p>
              </w:tc>
              <w:tc>
                <w:tcPr>
                  <w:tcW w:w="1016" w:type="pct"/>
                  <w:vAlign w:val="center"/>
                </w:tcPr>
                <w:p>
                  <w:pPr>
                    <w:pStyle w:val="60"/>
                    <w:bidi w:val="0"/>
                    <w:rPr>
                      <w:rFonts w:hint="default"/>
                      <w:lang w:val="en-US" w:eastAsia="zh-CN"/>
                    </w:rPr>
                  </w:pPr>
                  <w:r>
                    <w:rPr>
                      <w:rFonts w:hint="eastAsia"/>
                      <w:lang w:val="en-US" w:eastAsia="zh-CN"/>
                    </w:rPr>
                    <w:t>2026.3.10-3.11</w:t>
                  </w:r>
                </w:p>
              </w:tc>
              <w:tc>
                <w:tcPr>
                  <w:tcW w:w="970" w:type="pct"/>
                  <w:vAlign w:val="center"/>
                </w:tcPr>
                <w:p>
                  <w:pPr>
                    <w:pStyle w:val="60"/>
                    <w:bidi w:val="0"/>
                    <w:rPr>
                      <w:rFonts w:hint="default"/>
                      <w:lang w:val="en-US" w:eastAsia="zh-CN"/>
                    </w:rPr>
                  </w:pPr>
                  <w:r>
                    <w:rPr>
                      <w:rFonts w:hint="eastAsia"/>
                      <w:lang w:val="en-US" w:eastAsia="zh-CN"/>
                    </w:rPr>
                    <w:t>221</w:t>
                  </w:r>
                </w:p>
              </w:tc>
              <w:tc>
                <w:tcPr>
                  <w:tcW w:w="715" w:type="pct"/>
                  <w:vMerge w:val="restart"/>
                  <w:vAlign w:val="center"/>
                </w:tcPr>
                <w:p>
                  <w:pPr>
                    <w:pStyle w:val="40"/>
                    <w:bidi w:val="0"/>
                    <w:rPr>
                      <w:rFonts w:hint="default"/>
                      <w:lang w:val="en-US" w:eastAsia="zh-CN"/>
                    </w:rPr>
                  </w:pPr>
                  <w:r>
                    <w:rPr>
                      <w:rFonts w:hint="default" w:ascii="Times New Roman" w:hAnsi="Times New Roman" w:cs="Times New Roman"/>
                      <w:lang w:val="en-US" w:eastAsia="zh-CN"/>
                    </w:rPr>
                    <w:t>300</w:t>
                  </w:r>
                </w:p>
              </w:tc>
              <w:tc>
                <w:tcPr>
                  <w:tcW w:w="705" w:type="pct"/>
                  <w:vAlign w:val="center"/>
                </w:tcPr>
                <w:p>
                  <w:pPr>
                    <w:pStyle w:val="60"/>
                    <w:bidi w:val="0"/>
                    <w:rPr>
                      <w:rFonts w:hint="default"/>
                      <w:lang w:val="en-US" w:eastAsia="zh-CN"/>
                    </w:rPr>
                  </w:pPr>
                  <w:r>
                    <w:rPr>
                      <w:rFonts w:hint="eastAsia"/>
                      <w:lang w:val="en-US" w:eastAsia="zh-CN"/>
                    </w:rPr>
                    <w:t>73.7</w:t>
                  </w:r>
                </w:p>
              </w:tc>
              <w:tc>
                <w:tcPr>
                  <w:tcW w:w="514" w:type="pct"/>
                  <w:vAlign w:val="center"/>
                </w:tcPr>
                <w:p>
                  <w:pPr>
                    <w:pStyle w:val="40"/>
                    <w:bidi w:val="0"/>
                    <w:rPr>
                      <w:rFonts w:hint="default"/>
                      <w:lang w:val="en-US" w:eastAsia="zh-CN"/>
                    </w:rPr>
                  </w:pPr>
                  <w:r>
                    <w:rPr>
                      <w:rFonts w:hint="default" w:ascii="Times New Roman" w:hAnsi="Times New Roman" w:cs="Times New Roman"/>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077" w:type="pct"/>
                  <w:vMerge w:val="continue"/>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p>
              </w:tc>
              <w:tc>
                <w:tcPr>
                  <w:tcW w:w="1016" w:type="pct"/>
                  <w:vAlign w:val="center"/>
                </w:tcPr>
                <w:p>
                  <w:pPr>
                    <w:pStyle w:val="60"/>
                    <w:bidi w:val="0"/>
                    <w:rPr>
                      <w:rFonts w:hint="default"/>
                      <w:lang w:val="en-US" w:eastAsia="zh-CN"/>
                    </w:rPr>
                  </w:pPr>
                  <w:r>
                    <w:rPr>
                      <w:rFonts w:hint="eastAsia"/>
                      <w:lang w:val="en-US" w:eastAsia="zh-CN"/>
                    </w:rPr>
                    <w:t>2026.3.11-3.12</w:t>
                  </w:r>
                </w:p>
              </w:tc>
              <w:tc>
                <w:tcPr>
                  <w:tcW w:w="970" w:type="pct"/>
                  <w:vAlign w:val="center"/>
                </w:tcPr>
                <w:p>
                  <w:pPr>
                    <w:pStyle w:val="60"/>
                    <w:bidi w:val="0"/>
                    <w:rPr>
                      <w:rFonts w:hint="default"/>
                      <w:lang w:val="en-US" w:eastAsia="zh-CN"/>
                    </w:rPr>
                  </w:pPr>
                  <w:r>
                    <w:rPr>
                      <w:rFonts w:hint="eastAsia"/>
                      <w:lang w:val="en-US" w:eastAsia="zh-CN"/>
                    </w:rPr>
                    <w:t>247</w:t>
                  </w:r>
                </w:p>
              </w:tc>
              <w:tc>
                <w:tcPr>
                  <w:tcW w:w="715" w:type="pct"/>
                  <w:vMerge w:val="continue"/>
                  <w:vAlign w:val="center"/>
                </w:tcPr>
                <w:p>
                  <w:pPr>
                    <w:pStyle w:val="40"/>
                    <w:bidi w:val="0"/>
                    <w:rPr>
                      <w:rFonts w:hint="eastAsia"/>
                      <w:lang w:val="en-US" w:eastAsia="zh-CN"/>
                    </w:rPr>
                  </w:pPr>
                </w:p>
              </w:tc>
              <w:tc>
                <w:tcPr>
                  <w:tcW w:w="705" w:type="pct"/>
                  <w:vAlign w:val="center"/>
                </w:tcPr>
                <w:p>
                  <w:pPr>
                    <w:pStyle w:val="60"/>
                    <w:bidi w:val="0"/>
                    <w:rPr>
                      <w:rFonts w:hint="default"/>
                      <w:lang w:val="en-US" w:eastAsia="zh-CN"/>
                    </w:rPr>
                  </w:pPr>
                  <w:r>
                    <w:rPr>
                      <w:rFonts w:hint="eastAsia"/>
                      <w:lang w:val="en-US" w:eastAsia="zh-CN"/>
                    </w:rPr>
                    <w:t>82.3</w:t>
                  </w:r>
                </w:p>
              </w:tc>
              <w:tc>
                <w:tcPr>
                  <w:tcW w:w="514" w:type="pct"/>
                  <w:vAlign w:val="center"/>
                </w:tcPr>
                <w:p>
                  <w:pPr>
                    <w:pStyle w:val="40"/>
                    <w:bidi w:val="0"/>
                    <w:rPr>
                      <w:rFonts w:hint="eastAsia"/>
                      <w:lang w:val="en-US" w:eastAsia="zh-CN"/>
                    </w:rPr>
                  </w:pPr>
                  <w:r>
                    <w:rPr>
                      <w:rFonts w:hint="default" w:ascii="Times New Roman" w:hAnsi="Times New Roman" w:cs="Times New Roman"/>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077" w:type="pct"/>
                  <w:vMerge w:val="continue"/>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p>
              </w:tc>
              <w:tc>
                <w:tcPr>
                  <w:tcW w:w="1016" w:type="pct"/>
                  <w:vAlign w:val="center"/>
                </w:tcPr>
                <w:p>
                  <w:pPr>
                    <w:pStyle w:val="60"/>
                    <w:bidi w:val="0"/>
                    <w:rPr>
                      <w:rFonts w:hint="default"/>
                      <w:lang w:val="en-US" w:eastAsia="zh-CN"/>
                    </w:rPr>
                  </w:pPr>
                  <w:r>
                    <w:rPr>
                      <w:rFonts w:hint="eastAsia"/>
                      <w:lang w:val="en-US" w:eastAsia="zh-CN"/>
                    </w:rPr>
                    <w:t>2026.3.12-3.13</w:t>
                  </w:r>
                </w:p>
              </w:tc>
              <w:tc>
                <w:tcPr>
                  <w:tcW w:w="970" w:type="pct"/>
                  <w:vAlign w:val="center"/>
                </w:tcPr>
                <w:p>
                  <w:pPr>
                    <w:pStyle w:val="60"/>
                    <w:bidi w:val="0"/>
                    <w:rPr>
                      <w:rFonts w:hint="default"/>
                      <w:lang w:val="en-US" w:eastAsia="zh-CN"/>
                    </w:rPr>
                  </w:pPr>
                  <w:r>
                    <w:rPr>
                      <w:rFonts w:hint="eastAsia"/>
                      <w:lang w:val="en-US" w:eastAsia="zh-CN"/>
                    </w:rPr>
                    <w:t>236</w:t>
                  </w:r>
                </w:p>
              </w:tc>
              <w:tc>
                <w:tcPr>
                  <w:tcW w:w="715" w:type="pct"/>
                  <w:vMerge w:val="continue"/>
                  <w:vAlign w:val="center"/>
                </w:tcPr>
                <w:p>
                  <w:pPr>
                    <w:pStyle w:val="40"/>
                    <w:bidi w:val="0"/>
                    <w:rPr>
                      <w:rFonts w:hint="eastAsia"/>
                      <w:lang w:val="en-US" w:eastAsia="zh-CN"/>
                    </w:rPr>
                  </w:pPr>
                </w:p>
              </w:tc>
              <w:tc>
                <w:tcPr>
                  <w:tcW w:w="705" w:type="pct"/>
                  <w:vAlign w:val="center"/>
                </w:tcPr>
                <w:p>
                  <w:pPr>
                    <w:pStyle w:val="60"/>
                    <w:bidi w:val="0"/>
                    <w:rPr>
                      <w:rFonts w:hint="default"/>
                      <w:lang w:val="en-US" w:eastAsia="zh-CN"/>
                    </w:rPr>
                  </w:pPr>
                  <w:r>
                    <w:rPr>
                      <w:rFonts w:hint="eastAsia"/>
                      <w:lang w:val="en-US" w:eastAsia="zh-CN"/>
                    </w:rPr>
                    <w:t>78.7</w:t>
                  </w:r>
                </w:p>
              </w:tc>
              <w:tc>
                <w:tcPr>
                  <w:tcW w:w="514" w:type="pct"/>
                  <w:vAlign w:val="center"/>
                </w:tcPr>
                <w:p>
                  <w:pPr>
                    <w:pStyle w:val="40"/>
                    <w:bidi w:val="0"/>
                    <w:rPr>
                      <w:rFonts w:hint="eastAsia"/>
                      <w:lang w:val="en-US" w:eastAsia="zh-CN"/>
                    </w:rPr>
                  </w:pPr>
                  <w:r>
                    <w:rPr>
                      <w:rFonts w:hint="default" w:ascii="Times New Roman" w:hAnsi="Times New Roman" w:cs="Times New Roman"/>
                      <w:lang w:val="en-US" w:eastAsia="zh-CN"/>
                    </w:rPr>
                    <w:t>达标</w:t>
                  </w:r>
                </w:p>
              </w:tc>
            </w:tr>
          </w:tbl>
          <w:p>
            <w:pPr>
              <w:pStyle w:val="8"/>
              <w:keepLines w:val="0"/>
              <w:pageBreakBefore w:val="0"/>
              <w:kinsoku/>
              <w:wordWrap/>
              <w:topLinePunct w:val="0"/>
              <w:autoSpaceDE/>
              <w:autoSpaceDN/>
              <w:bidi w:val="0"/>
              <w:spacing w:beforeAutospacing="0" w:afterAutospacing="0"/>
              <w:textAlignment w:val="auto"/>
              <w:rPr>
                <w:rFonts w:hint="eastAsia"/>
              </w:rPr>
            </w:pPr>
            <w:r>
              <w:rPr>
                <w:rFonts w:hint="eastAsia"/>
                <w:lang w:val="en-US" w:eastAsia="zh-CN"/>
              </w:rPr>
              <w:t>监测数据分析：评价区大气环境中特征因子TSP未超出</w:t>
            </w:r>
            <w:r>
              <w:rPr>
                <w:rFonts w:hint="default"/>
                <w:lang w:val="en-US" w:eastAsia="zh-CN"/>
              </w:rPr>
              <w:t>《环境空气质量标准》(</w:t>
            </w:r>
            <w:r>
              <w:rPr>
                <w:rFonts w:hint="eastAsia"/>
                <w:lang w:val="en-US" w:eastAsia="zh-CN"/>
              </w:rPr>
              <w:t>GB3095-2026</w:t>
            </w:r>
            <w:r>
              <w:rPr>
                <w:rFonts w:hint="default"/>
                <w:lang w:val="en-US" w:eastAsia="zh-CN"/>
              </w:rPr>
              <w:t>)二级标准限值要求</w:t>
            </w:r>
            <w:r>
              <w:t>。</w:t>
            </w:r>
          </w:p>
          <w:p>
            <w:pPr>
              <w:pStyle w:val="2"/>
              <w:keepLines w:val="0"/>
              <w:pageBreakBefore w:val="0"/>
              <w:kinsoku/>
              <w:wordWrap/>
              <w:topLinePunct w:val="0"/>
              <w:autoSpaceDE/>
              <w:autoSpaceDN/>
              <w:bidi w:val="0"/>
              <w:spacing w:beforeAutospacing="0" w:afterAutospacing="0"/>
              <w:textAlignment w:val="auto"/>
            </w:pPr>
            <w:r>
              <w:rPr>
                <w:rFonts w:hint="eastAsia"/>
                <w:lang w:val="en-US" w:eastAsia="zh-CN"/>
              </w:rPr>
              <w:t>2.地表水</w:t>
            </w:r>
            <w:bookmarkStart w:id="1" w:name="_Toc396385923"/>
            <w:bookmarkStart w:id="2" w:name="_Toc329596219"/>
            <w:r>
              <w:rPr>
                <w:rFonts w:hint="eastAsia"/>
                <w:lang w:val="en-US" w:eastAsia="zh-CN"/>
              </w:rPr>
              <w:t>环境质量现状</w:t>
            </w:r>
            <w:bookmarkEnd w:id="1"/>
            <w:bookmarkEnd w:id="2"/>
          </w:p>
          <w:p>
            <w:pPr>
              <w:pStyle w:val="53"/>
              <w:bidi w:val="0"/>
              <w:rPr>
                <w:rFonts w:hint="eastAsia"/>
                <w:lang w:val="en-US" w:eastAsia="zh-CN"/>
              </w:rPr>
            </w:pPr>
            <w:r>
              <w:rPr>
                <w:rFonts w:hint="default"/>
                <w:lang w:val="en-US" w:eastAsia="zh-CN"/>
              </w:rPr>
              <w:t>项目区最近的地表水体为东侧8.3km处的米兰河。米兰河为若羌县城镇集中式生活饮用水水源地，依据《若羌县2025年第一季度集中式生活饮用水水质状况信息公开》，若羌县城镇集中式饮用水水源取自米兰河水库水源地，采样点位于米兰河上游。2025年第一季度监测结果显示，该饮用水水源地水质、自来水厂出厂水及管网末梢水水质均符合《地表水环境质量标准》（GB3838-2002）Ⅲ类标准要求，各项监测指标均达标，无超标因子</w:t>
            </w:r>
            <w:r>
              <w:rPr>
                <w:rFonts w:hint="eastAsia"/>
                <w:lang w:val="en-US" w:eastAsia="zh-CN"/>
              </w:rPr>
              <w:t>。</w:t>
            </w:r>
          </w:p>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3.声环境质量现状</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根据《建设项目环境影响报告表编制技术指南》（污染影响类）（试行），厂界外周边50m范围内不存在声环境保护目标的建设项目，不需要对声环境质量现状进行监测并评价达标情况。</w:t>
            </w:r>
          </w:p>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4.生态环境质量现状</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本项目土地性质为临时用地，用地范围内无生态环境保护目标，根据《建设项目环境影响报告表编制技术指南（污染影响类）（试行）》可知，本项目可不进行生态现状调查。</w:t>
            </w:r>
          </w:p>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5.地下水、土壤环境质量现状</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根据《建设项目环境影响报告表编制技术指南（污染影响类）（试行）》，存在土壤、地下水环境污染途径的需开展地下水环境、土壤质量现状调查。本项目不存在土壤、地下水环境污染途径，无需开展地下水环境、土壤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环境</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保护</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目标</w:t>
            </w:r>
          </w:p>
        </w:tc>
        <w:tc>
          <w:tcPr>
            <w:tcW w:w="8190" w:type="dxa"/>
            <w:noWrap w:val="0"/>
            <w:vAlign w:val="top"/>
          </w:tcPr>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1.大气环境保护目标</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根据《建设项目环境影响报告表编制技术指南（污染影响类）（试行）》指南要求，本项目厂界外500m范围内无自然保护区、风景名胜区、居住区、文化区和农村地区中人群较集中的区域等保护目标。</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2.声环境保护目标</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项目厂界外50m范围内无声环境保护目标。</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3.地下水环境保护目标</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项目厂界外500m范围内无地下水集中式饮用水水源和热水、矿泉水、温泉等特殊地下水资源。</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4.生态环境保护目标</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项目用地范围内无生态环境保护目标。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18" w:hRule="atLeast"/>
          <w:jc w:val="center"/>
        </w:trPr>
        <w:tc>
          <w:tcPr>
            <w:tcW w:w="800" w:type="dxa"/>
            <w:noWrap w:val="0"/>
            <w:tcMar>
              <w:left w:w="28" w:type="dxa"/>
              <w:right w:w="28" w:type="dxa"/>
            </w:tcMar>
            <w:vAlign w:val="center"/>
          </w:tcPr>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污染</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物排</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放控</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制标</w:t>
            </w:r>
          </w:p>
          <w:p>
            <w:pPr>
              <w:keepLines w:val="0"/>
              <w:pageBreakBefore w:val="0"/>
              <w:kinsoku/>
              <w:wordWrap/>
              <w:topLinePunct w:val="0"/>
              <w:autoSpaceDE/>
              <w:autoSpaceDN/>
              <w:bidi w:val="0"/>
              <w:adjustRightInd w:val="0"/>
              <w:snapToGrid w:val="0"/>
              <w:spacing w:beforeAutospacing="0" w:afterAutospacing="0"/>
              <w:jc w:val="center"/>
              <w:textAlignment w:val="auto"/>
              <w:rPr>
                <w:rFonts w:ascii="宋体" w:hAnsi="宋体" w:cs="宋体"/>
                <w:kern w:val="0"/>
                <w:szCs w:val="21"/>
              </w:rPr>
            </w:pPr>
            <w:r>
              <w:rPr>
                <w:rFonts w:hint="eastAsia" w:ascii="宋体" w:hAnsi="宋体" w:cs="宋体"/>
                <w:kern w:val="0"/>
                <w:szCs w:val="21"/>
              </w:rPr>
              <w:t>准</w:t>
            </w:r>
          </w:p>
        </w:tc>
        <w:tc>
          <w:tcPr>
            <w:tcW w:w="8190" w:type="dxa"/>
            <w:noWrap w:val="0"/>
            <w:vAlign w:val="top"/>
          </w:tcPr>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1.废气</w:t>
            </w:r>
          </w:p>
          <w:p>
            <w:pPr>
              <w:pStyle w:val="8"/>
              <w:keepLines w:val="0"/>
              <w:pageBreakBefore w:val="0"/>
              <w:kinsoku/>
              <w:wordWrap/>
              <w:topLinePunct w:val="0"/>
              <w:autoSpaceDE/>
              <w:autoSpaceDN/>
              <w:bidi w:val="0"/>
              <w:spacing w:beforeAutospacing="0" w:afterAutospacing="0"/>
              <w:textAlignment w:val="auto"/>
            </w:pPr>
            <w:r>
              <w:rPr>
                <w:rFonts w:hint="eastAsia"/>
                <w:lang w:val="en-US" w:eastAsia="zh-CN"/>
              </w:rPr>
              <w:t>施工期扬尘执行《大气污染物综合排放标准》（GB16297-1996）颗粒物厂区周边浓度限值；运营期</w:t>
            </w:r>
            <w:r>
              <w:rPr>
                <w:rFonts w:hint="eastAsia"/>
                <w:lang w:eastAsia="zh-CN"/>
              </w:rPr>
              <w:t>颗粒物有组织</w:t>
            </w:r>
            <w:r>
              <w:rPr>
                <w:rFonts w:hint="eastAsia"/>
                <w:lang w:val="en-US" w:eastAsia="zh-CN"/>
              </w:rPr>
              <w:t>排放</w:t>
            </w:r>
            <w:r>
              <w:rPr>
                <w:rFonts w:hint="eastAsia"/>
              </w:rPr>
              <w:t>执行《水泥工业大气污染物排放标准》（含2025年修改单）（GB4915-2013）表</w:t>
            </w:r>
            <w:r>
              <w:rPr>
                <w:rFonts w:hint="eastAsia"/>
                <w:lang w:val="en-US" w:eastAsia="zh-CN"/>
              </w:rPr>
              <w:t>1</w:t>
            </w:r>
            <w:r>
              <w:rPr>
                <w:rFonts w:hint="eastAsia"/>
              </w:rPr>
              <w:t>水泥制品中大气污染物排放限值；颗粒物无组织排放执行《水泥工业大气污染物排放标准》（含2025年修改单）（GB4915-2013）表3标准</w:t>
            </w:r>
            <w:r>
              <w:rPr>
                <w:rFonts w:hint="eastAsia"/>
                <w:lang w:val="en-US" w:eastAsia="zh-CN"/>
              </w:rPr>
              <w:t>；食堂油烟废气执行《饮食业油烟排放标准（试行）》（GB18483-2001）浓度限值</w:t>
            </w:r>
            <w:r>
              <w:rPr>
                <w:rFonts w:hint="eastAsia"/>
              </w:rPr>
              <w:t>。</w:t>
            </w:r>
          </w:p>
          <w:p>
            <w:pPr>
              <w:pStyle w:val="42"/>
              <w:keepLines w:val="0"/>
              <w:pageBreakBefore w:val="0"/>
              <w:kinsoku/>
              <w:wordWrap/>
              <w:topLinePunct w:val="0"/>
              <w:autoSpaceDE/>
              <w:autoSpaceDN/>
              <w:bidi w:val="0"/>
              <w:spacing w:beforeAutospacing="0" w:afterAutospacing="0"/>
              <w:textAlignment w:val="auto"/>
            </w:pPr>
            <w:r>
              <w:t>表</w:t>
            </w:r>
            <w:r>
              <w:rPr>
                <w:rFonts w:hint="eastAsia"/>
              </w:rPr>
              <w:t>3-</w:t>
            </w:r>
            <w:r>
              <w:rPr>
                <w:rFonts w:hint="eastAsia"/>
                <w:lang w:val="en-US" w:eastAsia="zh-CN"/>
              </w:rPr>
              <w:t>3</w:t>
            </w:r>
            <w:r>
              <w:rPr>
                <w:rFonts w:hint="eastAsia"/>
              </w:rPr>
              <w:t xml:space="preserve">    大气污染物最高允许</w:t>
            </w:r>
            <w:r>
              <w:rPr>
                <w:rFonts w:hint="eastAsia"/>
                <w:lang w:eastAsia="zh-CN"/>
              </w:rPr>
              <w:t>排放</w:t>
            </w:r>
            <w:r>
              <w:rPr>
                <w:rFonts w:hint="eastAsia"/>
              </w:rPr>
              <w:t>浓度</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0"/>
              <w:gridCol w:w="912"/>
              <w:gridCol w:w="850"/>
              <w:gridCol w:w="2323"/>
              <w:gridCol w:w="285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60"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val="en-US" w:eastAsia="zh-CN"/>
                    </w:rPr>
                    <w:t>污染物</w:t>
                  </w:r>
                </w:p>
              </w:tc>
              <w:tc>
                <w:tcPr>
                  <w:tcW w:w="912"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rPr>
                    <w:t>排放方式</w:t>
                  </w:r>
                </w:p>
              </w:tc>
              <w:tc>
                <w:tcPr>
                  <w:tcW w:w="3173" w:type="dxa"/>
                  <w:gridSpan w:val="2"/>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val="en-US" w:eastAsia="zh-CN"/>
                    </w:rPr>
                    <w:t>最高允许排放浓度</w:t>
                  </w:r>
                  <w:r>
                    <w:rPr>
                      <w:rFonts w:hint="eastAsia"/>
                      <w:lang w:eastAsia="zh-CN"/>
                    </w:rPr>
                    <w:t>（</w:t>
                  </w:r>
                  <w:r>
                    <w:t>mg/m</w:t>
                  </w:r>
                  <w:r>
                    <w:rPr>
                      <w:vertAlign w:val="superscript"/>
                    </w:rPr>
                    <w:t>3</w:t>
                  </w:r>
                  <w:r>
                    <w:rPr>
                      <w:rFonts w:hint="eastAsia"/>
                      <w:lang w:eastAsia="zh-CN"/>
                    </w:rPr>
                    <w:t>）</w:t>
                  </w:r>
                </w:p>
              </w:tc>
              <w:tc>
                <w:tcPr>
                  <w:tcW w:w="2855"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rPr>
                    <w:t>执行标准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60"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val="en-US" w:eastAsia="zh-CN"/>
                    </w:rPr>
                    <w:t>颗粒物</w:t>
                  </w:r>
                </w:p>
              </w:tc>
              <w:tc>
                <w:tcPr>
                  <w:tcW w:w="912"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val="en-US" w:eastAsia="zh-CN"/>
                    </w:rPr>
                    <w:t>施工扬尘</w:t>
                  </w:r>
                </w:p>
              </w:tc>
              <w:tc>
                <w:tcPr>
                  <w:tcW w:w="3173" w:type="dxa"/>
                  <w:gridSpan w:val="2"/>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val="en-US" w:eastAsia="zh-CN"/>
                    </w:rPr>
                    <w:t>1</w:t>
                  </w:r>
                </w:p>
              </w:tc>
              <w:tc>
                <w:tcPr>
                  <w:tcW w:w="2855"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val="en-US" w:eastAsia="zh-CN"/>
                    </w:rPr>
                    <w:t>《大气污染物综合排放标准》（GB 16297-1996）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60" w:type="dxa"/>
                  <w:vMerge w:val="restart"/>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rPr>
                    <w:t>颗粒物</w:t>
                  </w:r>
                </w:p>
              </w:tc>
              <w:tc>
                <w:tcPr>
                  <w:tcW w:w="912"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rPr>
                    <w:t>有组织</w:t>
                  </w:r>
                </w:p>
              </w:tc>
              <w:tc>
                <w:tcPr>
                  <w:tcW w:w="3173" w:type="dxa"/>
                  <w:gridSpan w:val="2"/>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rPr>
                  </w:pPr>
                  <w:r>
                    <w:rPr>
                      <w:rFonts w:hint="eastAsia"/>
                      <w:lang w:val="en-US" w:eastAsia="zh-CN"/>
                    </w:rPr>
                    <w:t>20</w:t>
                  </w:r>
                </w:p>
              </w:tc>
              <w:tc>
                <w:tcPr>
                  <w:tcW w:w="2855"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eastAsia="宋体"/>
                      <w:lang w:eastAsia="zh-CN"/>
                    </w:rPr>
                  </w:pPr>
                  <w:r>
                    <w:rPr>
                      <w:rFonts w:hint="eastAsia"/>
                    </w:rPr>
                    <w:t>《水泥工业大气污染物排放标准》（含2025年修改单）（GB</w:t>
                  </w:r>
                  <w:r>
                    <w:rPr>
                      <w:rFonts w:hint="eastAsia"/>
                      <w:lang w:val="en-US" w:eastAsia="zh-CN"/>
                    </w:rPr>
                    <w:t xml:space="preserve"> </w:t>
                  </w:r>
                  <w:r>
                    <w:rPr>
                      <w:rFonts w:hint="eastAsia"/>
                    </w:rPr>
                    <w:t>4915-2013）表</w:t>
                  </w:r>
                  <w:r>
                    <w:rPr>
                      <w:rFonts w:hint="eastAsia"/>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860" w:type="dxa"/>
                  <w:vMerge w:val="continue"/>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p>
              </w:tc>
              <w:tc>
                <w:tcPr>
                  <w:tcW w:w="912"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rPr>
                    <w:t>无组织</w:t>
                  </w:r>
                </w:p>
              </w:tc>
              <w:tc>
                <w:tcPr>
                  <w:tcW w:w="850" w:type="dxa"/>
                  <w:tcBorders>
                    <w:bottom w:val="single" w:color="auto" w:sz="4" w:space="0"/>
                    <w:right w:val="single" w:color="auto" w:sz="4" w:space="0"/>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default" w:eastAsia="宋体"/>
                      <w:lang w:val="en-US" w:eastAsia="zh-CN"/>
                    </w:rPr>
                  </w:pPr>
                  <w:r>
                    <w:rPr>
                      <w:rFonts w:hint="eastAsia"/>
                      <w:lang w:val="en-US" w:eastAsia="zh-CN"/>
                    </w:rPr>
                    <w:t>营运期</w:t>
                  </w:r>
                </w:p>
              </w:tc>
              <w:tc>
                <w:tcPr>
                  <w:tcW w:w="2323" w:type="dxa"/>
                  <w:tcBorders>
                    <w:left w:val="single" w:color="auto" w:sz="4" w:space="0"/>
                    <w:bottom w:val="single" w:color="auto" w:sz="4" w:space="0"/>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pPr>
                  <w:r>
                    <w:t>0.5</w:t>
                  </w:r>
                  <w:r>
                    <w:rPr>
                      <w:rFonts w:hint="eastAsia"/>
                      <w:lang w:eastAsia="zh-CN"/>
                    </w:rPr>
                    <w:t>（</w:t>
                  </w:r>
                  <w:r>
                    <w:rPr>
                      <w:rFonts w:hint="eastAsia"/>
                      <w:lang w:val="en-US" w:eastAsia="zh-CN"/>
                    </w:rPr>
                    <w:t>监测点与参照点总悬浮颗粒物（TSP）1小时浓度值的差值</w:t>
                  </w:r>
                  <w:r>
                    <w:rPr>
                      <w:rFonts w:hint="eastAsia"/>
                      <w:lang w:eastAsia="zh-CN"/>
                    </w:rPr>
                    <w:t>）</w:t>
                  </w:r>
                </w:p>
              </w:tc>
              <w:tc>
                <w:tcPr>
                  <w:tcW w:w="2855" w:type="dxa"/>
                  <w:tcBorders>
                    <w:bottom w:val="single" w:color="auto" w:sz="4" w:space="0"/>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rPr>
                    <w:t>《水泥工业大气污染物排放标准》（含2025年修改单）（GB</w:t>
                  </w:r>
                  <w:r>
                    <w:rPr>
                      <w:rFonts w:hint="eastAsia"/>
                      <w:lang w:val="en-US" w:eastAsia="zh-CN"/>
                    </w:rPr>
                    <w:t xml:space="preserve"> </w:t>
                  </w:r>
                  <w:r>
                    <w:rPr>
                      <w:rFonts w:hint="eastAsia"/>
                    </w:rPr>
                    <w:t>4915-2013）表3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60"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val="en-US" w:eastAsia="zh-CN"/>
                    </w:rPr>
                    <w:t>食堂油烟废气</w:t>
                  </w:r>
                </w:p>
              </w:tc>
              <w:tc>
                <w:tcPr>
                  <w:tcW w:w="912"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rPr>
                    <w:t>有组织</w:t>
                  </w:r>
                </w:p>
              </w:tc>
              <w:tc>
                <w:tcPr>
                  <w:tcW w:w="3173" w:type="dxa"/>
                  <w:gridSpan w:val="2"/>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eastAsia="宋体"/>
                      <w:lang w:val="en-US" w:eastAsia="zh-CN"/>
                    </w:rPr>
                  </w:pPr>
                  <w:r>
                    <w:rPr>
                      <w:rFonts w:hint="eastAsia"/>
                      <w:lang w:val="en-US" w:eastAsia="zh-CN"/>
                    </w:rPr>
                    <w:t>2</w:t>
                  </w:r>
                  <w:r>
                    <w:rPr>
                      <w:rFonts w:hint="eastAsia"/>
                      <w:lang w:eastAsia="zh-CN"/>
                    </w:rPr>
                    <w:t>（</w:t>
                  </w:r>
                  <w:r>
                    <w:rPr>
                      <w:rFonts w:hint="eastAsia"/>
                      <w:lang w:val="en-US" w:eastAsia="zh-CN"/>
                    </w:rPr>
                    <w:t>最低去除效率60%</w:t>
                  </w:r>
                  <w:r>
                    <w:rPr>
                      <w:rFonts w:hint="eastAsia"/>
                      <w:lang w:eastAsia="zh-CN"/>
                    </w:rPr>
                    <w:t>）</w:t>
                  </w:r>
                </w:p>
              </w:tc>
              <w:tc>
                <w:tcPr>
                  <w:tcW w:w="2855" w:type="dxa"/>
                  <w:tcBorders>
                    <w:tl2br w:val="nil"/>
                    <w:tr2bl w:val="nil"/>
                  </w:tcBorders>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rPr>
                  </w:pPr>
                  <w:r>
                    <w:rPr>
                      <w:rFonts w:hint="eastAsia"/>
                      <w:lang w:val="en-US" w:eastAsia="zh-CN"/>
                    </w:rPr>
                    <w:t>《饮食业油烟排放标准（试行）》（GB 18483-2001）</w:t>
                  </w:r>
                </w:p>
              </w:tc>
            </w:tr>
          </w:tbl>
          <w:p>
            <w:pPr>
              <w:pStyle w:val="2"/>
              <w:keepLines w:val="0"/>
              <w:pageBreakBefore w:val="0"/>
              <w:numPr>
                <w:ilvl w:val="0"/>
                <w:numId w:val="0"/>
              </w:numPr>
              <w:kinsoku/>
              <w:wordWrap/>
              <w:topLinePunct w:val="0"/>
              <w:autoSpaceDE/>
              <w:autoSpaceDN/>
              <w:bidi w:val="0"/>
              <w:spacing w:beforeAutospacing="0" w:afterAutospacing="0"/>
              <w:ind w:leftChars="0"/>
              <w:textAlignment w:val="auto"/>
              <w:rPr>
                <w:rFonts w:hint="eastAsia"/>
                <w:lang w:val="en-US" w:eastAsia="zh-CN"/>
              </w:rPr>
            </w:pPr>
            <w:r>
              <w:rPr>
                <w:rFonts w:hint="eastAsia"/>
                <w:lang w:val="en-US" w:eastAsia="zh-CN"/>
              </w:rPr>
              <w:t>2.废水</w:t>
            </w:r>
          </w:p>
          <w:p>
            <w:pPr>
              <w:keepNext w:val="0"/>
              <w:keepLines w:val="0"/>
              <w:pageBreakBefore w:val="0"/>
              <w:kinsoku/>
              <w:wordWrap/>
              <w:overflowPunct/>
              <w:topLinePunct w:val="0"/>
              <w:autoSpaceDE/>
              <w:autoSpaceDN/>
              <w:bidi w:val="0"/>
              <w:spacing w:line="520" w:lineRule="exact"/>
              <w:ind w:firstLine="480" w:firstLineChars="200"/>
              <w:contextualSpacing/>
              <w:textAlignment w:val="auto"/>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本项目</w:t>
            </w:r>
            <w:r>
              <w:rPr>
                <w:rFonts w:hint="eastAsia" w:cs="Times New Roman"/>
                <w:color w:val="000000"/>
                <w:kern w:val="0"/>
                <w:sz w:val="24"/>
                <w:szCs w:val="24"/>
                <w:lang w:val="en-US" w:eastAsia="zh-CN"/>
              </w:rPr>
              <w:t>生活污水经化粪池预处理后拉运至若羌县城乡污水处理厂进行集中处理，生活污水排放标准执行《污水综合排放标准》（GB8978-1996）三级标准。</w:t>
            </w:r>
          </w:p>
          <w:p>
            <w:pPr>
              <w:pStyle w:val="42"/>
              <w:bidi w:val="0"/>
              <w:rPr>
                <w:rFonts w:hint="eastAsia" w:ascii="Times New Roman" w:hAnsi="Times New Roman" w:cs="Times New Roman"/>
                <w:vertAlign w:val="superscript"/>
                <w:lang w:val="en-US" w:eastAsia="zh-CN"/>
              </w:rPr>
            </w:pPr>
            <w:r>
              <w:rPr>
                <w:rFonts w:hint="default" w:ascii="Times New Roman" w:hAnsi="Times New Roman" w:cs="Times New Roman"/>
                <w:lang w:val="en-US" w:eastAsia="zh-CN"/>
              </w:rPr>
              <w:t>表3-</w:t>
            </w:r>
            <w:r>
              <w:rPr>
                <w:rFonts w:hint="eastAsia" w:cs="Times New Roman"/>
                <w:lang w:val="en-US" w:eastAsia="zh-CN"/>
              </w:rPr>
              <w:t>4</w:t>
            </w:r>
            <w:r>
              <w:rPr>
                <w:rFonts w:hint="eastAsia" w:ascii="Times New Roman" w:hAnsi="Times New Roman" w:cs="Times New Roman"/>
                <w:lang w:val="en-US" w:eastAsia="zh-CN"/>
              </w:rPr>
              <w:t xml:space="preserve">   运营期污水</w:t>
            </w:r>
            <w:r>
              <w:rPr>
                <w:rFonts w:hint="default" w:ascii="Times New Roman" w:hAnsi="Times New Roman" w:cs="Times New Roman"/>
                <w:lang w:val="en-US" w:eastAsia="zh-CN"/>
              </w:rPr>
              <w:t>排放标准</w:t>
            </w:r>
            <w:r>
              <w:rPr>
                <w:rFonts w:hint="eastAsia" w:ascii="Times New Roman" w:hAnsi="Times New Roman" w:cs="Times New Roman"/>
                <w:lang w:val="en-US" w:eastAsia="zh-CN"/>
              </w:rPr>
              <w:t xml:space="preserve">   单位：mg/m</w:t>
            </w:r>
            <w:r>
              <w:rPr>
                <w:rFonts w:hint="eastAsia" w:ascii="Times New Roman" w:hAnsi="Times New Roman" w:cs="Times New Roman"/>
                <w:vertAlign w:val="superscript"/>
                <w:lang w:val="en-US" w:eastAsia="zh-CN"/>
              </w:rPr>
              <w:t>3</w:t>
            </w:r>
          </w:p>
          <w:tbl>
            <w:tblPr>
              <w:tblStyle w:val="23"/>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8"/>
              <w:gridCol w:w="2657"/>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8" w:type="dxa"/>
                  <w:vAlign w:val="center"/>
                </w:tcPr>
                <w:p>
                  <w:pPr>
                    <w:pStyle w:val="40"/>
                    <w:bidi w:val="0"/>
                    <w:jc w:val="center"/>
                    <w:rPr>
                      <w:rFonts w:hint="eastAsia"/>
                      <w:lang w:val="en-US" w:eastAsia="zh-CN"/>
                    </w:rPr>
                  </w:pPr>
                  <w:r>
                    <w:rPr>
                      <w:rFonts w:hint="eastAsia"/>
                      <w:lang w:val="en-US" w:eastAsia="zh-CN"/>
                    </w:rPr>
                    <w:t>污染物</w:t>
                  </w:r>
                </w:p>
              </w:tc>
              <w:tc>
                <w:tcPr>
                  <w:tcW w:w="2657" w:type="dxa"/>
                  <w:vAlign w:val="center"/>
                </w:tcPr>
                <w:p>
                  <w:pPr>
                    <w:pStyle w:val="40"/>
                    <w:bidi w:val="0"/>
                    <w:jc w:val="center"/>
                    <w:rPr>
                      <w:rFonts w:hint="eastAsia"/>
                      <w:lang w:val="en-US" w:eastAsia="zh-CN"/>
                    </w:rPr>
                  </w:pPr>
                  <w:r>
                    <w:rPr>
                      <w:rFonts w:hint="eastAsia"/>
                      <w:lang w:val="en-US" w:eastAsia="zh-CN"/>
                    </w:rPr>
                    <w:t>限值</w:t>
                  </w:r>
                </w:p>
              </w:tc>
              <w:tc>
                <w:tcPr>
                  <w:tcW w:w="2659" w:type="dxa"/>
                  <w:vAlign w:val="center"/>
                </w:tcPr>
                <w:p>
                  <w:pPr>
                    <w:pStyle w:val="40"/>
                    <w:bidi w:val="0"/>
                    <w:jc w:val="center"/>
                    <w:rPr>
                      <w:rFonts w:hint="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658" w:type="dxa"/>
                  <w:shd w:val="clear" w:color="auto" w:fill="auto"/>
                  <w:vAlign w:val="center"/>
                </w:tcPr>
                <w:p>
                  <w:pPr>
                    <w:pStyle w:val="40"/>
                    <w:bidi w:val="0"/>
                    <w:jc w:val="center"/>
                    <w:rPr>
                      <w:rFonts w:hint="eastAsia"/>
                      <w:lang w:val="en-US" w:eastAsia="zh-CN"/>
                    </w:rPr>
                  </w:pPr>
                  <w:r>
                    <w:rPr>
                      <w:rFonts w:hint="eastAsia"/>
                      <w:lang w:val="en-US" w:eastAsia="zh-CN"/>
                    </w:rPr>
                    <w:t>COD</w:t>
                  </w:r>
                </w:p>
              </w:tc>
              <w:tc>
                <w:tcPr>
                  <w:tcW w:w="2657" w:type="dxa"/>
                  <w:vAlign w:val="center"/>
                </w:tcPr>
                <w:p>
                  <w:pPr>
                    <w:pStyle w:val="40"/>
                    <w:bidi w:val="0"/>
                    <w:jc w:val="center"/>
                    <w:rPr>
                      <w:rFonts w:hint="default"/>
                      <w:lang w:val="en-US" w:eastAsia="zh-CN"/>
                    </w:rPr>
                  </w:pPr>
                  <w:r>
                    <w:rPr>
                      <w:rFonts w:hint="eastAsia"/>
                      <w:lang w:val="en-US" w:eastAsia="zh-CN"/>
                    </w:rPr>
                    <w:t>500</w:t>
                  </w:r>
                </w:p>
              </w:tc>
              <w:tc>
                <w:tcPr>
                  <w:tcW w:w="2659" w:type="dxa"/>
                  <w:vMerge w:val="restart"/>
                  <w:vAlign w:val="center"/>
                </w:tcPr>
                <w:p>
                  <w:pPr>
                    <w:pStyle w:val="40"/>
                    <w:bidi w:val="0"/>
                    <w:jc w:val="center"/>
                    <w:rPr>
                      <w:rFonts w:hint="eastAsia"/>
                      <w:lang w:val="en-US" w:eastAsia="zh-CN"/>
                    </w:rPr>
                  </w:pPr>
                  <w:r>
                    <w:rPr>
                      <w:rFonts w:hint="default"/>
                      <w:lang w:val="en-US" w:eastAsia="zh-CN"/>
                    </w:rPr>
                    <w:t>《污水综合排放标准》（GB8978-1996）</w:t>
                  </w:r>
                  <w:r>
                    <w:rPr>
                      <w:rFonts w:hint="eastAsia"/>
                      <w:lang w:val="en-US" w:eastAsia="zh-CN"/>
                    </w:rPr>
                    <w:t>三</w:t>
                  </w:r>
                  <w:r>
                    <w:rPr>
                      <w:rFonts w:hint="default"/>
                      <w:lang w:val="en-US" w:eastAsia="zh-CN"/>
                    </w:rPr>
                    <w:t>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58" w:type="dxa"/>
                  <w:shd w:val="clear" w:color="auto" w:fill="auto"/>
                  <w:vAlign w:val="center"/>
                </w:tcPr>
                <w:p>
                  <w:pPr>
                    <w:pStyle w:val="40"/>
                    <w:bidi w:val="0"/>
                    <w:jc w:val="center"/>
                    <w:rPr>
                      <w:rFonts w:hint="eastAsia"/>
                      <w:lang w:val="en-US" w:eastAsia="zh-CN"/>
                    </w:rPr>
                  </w:pPr>
                  <w:r>
                    <w:rPr>
                      <w:rFonts w:hint="eastAsia"/>
                      <w:lang w:val="en-US" w:eastAsia="zh-CN"/>
                    </w:rPr>
                    <w:t>BOD</w:t>
                  </w:r>
                  <w:r>
                    <w:rPr>
                      <w:rFonts w:hint="eastAsia"/>
                      <w:vertAlign w:val="subscript"/>
                      <w:lang w:val="en-US" w:eastAsia="zh-CN"/>
                    </w:rPr>
                    <w:t>5</w:t>
                  </w:r>
                </w:p>
              </w:tc>
              <w:tc>
                <w:tcPr>
                  <w:tcW w:w="2657" w:type="dxa"/>
                  <w:vAlign w:val="center"/>
                </w:tcPr>
                <w:p>
                  <w:pPr>
                    <w:pStyle w:val="40"/>
                    <w:bidi w:val="0"/>
                    <w:jc w:val="center"/>
                    <w:rPr>
                      <w:rFonts w:hint="default"/>
                      <w:lang w:val="en-US" w:eastAsia="zh-CN"/>
                    </w:rPr>
                  </w:pPr>
                  <w:r>
                    <w:rPr>
                      <w:rFonts w:hint="eastAsia"/>
                      <w:lang w:val="en-US" w:eastAsia="zh-CN"/>
                    </w:rPr>
                    <w:t>300</w:t>
                  </w:r>
                </w:p>
              </w:tc>
              <w:tc>
                <w:tcPr>
                  <w:tcW w:w="2659" w:type="dxa"/>
                  <w:vMerge w:val="continue"/>
                  <w:vAlign w:val="center"/>
                </w:tcPr>
                <w:p>
                  <w:pPr>
                    <w:pStyle w:val="40"/>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8" w:type="dxa"/>
                  <w:shd w:val="clear" w:color="auto" w:fill="auto"/>
                  <w:vAlign w:val="center"/>
                </w:tcPr>
                <w:p>
                  <w:pPr>
                    <w:pStyle w:val="40"/>
                    <w:bidi w:val="0"/>
                    <w:jc w:val="center"/>
                    <w:rPr>
                      <w:rFonts w:hint="eastAsia"/>
                      <w:lang w:val="en-US" w:eastAsia="zh-CN"/>
                    </w:rPr>
                  </w:pPr>
                  <w:r>
                    <w:rPr>
                      <w:rFonts w:hint="eastAsia"/>
                      <w:lang w:val="en-US" w:eastAsia="zh-CN"/>
                    </w:rPr>
                    <w:t>SS</w:t>
                  </w:r>
                </w:p>
              </w:tc>
              <w:tc>
                <w:tcPr>
                  <w:tcW w:w="2657" w:type="dxa"/>
                  <w:vAlign w:val="center"/>
                </w:tcPr>
                <w:p>
                  <w:pPr>
                    <w:pStyle w:val="40"/>
                    <w:bidi w:val="0"/>
                    <w:jc w:val="center"/>
                    <w:rPr>
                      <w:rFonts w:hint="default"/>
                      <w:lang w:val="en-US" w:eastAsia="zh-CN"/>
                    </w:rPr>
                  </w:pPr>
                  <w:r>
                    <w:rPr>
                      <w:rFonts w:hint="eastAsia"/>
                      <w:lang w:val="en-US" w:eastAsia="zh-CN"/>
                    </w:rPr>
                    <w:t>400</w:t>
                  </w:r>
                </w:p>
              </w:tc>
              <w:tc>
                <w:tcPr>
                  <w:tcW w:w="2659" w:type="dxa"/>
                  <w:vMerge w:val="continue"/>
                  <w:vAlign w:val="center"/>
                </w:tcPr>
                <w:p>
                  <w:pPr>
                    <w:pStyle w:val="40"/>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8" w:type="dxa"/>
                  <w:shd w:val="clear" w:color="auto" w:fill="auto"/>
                  <w:vAlign w:val="center"/>
                </w:tcPr>
                <w:p>
                  <w:pPr>
                    <w:pStyle w:val="40"/>
                    <w:bidi w:val="0"/>
                    <w:jc w:val="center"/>
                    <w:rPr>
                      <w:rFonts w:hint="eastAsia"/>
                      <w:lang w:val="en-US" w:eastAsia="zh-CN"/>
                    </w:rPr>
                  </w:pPr>
                  <w:r>
                    <w:rPr>
                      <w:rFonts w:hint="eastAsia"/>
                      <w:lang w:val="en-US" w:eastAsia="zh-CN"/>
                    </w:rPr>
                    <w:t>氨氮</w:t>
                  </w:r>
                </w:p>
              </w:tc>
              <w:tc>
                <w:tcPr>
                  <w:tcW w:w="2657" w:type="dxa"/>
                  <w:vAlign w:val="center"/>
                </w:tcPr>
                <w:p>
                  <w:pPr>
                    <w:pStyle w:val="40"/>
                    <w:bidi w:val="0"/>
                    <w:jc w:val="center"/>
                    <w:rPr>
                      <w:rFonts w:hint="default"/>
                      <w:lang w:val="en-US" w:eastAsia="zh-CN"/>
                    </w:rPr>
                  </w:pPr>
                  <w:r>
                    <w:rPr>
                      <w:rFonts w:hint="eastAsia"/>
                      <w:lang w:val="en-US" w:eastAsia="zh-CN"/>
                    </w:rPr>
                    <w:t>/</w:t>
                  </w:r>
                </w:p>
              </w:tc>
              <w:tc>
                <w:tcPr>
                  <w:tcW w:w="2659" w:type="dxa"/>
                  <w:vMerge w:val="continue"/>
                  <w:vAlign w:val="center"/>
                </w:tcPr>
                <w:p>
                  <w:pPr>
                    <w:pStyle w:val="40"/>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658" w:type="dxa"/>
                  <w:vAlign w:val="center"/>
                </w:tcPr>
                <w:p>
                  <w:pPr>
                    <w:pStyle w:val="40"/>
                    <w:bidi w:val="0"/>
                    <w:jc w:val="center"/>
                    <w:rPr>
                      <w:rFonts w:hint="eastAsia"/>
                      <w:lang w:val="en-US" w:eastAsia="zh-CN"/>
                    </w:rPr>
                  </w:pPr>
                  <w:r>
                    <w:rPr>
                      <w:rFonts w:hint="eastAsia"/>
                      <w:lang w:val="en-US" w:eastAsia="zh-CN"/>
                    </w:rPr>
                    <w:t>动植物油</w:t>
                  </w:r>
                </w:p>
              </w:tc>
              <w:tc>
                <w:tcPr>
                  <w:tcW w:w="2657" w:type="dxa"/>
                  <w:vAlign w:val="center"/>
                </w:tcPr>
                <w:p>
                  <w:pPr>
                    <w:pStyle w:val="40"/>
                    <w:bidi w:val="0"/>
                    <w:jc w:val="center"/>
                    <w:rPr>
                      <w:rFonts w:hint="default"/>
                      <w:lang w:val="en-US" w:eastAsia="zh-CN"/>
                    </w:rPr>
                  </w:pPr>
                  <w:r>
                    <w:rPr>
                      <w:rFonts w:hint="eastAsia"/>
                      <w:lang w:val="en-US" w:eastAsia="zh-CN"/>
                    </w:rPr>
                    <w:t>100</w:t>
                  </w:r>
                </w:p>
              </w:tc>
              <w:tc>
                <w:tcPr>
                  <w:tcW w:w="2659" w:type="dxa"/>
                  <w:vMerge w:val="continue"/>
                  <w:vAlign w:val="center"/>
                </w:tcPr>
                <w:p>
                  <w:pPr>
                    <w:pStyle w:val="40"/>
                    <w:bidi w:val="0"/>
                    <w:jc w:val="center"/>
                    <w:rPr>
                      <w:rFonts w:hint="eastAsia"/>
                      <w:lang w:val="en-US" w:eastAsia="zh-CN"/>
                    </w:rPr>
                  </w:pPr>
                </w:p>
              </w:tc>
            </w:tr>
          </w:tbl>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3.</w:t>
            </w:r>
            <w:r>
              <w:rPr>
                <w:rFonts w:hint="default"/>
                <w:lang w:val="en-US" w:eastAsia="zh-CN"/>
              </w:rPr>
              <w:t>噪声</w:t>
            </w:r>
          </w:p>
          <w:p>
            <w:pPr>
              <w:pStyle w:val="8"/>
              <w:keepNext w:val="0"/>
              <w:keepLines w:val="0"/>
              <w:pageBreakBefore w:val="0"/>
              <w:widowControl/>
              <w:numPr>
                <w:ilvl w:val="0"/>
                <w:numId w:val="1"/>
              </w:numPr>
              <w:kinsoku/>
              <w:wordWrap w:val="0"/>
              <w:overflowPunct/>
              <w:topLinePunct w:val="0"/>
              <w:autoSpaceDE/>
              <w:autoSpaceDN/>
              <w:bidi w:val="0"/>
              <w:adjustRightInd/>
              <w:snapToGrid w:val="0"/>
              <w:spacing w:beforeAutospacing="0" w:afterAutospacing="0"/>
              <w:textAlignment w:val="auto"/>
              <w:rPr>
                <w:rFonts w:hint="default"/>
                <w:lang w:val="en-US" w:eastAsia="zh-CN"/>
              </w:rPr>
            </w:pPr>
            <w:r>
              <w:rPr>
                <w:rFonts w:hint="default"/>
                <w:lang w:val="en-US" w:eastAsia="zh-CN"/>
              </w:rPr>
              <w:t>施工噪声执行《建筑施工噪声排放标准》（GB12523-2025）</w:t>
            </w:r>
            <w:r>
              <w:rPr>
                <w:rFonts w:hint="eastAsia"/>
                <w:lang w:val="en-US" w:eastAsia="zh-CN"/>
              </w:rPr>
              <w:t>，</w:t>
            </w:r>
            <w:r>
              <w:rPr>
                <w:rFonts w:hint="default"/>
                <w:lang w:val="en-US" w:eastAsia="zh-CN"/>
              </w:rPr>
              <w:t>运营期厂界噪声执行《工业企业厂界环境噪声排放标准》（GB12348-2008）中</w:t>
            </w:r>
            <w:r>
              <w:rPr>
                <w:rFonts w:hint="eastAsia"/>
                <w:lang w:val="en-US" w:eastAsia="zh-CN"/>
              </w:rPr>
              <w:t>2</w:t>
            </w:r>
            <w:r>
              <w:rPr>
                <w:rFonts w:hint="default"/>
                <w:lang w:val="en-US" w:eastAsia="zh-CN"/>
              </w:rPr>
              <w:t>类标准，具体限值见下表。</w:t>
            </w:r>
          </w:p>
          <w:p>
            <w:pPr>
              <w:pStyle w:val="42"/>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表3-</w:t>
            </w:r>
            <w:r>
              <w:rPr>
                <w:rFonts w:hint="eastAsia"/>
                <w:lang w:val="en-US" w:eastAsia="zh-CN"/>
              </w:rPr>
              <w:t>5</w:t>
            </w:r>
            <w:r>
              <w:rPr>
                <w:rFonts w:hint="default"/>
                <w:lang w:val="en-US" w:eastAsia="zh-CN"/>
              </w:rPr>
              <w:t xml:space="preserve">    噪声执行标准</w:t>
            </w:r>
          </w:p>
          <w:tbl>
            <w:tblPr>
              <w:tblStyle w:val="23"/>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270"/>
              <w:gridCol w:w="1015"/>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污染源</w:t>
                  </w:r>
                </w:p>
              </w:tc>
              <w:tc>
                <w:tcPr>
                  <w:tcW w:w="2285" w:type="dxa"/>
                  <w:gridSpan w:val="2"/>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项目</w:t>
                  </w:r>
                </w:p>
              </w:tc>
              <w:tc>
                <w:tcPr>
                  <w:tcW w:w="3984" w:type="dxa"/>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p>
              </w:tc>
              <w:tc>
                <w:tcPr>
                  <w:tcW w:w="1270" w:type="dxa"/>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时段</w:t>
                  </w:r>
                </w:p>
              </w:tc>
              <w:tc>
                <w:tcPr>
                  <w:tcW w:w="1015" w:type="dxa"/>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标准值</w:t>
                  </w:r>
                </w:p>
              </w:tc>
              <w:tc>
                <w:tcPr>
                  <w:tcW w:w="3984" w:type="dxa"/>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施工噪声</w:t>
                  </w:r>
                </w:p>
              </w:tc>
              <w:tc>
                <w:tcPr>
                  <w:tcW w:w="1270" w:type="dxa"/>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昼间</w:t>
                  </w:r>
                </w:p>
              </w:tc>
              <w:tc>
                <w:tcPr>
                  <w:tcW w:w="1015" w:type="dxa"/>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70dB(A)</w:t>
                  </w:r>
                </w:p>
              </w:tc>
              <w:tc>
                <w:tcPr>
                  <w:tcW w:w="3984" w:type="dxa"/>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《建筑施工噪声排放标准》（GB12523-2025）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p>
              </w:tc>
              <w:tc>
                <w:tcPr>
                  <w:tcW w:w="1270" w:type="dxa"/>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夜间</w:t>
                  </w:r>
                </w:p>
              </w:tc>
              <w:tc>
                <w:tcPr>
                  <w:tcW w:w="1015" w:type="dxa"/>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55dB(A)</w:t>
                  </w:r>
                </w:p>
              </w:tc>
              <w:tc>
                <w:tcPr>
                  <w:tcW w:w="3984" w:type="dxa"/>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厂界噪声</w:t>
                  </w:r>
                </w:p>
              </w:tc>
              <w:tc>
                <w:tcPr>
                  <w:tcW w:w="1270" w:type="dxa"/>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昼间</w:t>
                  </w:r>
                </w:p>
              </w:tc>
              <w:tc>
                <w:tcPr>
                  <w:tcW w:w="1015" w:type="dxa"/>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6</w:t>
                  </w:r>
                  <w:r>
                    <w:rPr>
                      <w:rFonts w:hint="eastAsia"/>
                      <w:lang w:val="en-US" w:eastAsia="zh-CN"/>
                    </w:rPr>
                    <w:t>0</w:t>
                  </w:r>
                  <w:r>
                    <w:rPr>
                      <w:rFonts w:hint="default"/>
                      <w:lang w:val="en-US" w:eastAsia="zh-CN"/>
                    </w:rPr>
                    <w:t>dB</w:t>
                  </w:r>
                  <w:r>
                    <w:rPr>
                      <w:rFonts w:hint="eastAsia"/>
                      <w:lang w:val="en-US" w:eastAsia="zh-CN"/>
                    </w:rPr>
                    <w:t>(</w:t>
                  </w:r>
                  <w:r>
                    <w:rPr>
                      <w:rFonts w:hint="default"/>
                      <w:lang w:val="en-US" w:eastAsia="zh-CN"/>
                    </w:rPr>
                    <w:t>A</w:t>
                  </w:r>
                  <w:r>
                    <w:rPr>
                      <w:rFonts w:hint="eastAsia"/>
                      <w:lang w:val="en-US" w:eastAsia="zh-CN"/>
                    </w:rPr>
                    <w:t>)</w:t>
                  </w:r>
                </w:p>
              </w:tc>
              <w:tc>
                <w:tcPr>
                  <w:tcW w:w="3984" w:type="dxa"/>
                  <w:vMerge w:val="restart"/>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《工业企业厂界环境噪声排放标准》（GB12348-2008）</w:t>
                  </w:r>
                  <w:r>
                    <w:rPr>
                      <w:rFonts w:hint="eastAsia"/>
                      <w:lang w:val="en-US" w:eastAsia="zh-CN"/>
                    </w:rPr>
                    <w:t>2</w:t>
                  </w:r>
                  <w:r>
                    <w:rPr>
                      <w:rFonts w:hint="default"/>
                      <w:lang w:val="en-US" w:eastAsia="zh-CN"/>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eastAsia"/>
                      <w:lang w:val="en-US" w:eastAsia="zh-CN"/>
                    </w:rPr>
                  </w:pPr>
                </w:p>
              </w:tc>
              <w:tc>
                <w:tcPr>
                  <w:tcW w:w="1270" w:type="dxa"/>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夜间</w:t>
                  </w:r>
                </w:p>
              </w:tc>
              <w:tc>
                <w:tcPr>
                  <w:tcW w:w="1015" w:type="dxa"/>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5</w:t>
                  </w:r>
                  <w:r>
                    <w:rPr>
                      <w:rFonts w:hint="eastAsia"/>
                      <w:lang w:val="en-US" w:eastAsia="zh-CN"/>
                    </w:rPr>
                    <w:t>0</w:t>
                  </w:r>
                  <w:r>
                    <w:rPr>
                      <w:rFonts w:hint="default"/>
                      <w:lang w:val="en-US" w:eastAsia="zh-CN"/>
                    </w:rPr>
                    <w:t>dB</w:t>
                  </w:r>
                  <w:r>
                    <w:rPr>
                      <w:rFonts w:hint="eastAsia"/>
                      <w:lang w:val="en-US" w:eastAsia="zh-CN"/>
                    </w:rPr>
                    <w:t>(</w:t>
                  </w:r>
                  <w:r>
                    <w:rPr>
                      <w:rFonts w:hint="default"/>
                      <w:lang w:val="en-US" w:eastAsia="zh-CN"/>
                    </w:rPr>
                    <w:t>A</w:t>
                  </w:r>
                  <w:r>
                    <w:rPr>
                      <w:rFonts w:hint="eastAsia"/>
                      <w:lang w:val="en-US" w:eastAsia="zh-CN"/>
                    </w:rPr>
                    <w:t>)</w:t>
                  </w:r>
                </w:p>
              </w:tc>
              <w:tc>
                <w:tcPr>
                  <w:tcW w:w="3984" w:type="dxa"/>
                  <w:vMerge w:val="continue"/>
                  <w:noWrap w:val="0"/>
                  <w:vAlign w:val="center"/>
                </w:tcPr>
                <w:p>
                  <w:pPr>
                    <w:pStyle w:val="40"/>
                    <w:keepLines w:val="0"/>
                    <w:pageBreakBefore w:val="0"/>
                    <w:kinsoku/>
                    <w:wordWrap/>
                    <w:topLinePunct w:val="0"/>
                    <w:autoSpaceDE/>
                    <w:autoSpaceDN/>
                    <w:bidi w:val="0"/>
                    <w:spacing w:beforeAutospacing="0" w:afterAutospacing="0"/>
                    <w:textAlignment w:val="auto"/>
                    <w:rPr>
                      <w:rFonts w:hint="default"/>
                      <w:lang w:val="en-US" w:eastAsia="zh-CN"/>
                    </w:rPr>
                  </w:pPr>
                </w:p>
              </w:tc>
            </w:tr>
          </w:tbl>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4.固废</w:t>
            </w:r>
          </w:p>
          <w:p>
            <w:pPr>
              <w:pStyle w:val="53"/>
              <w:bidi w:val="0"/>
              <w:rPr>
                <w:rFonts w:hint="default"/>
                <w:lang w:val="en-US" w:eastAsia="zh-CN"/>
              </w:rPr>
            </w:pPr>
            <w:r>
              <w:rPr>
                <w:rFonts w:hint="default"/>
                <w:lang w:val="en-US" w:eastAsia="zh-CN"/>
              </w:rPr>
              <w:t>本项目产生的一般固废执行《中华人民共和国固体废物污染环境防治法》（2020年9月1日起施行）、《一般工业固体废物贮存和填埋污染控制标准》（GB18599-2020）中相关标准，危险废物贮存执行《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9" w:hRule="atLeast"/>
          <w:jc w:val="center"/>
        </w:trPr>
        <w:tc>
          <w:tcPr>
            <w:tcW w:w="800" w:type="dxa"/>
            <w:noWrap w:val="0"/>
            <w:vAlign w:val="center"/>
          </w:tcPr>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总量</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kern w:val="0"/>
                <w:szCs w:val="21"/>
              </w:rPr>
            </w:pPr>
            <w:r>
              <w:rPr>
                <w:rFonts w:hint="eastAsia" w:ascii="宋体" w:hAnsi="宋体" w:cs="宋体"/>
                <w:kern w:val="0"/>
                <w:szCs w:val="21"/>
              </w:rPr>
              <w:t>控制</w:t>
            </w:r>
          </w:p>
          <w:p>
            <w:pPr>
              <w:keepLines w:val="0"/>
              <w:pageBreakBefore w:val="0"/>
              <w:kinsoku/>
              <w:wordWrap/>
              <w:topLinePunct w:val="0"/>
              <w:autoSpaceDE/>
              <w:autoSpaceDN/>
              <w:bidi w:val="0"/>
              <w:adjustRightInd w:val="0"/>
              <w:snapToGrid w:val="0"/>
              <w:spacing w:beforeAutospacing="0" w:afterAutospacing="0"/>
              <w:jc w:val="center"/>
              <w:textAlignment w:val="auto"/>
              <w:rPr>
                <w:rFonts w:ascii="宋体" w:hAnsi="宋体" w:cs="宋体"/>
                <w:kern w:val="0"/>
                <w:szCs w:val="21"/>
              </w:rPr>
            </w:pPr>
            <w:r>
              <w:rPr>
                <w:rFonts w:hint="eastAsia" w:ascii="宋体" w:hAnsi="宋体" w:cs="宋体"/>
                <w:kern w:val="0"/>
                <w:szCs w:val="21"/>
              </w:rPr>
              <w:t>指标</w:t>
            </w:r>
          </w:p>
        </w:tc>
        <w:tc>
          <w:tcPr>
            <w:tcW w:w="8190" w:type="dxa"/>
            <w:noWrap w:val="0"/>
            <w:vAlign w:val="center"/>
          </w:tcPr>
          <w:p>
            <w:pPr>
              <w:pStyle w:val="8"/>
              <w:keepLines w:val="0"/>
              <w:pageBreakBefore w:val="0"/>
              <w:kinsoku/>
              <w:wordWrap/>
              <w:topLinePunct w:val="0"/>
              <w:autoSpaceDE/>
              <w:autoSpaceDN/>
              <w:bidi w:val="0"/>
              <w:spacing w:beforeAutospacing="0" w:afterAutospacing="0"/>
              <w:jc w:val="center"/>
              <w:textAlignment w:val="auto"/>
              <w:rPr>
                <w:rFonts w:hint="eastAsia" w:ascii="宋体" w:hAnsi="宋体" w:eastAsia="宋体" w:cs="宋体"/>
                <w:kern w:val="0"/>
                <w:szCs w:val="21"/>
                <w:lang w:val="en-US" w:eastAsia="zh-CN"/>
              </w:rPr>
            </w:pPr>
            <w:r>
              <w:rPr>
                <w:rFonts w:hint="eastAsia"/>
                <w:lang w:val="en-US" w:eastAsia="zh-CN"/>
              </w:rPr>
              <w:t>无</w:t>
            </w:r>
          </w:p>
        </w:tc>
      </w:tr>
    </w:tbl>
    <w:p>
      <w:pPr>
        <w:pStyle w:val="18"/>
        <w:keepLines w:val="0"/>
        <w:pageBreakBefore w:val="0"/>
        <w:kinsoku/>
        <w:wordWrap/>
        <w:topLinePunct w:val="0"/>
        <w:autoSpaceDE/>
        <w:autoSpaceDN/>
        <w:bidi w:val="0"/>
        <w:spacing w:beforeAutospacing="0" w:afterAutospacing="0"/>
        <w:jc w:val="center"/>
        <w:textAlignment w:val="auto"/>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746" w:type="dxa"/>
            <w:noWrap w:val="0"/>
            <w:tcMar>
              <w:left w:w="28" w:type="dxa"/>
              <w:right w:w="28" w:type="dxa"/>
            </w:tcMar>
            <w:vAlign w:val="center"/>
          </w:tcPr>
          <w:p>
            <w:pPr>
              <w:pStyle w:val="18"/>
              <w:keepLines w:val="0"/>
              <w:pageBreakBefore w:val="0"/>
              <w:kinsoku/>
              <w:wordWrap/>
              <w:topLinePunct w:val="0"/>
              <w:autoSpaceDE/>
              <w:autoSpaceDN/>
              <w:bidi w:val="0"/>
              <w:adjustRightInd w:val="0"/>
              <w:snapToGrid w:val="0"/>
              <w:spacing w:before="0" w:beforeAutospacing="0" w:after="0" w:afterAutospacing="0"/>
              <w:jc w:val="center"/>
              <w:textAlignment w:val="auto"/>
              <w:rPr>
                <w:rFonts w:hint="eastAsia" w:cs="宋体"/>
                <w:kern w:val="2"/>
                <w:sz w:val="21"/>
                <w:szCs w:val="21"/>
              </w:rPr>
            </w:pPr>
            <w:r>
              <w:rPr>
                <w:rFonts w:hint="eastAsia" w:cs="宋体"/>
                <w:kern w:val="2"/>
                <w:sz w:val="21"/>
                <w:szCs w:val="21"/>
              </w:rPr>
              <w:t>施工</w:t>
            </w:r>
          </w:p>
          <w:p>
            <w:pPr>
              <w:pStyle w:val="18"/>
              <w:keepLines w:val="0"/>
              <w:pageBreakBefore w:val="0"/>
              <w:kinsoku/>
              <w:wordWrap/>
              <w:topLinePunct w:val="0"/>
              <w:autoSpaceDE/>
              <w:autoSpaceDN/>
              <w:bidi w:val="0"/>
              <w:adjustRightInd w:val="0"/>
              <w:snapToGrid w:val="0"/>
              <w:spacing w:before="0" w:beforeAutospacing="0" w:after="0" w:afterAutospacing="0"/>
              <w:jc w:val="center"/>
              <w:textAlignment w:val="auto"/>
              <w:rPr>
                <w:rFonts w:hint="eastAsia" w:cs="宋体"/>
                <w:kern w:val="2"/>
                <w:sz w:val="21"/>
                <w:szCs w:val="21"/>
              </w:rPr>
            </w:pPr>
            <w:r>
              <w:rPr>
                <w:rFonts w:hint="eastAsia" w:cs="宋体"/>
                <w:kern w:val="2"/>
                <w:sz w:val="21"/>
                <w:szCs w:val="21"/>
              </w:rPr>
              <w:t>期环</w:t>
            </w:r>
          </w:p>
          <w:p>
            <w:pPr>
              <w:pStyle w:val="18"/>
              <w:keepLines w:val="0"/>
              <w:pageBreakBefore w:val="0"/>
              <w:kinsoku/>
              <w:wordWrap/>
              <w:topLinePunct w:val="0"/>
              <w:autoSpaceDE/>
              <w:autoSpaceDN/>
              <w:bidi w:val="0"/>
              <w:adjustRightInd w:val="0"/>
              <w:snapToGrid w:val="0"/>
              <w:spacing w:before="0" w:beforeAutospacing="0" w:after="0" w:afterAutospacing="0"/>
              <w:jc w:val="center"/>
              <w:textAlignment w:val="auto"/>
              <w:rPr>
                <w:rFonts w:hint="eastAsia" w:cs="宋体"/>
                <w:kern w:val="2"/>
                <w:sz w:val="21"/>
                <w:szCs w:val="21"/>
              </w:rPr>
            </w:pPr>
            <w:r>
              <w:rPr>
                <w:rFonts w:hint="eastAsia" w:cs="宋体"/>
                <w:kern w:val="2"/>
                <w:sz w:val="21"/>
                <w:szCs w:val="21"/>
              </w:rPr>
              <w:t>境保</w:t>
            </w:r>
          </w:p>
          <w:p>
            <w:pPr>
              <w:pStyle w:val="18"/>
              <w:keepLines w:val="0"/>
              <w:pageBreakBefore w:val="0"/>
              <w:kinsoku/>
              <w:wordWrap/>
              <w:topLinePunct w:val="0"/>
              <w:autoSpaceDE/>
              <w:autoSpaceDN/>
              <w:bidi w:val="0"/>
              <w:adjustRightInd w:val="0"/>
              <w:snapToGrid w:val="0"/>
              <w:spacing w:before="0" w:beforeAutospacing="0" w:after="0" w:afterAutospacing="0"/>
              <w:jc w:val="center"/>
              <w:textAlignment w:val="auto"/>
              <w:rPr>
                <w:rFonts w:hint="eastAsia" w:cs="宋体"/>
                <w:kern w:val="2"/>
                <w:sz w:val="21"/>
                <w:szCs w:val="21"/>
              </w:rPr>
            </w:pPr>
            <w:r>
              <w:rPr>
                <w:rFonts w:hint="eastAsia" w:cs="宋体"/>
                <w:kern w:val="2"/>
                <w:sz w:val="21"/>
                <w:szCs w:val="21"/>
              </w:rPr>
              <w:t>护措</w:t>
            </w:r>
          </w:p>
          <w:p>
            <w:pPr>
              <w:pStyle w:val="18"/>
              <w:keepLines w:val="0"/>
              <w:pageBreakBefore w:val="0"/>
              <w:kinsoku/>
              <w:wordWrap/>
              <w:topLinePunct w:val="0"/>
              <w:autoSpaceDE/>
              <w:autoSpaceDN/>
              <w:bidi w:val="0"/>
              <w:adjustRightInd w:val="0"/>
              <w:snapToGrid w:val="0"/>
              <w:spacing w:before="0" w:beforeAutospacing="0" w:after="0" w:afterAutospacing="0"/>
              <w:jc w:val="center"/>
              <w:textAlignment w:val="auto"/>
              <w:rPr>
                <w:rFonts w:hint="eastAsia" w:cs="宋体"/>
                <w:bCs/>
                <w:kern w:val="2"/>
                <w:sz w:val="21"/>
                <w:szCs w:val="21"/>
              </w:rPr>
            </w:pPr>
            <w:r>
              <w:rPr>
                <w:rFonts w:hint="eastAsia" w:cs="宋体"/>
                <w:kern w:val="2"/>
                <w:sz w:val="21"/>
                <w:szCs w:val="21"/>
              </w:rPr>
              <w:t>施</w:t>
            </w:r>
          </w:p>
        </w:tc>
        <w:tc>
          <w:tcPr>
            <w:tcW w:w="8162" w:type="dxa"/>
            <w:noWrap w:val="0"/>
            <w:vAlign w:val="center"/>
          </w:tcPr>
          <w:p>
            <w:pPr>
              <w:pStyle w:val="44"/>
              <w:bidi w:val="0"/>
              <w:rPr>
                <w:rFonts w:hint="default"/>
                <w:lang w:val="en-US" w:eastAsia="zh-CN"/>
              </w:rPr>
            </w:pPr>
            <w:bookmarkStart w:id="3" w:name="_Toc167859200"/>
            <w:bookmarkStart w:id="4" w:name="_Toc168312904"/>
            <w:bookmarkStart w:id="5" w:name="_Toc168121571"/>
            <w:bookmarkStart w:id="6" w:name="_Toc168121379"/>
            <w:bookmarkStart w:id="7" w:name="_Toc156819103"/>
            <w:r>
              <w:rPr>
                <w:rFonts w:hint="default"/>
                <w:lang w:val="en-US" w:eastAsia="zh-CN"/>
              </w:rPr>
              <w:t>本项目已基本建成，施工期影响已随施工期结束而消失，因此本次评价不对施工期污染源进行分析。</w:t>
            </w:r>
            <w:bookmarkEnd w:id="3"/>
            <w:bookmarkEnd w:id="4"/>
            <w:bookmarkEnd w:id="5"/>
            <w:bookmarkEnd w:id="6"/>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bCs/>
                <w:szCs w:val="21"/>
              </w:rPr>
            </w:pPr>
            <w:r>
              <w:rPr>
                <w:rFonts w:hint="eastAsia" w:ascii="宋体" w:hAnsi="宋体" w:cs="宋体"/>
                <w:bCs/>
                <w:szCs w:val="21"/>
              </w:rPr>
              <w:t>运营</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bCs/>
                <w:szCs w:val="21"/>
              </w:rPr>
            </w:pPr>
            <w:r>
              <w:rPr>
                <w:rFonts w:hint="eastAsia" w:ascii="宋体" w:hAnsi="宋体" w:cs="宋体"/>
                <w:bCs/>
                <w:szCs w:val="21"/>
              </w:rPr>
              <w:t>期环</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bCs/>
                <w:szCs w:val="21"/>
              </w:rPr>
            </w:pPr>
            <w:r>
              <w:rPr>
                <w:rFonts w:hint="eastAsia" w:ascii="宋体" w:hAnsi="宋体" w:cs="宋体"/>
                <w:bCs/>
                <w:szCs w:val="21"/>
              </w:rPr>
              <w:t>境影</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bCs/>
                <w:szCs w:val="21"/>
              </w:rPr>
            </w:pPr>
            <w:r>
              <w:rPr>
                <w:rFonts w:hint="eastAsia" w:ascii="宋体" w:hAnsi="宋体" w:cs="宋体"/>
                <w:bCs/>
                <w:szCs w:val="21"/>
              </w:rPr>
              <w:t>响和</w:t>
            </w:r>
          </w:p>
          <w:p>
            <w:pPr>
              <w:keepLines w:val="0"/>
              <w:pageBreakBefore w:val="0"/>
              <w:kinsoku/>
              <w:wordWrap/>
              <w:topLinePunct w:val="0"/>
              <w:autoSpaceDE/>
              <w:autoSpaceDN/>
              <w:bidi w:val="0"/>
              <w:adjustRightInd w:val="0"/>
              <w:snapToGrid w:val="0"/>
              <w:spacing w:beforeAutospacing="0" w:afterAutospacing="0"/>
              <w:jc w:val="center"/>
              <w:textAlignment w:val="auto"/>
              <w:rPr>
                <w:rFonts w:hint="eastAsia" w:ascii="宋体" w:hAnsi="宋体" w:cs="宋体"/>
                <w:bCs/>
                <w:szCs w:val="21"/>
              </w:rPr>
            </w:pPr>
            <w:r>
              <w:rPr>
                <w:rFonts w:hint="eastAsia" w:ascii="宋体" w:hAnsi="宋体" w:cs="宋体"/>
                <w:bCs/>
                <w:szCs w:val="21"/>
              </w:rPr>
              <w:t>保护</w:t>
            </w:r>
          </w:p>
          <w:p>
            <w:pPr>
              <w:keepLines w:val="0"/>
              <w:pageBreakBefore w:val="0"/>
              <w:kinsoku/>
              <w:wordWrap/>
              <w:topLinePunct w:val="0"/>
              <w:autoSpaceDE/>
              <w:autoSpaceDN/>
              <w:bidi w:val="0"/>
              <w:adjustRightInd w:val="0"/>
              <w:snapToGrid w:val="0"/>
              <w:spacing w:beforeAutospacing="0" w:afterAutospacing="0"/>
              <w:jc w:val="center"/>
              <w:textAlignment w:val="auto"/>
              <w:rPr>
                <w:rFonts w:ascii="宋体" w:hAnsi="宋体" w:cs="宋体"/>
                <w:bCs/>
                <w:szCs w:val="21"/>
              </w:rPr>
            </w:pPr>
            <w:r>
              <w:rPr>
                <w:rFonts w:hint="eastAsia" w:ascii="宋体" w:hAnsi="宋体" w:cs="宋体"/>
                <w:bCs/>
                <w:szCs w:val="21"/>
              </w:rPr>
              <w:t>措施</w:t>
            </w:r>
          </w:p>
        </w:tc>
        <w:tc>
          <w:tcPr>
            <w:tcW w:w="8162" w:type="dxa"/>
            <w:noWrap w:val="0"/>
            <w:vAlign w:val="top"/>
          </w:tcPr>
          <w:p>
            <w:pPr>
              <w:pStyle w:val="2"/>
              <w:keepLines w:val="0"/>
              <w:pageBreakBefore w:val="0"/>
              <w:kinsoku/>
              <w:wordWrap/>
              <w:topLinePunct w:val="0"/>
              <w:autoSpaceDE/>
              <w:autoSpaceDN/>
              <w:bidi w:val="0"/>
              <w:spacing w:beforeAutospacing="0" w:afterAutospacing="0"/>
              <w:jc w:val="both"/>
              <w:textAlignment w:val="auto"/>
              <w:rPr>
                <w:rFonts w:hint="eastAsia"/>
              </w:rPr>
            </w:pPr>
            <w:r>
              <w:rPr>
                <w:rFonts w:hint="eastAsia"/>
                <w:lang w:val="en-US" w:eastAsia="zh-CN"/>
              </w:rPr>
              <w:t>1.</w:t>
            </w:r>
            <w:r>
              <w:rPr>
                <w:rFonts w:hint="eastAsia"/>
              </w:rPr>
              <w:t>大气环境影响和保护措施</w:t>
            </w:r>
          </w:p>
          <w:p>
            <w:pPr>
              <w:pStyle w:val="2"/>
              <w:keepLines w:val="0"/>
              <w:pageBreakBefore w:val="0"/>
              <w:kinsoku/>
              <w:wordWrap/>
              <w:topLinePunct w:val="0"/>
              <w:autoSpaceDE/>
              <w:autoSpaceDN/>
              <w:bidi w:val="0"/>
              <w:spacing w:beforeAutospacing="0" w:afterAutospacing="0"/>
              <w:jc w:val="both"/>
              <w:textAlignment w:val="auto"/>
              <w:rPr>
                <w:rFonts w:hint="eastAsia"/>
                <w:lang w:val="en-US" w:eastAsia="zh-CN"/>
              </w:rPr>
            </w:pPr>
            <w:r>
              <w:rPr>
                <w:rFonts w:hint="eastAsia"/>
                <w:lang w:val="en-US" w:eastAsia="zh-CN"/>
              </w:rPr>
              <w:t>1.1</w:t>
            </w:r>
            <w:r>
              <w:t>废气污染源源强</w:t>
            </w:r>
            <w:r>
              <w:rPr>
                <w:rFonts w:hint="eastAsia"/>
                <w:lang w:val="en-US" w:eastAsia="zh-CN"/>
              </w:rPr>
              <w:t>分析</w:t>
            </w:r>
          </w:p>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1.1.1无组织废气</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（1）原料堆存粉尘</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left"/>
              <w:textAlignment w:val="auto"/>
              <w:rPr>
                <w:rFonts w:hint="eastAsia" w:cs="宋体"/>
                <w:kern w:val="0"/>
                <w:sz w:val="24"/>
                <w:szCs w:val="24"/>
                <w:highlight w:val="none"/>
                <w:lang w:val="en-US" w:eastAsia="zh-CN"/>
              </w:rPr>
            </w:pPr>
            <w:r>
              <w:rPr>
                <w:rFonts w:hint="eastAsia" w:cs="宋体"/>
                <w:kern w:val="0"/>
                <w:sz w:val="24"/>
                <w:szCs w:val="24"/>
                <w:highlight w:val="none"/>
                <w:lang w:val="en-US" w:eastAsia="zh-CN"/>
              </w:rPr>
              <w:t>本项目砂石料堆场属于Ⅱ类堆场，位于一般控制区域，堆场总规模为500m</w:t>
            </w:r>
            <w:r>
              <w:rPr>
                <w:rFonts w:hint="eastAsia" w:cs="宋体"/>
                <w:kern w:val="0"/>
                <w:sz w:val="24"/>
                <w:szCs w:val="24"/>
                <w:highlight w:val="none"/>
                <w:vertAlign w:val="superscript"/>
                <w:lang w:val="en-US" w:eastAsia="zh-CN"/>
              </w:rPr>
              <w:t>3</w:t>
            </w:r>
            <w:r>
              <w:rPr>
                <w:rFonts w:hint="eastAsia" w:cs="宋体"/>
                <w:kern w:val="0"/>
                <w:sz w:val="24"/>
                <w:szCs w:val="24"/>
                <w:highlight w:val="none"/>
                <w:lang w:val="en-US" w:eastAsia="zh-CN"/>
              </w:rPr>
              <w:t>，堆存物料粒度范围为0.6~10mm，场区平均风速为2~4m/s。根据《工业料堆场扬尘整治规范》（DB65/T4061-2017）可知，本项目砂石料储存区为Ⅱ类堆场，堆场扬尘治理措施为半封闭仓库+洒水抑尘，以满足Ⅱ类堆场的扬尘治理技术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left"/>
              <w:textAlignment w:val="auto"/>
              <w:rPr>
                <w:rFonts w:hint="eastAsia"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lang w:val="en-US" w:eastAsia="zh-CN"/>
              </w:rPr>
              <w:t>根据《排放源统计调查产排污核算方法和系数手册》固体物料堆存颗粒物产排污核算系数手册，工业企业固体物料堆存颗粒物包括装卸扬尘和风蚀扬尘，颗粒物产生量核算公式如下：</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sz w:val="24"/>
                <w:szCs w:val="24"/>
                <w:vertAlign w:val="superscript"/>
                <w:lang w:val="en-US" w:eastAsia="zh-CN"/>
              </w:rPr>
            </w:pPr>
            <w:r>
              <w:rPr>
                <w:rFonts w:hint="default" w:ascii="Times New Roman" w:hAnsi="Times New Roman" w:cs="Times New Roman" w:eastAsiaTheme="minorEastAsia"/>
                <w:sz w:val="24"/>
                <w:szCs w:val="24"/>
                <w:lang w:val="en-US" w:eastAsia="zh-CN"/>
              </w:rPr>
              <w:t>P=ZC</w:t>
            </w:r>
            <w:r>
              <w:rPr>
                <w:rFonts w:hint="default" w:ascii="Times New Roman" w:hAnsi="Times New Roman" w:cs="Times New Roman" w:eastAsiaTheme="minorEastAsia"/>
                <w:sz w:val="24"/>
                <w:szCs w:val="24"/>
                <w:vertAlign w:val="subscript"/>
                <w:lang w:val="en-US" w:eastAsia="zh-CN"/>
              </w:rPr>
              <w:t>y</w:t>
            </w:r>
            <w:r>
              <w:rPr>
                <w:rFonts w:hint="default" w:ascii="Times New Roman" w:hAnsi="Times New Roman" w:cs="Times New Roman" w:eastAsiaTheme="minorEastAsia"/>
                <w:sz w:val="24"/>
                <w:szCs w:val="24"/>
                <w:lang w:val="en-US" w:eastAsia="zh-CN"/>
              </w:rPr>
              <w:t>+FC</w:t>
            </w:r>
            <w:r>
              <w:rPr>
                <w:rFonts w:hint="default" w:ascii="Times New Roman" w:hAnsi="Times New Roman" w:cs="Times New Roman" w:eastAsiaTheme="minorEastAsia"/>
                <w:sz w:val="24"/>
                <w:szCs w:val="24"/>
                <w:vertAlign w:val="subscript"/>
                <w:lang w:val="en-US" w:eastAsia="zh-CN"/>
              </w:rPr>
              <w:t>y</w:t>
            </w:r>
            <w:r>
              <w:rPr>
                <w:rFonts w:hint="default" w:ascii="Times New Roman" w:hAnsi="Times New Roman" w:cs="Times New Roman" w:eastAsiaTheme="minorEastAsia"/>
                <w:sz w:val="24"/>
                <w:szCs w:val="24"/>
                <w:lang w:val="en-US" w:eastAsia="zh-CN"/>
              </w:rPr>
              <w:t>=[N</w:t>
            </w:r>
            <w:r>
              <w:rPr>
                <w:rFonts w:hint="default" w:ascii="Times New Roman" w:hAnsi="Times New Roman" w:cs="Times New Roman" w:eastAsiaTheme="minorEastAsia"/>
                <w:sz w:val="24"/>
                <w:szCs w:val="24"/>
                <w:vertAlign w:val="subscript"/>
                <w:lang w:val="en-US" w:eastAsia="zh-CN"/>
              </w:rPr>
              <w:t>c</w:t>
            </w:r>
            <w:r>
              <w:rPr>
                <w:rFonts w:hint="default" w:ascii="Times New Roman" w:hAnsi="Times New Roman" w:cs="Times New Roman" w:eastAsiaTheme="minorEastAsia"/>
                <w:sz w:val="24"/>
                <w:szCs w:val="24"/>
                <w:lang w:val="en-US" w:eastAsia="zh-CN"/>
              </w:rPr>
              <w:t>×D×（a/b）+2×E</w:t>
            </w:r>
            <w:r>
              <w:rPr>
                <w:rFonts w:hint="default" w:ascii="Times New Roman" w:hAnsi="Times New Roman" w:cs="Times New Roman" w:eastAsiaTheme="minorEastAsia"/>
                <w:sz w:val="24"/>
                <w:szCs w:val="24"/>
                <w:vertAlign w:val="subscript"/>
                <w:lang w:val="en-US" w:eastAsia="zh-CN"/>
              </w:rPr>
              <w:t>f</w:t>
            </w:r>
            <w:r>
              <w:rPr>
                <w:rFonts w:hint="default" w:ascii="Times New Roman" w:hAnsi="Times New Roman" w:cs="Times New Roman" w:eastAsiaTheme="minorEastAsia"/>
                <w:sz w:val="24"/>
                <w:szCs w:val="24"/>
                <w:lang w:val="en-US" w:eastAsia="zh-CN"/>
              </w:rPr>
              <w:t>×S]×10</w:t>
            </w:r>
            <w:r>
              <w:rPr>
                <w:rFonts w:hint="default" w:ascii="Times New Roman" w:hAnsi="Times New Roman" w:cs="Times New Roman" w:eastAsiaTheme="minorEastAsia"/>
                <w:sz w:val="24"/>
                <w:szCs w:val="24"/>
                <w:vertAlign w:val="superscript"/>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400"/>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式中：P指颗粒物产生量（单位：吨）；</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700"/>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lang w:val="en-US" w:eastAsia="zh-CN"/>
              </w:rPr>
              <w:t>ZC</w:t>
            </w:r>
            <w:r>
              <w:rPr>
                <w:rFonts w:hint="default" w:ascii="Times New Roman" w:hAnsi="Times New Roman" w:cs="Times New Roman" w:eastAsiaTheme="minorEastAsia"/>
                <w:sz w:val="24"/>
                <w:szCs w:val="24"/>
                <w:vertAlign w:val="subscript"/>
                <w:lang w:val="en-US" w:eastAsia="zh-CN"/>
              </w:rPr>
              <w:t>y</w:t>
            </w:r>
            <w:r>
              <w:rPr>
                <w:rFonts w:hint="default" w:ascii="Times New Roman" w:hAnsi="Times New Roman" w:cs="Times New Roman" w:eastAsiaTheme="minorEastAsia"/>
                <w:sz w:val="24"/>
                <w:szCs w:val="24"/>
                <w:vertAlign w:val="baseline"/>
                <w:lang w:val="en-US" w:eastAsia="zh-CN"/>
              </w:rPr>
              <w:t>指装卸扬尘产生量（单位：吨）；</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700"/>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lang w:val="en-US" w:eastAsia="zh-CN"/>
              </w:rPr>
              <w:t>FC</w:t>
            </w:r>
            <w:r>
              <w:rPr>
                <w:rFonts w:hint="default" w:ascii="Times New Roman" w:hAnsi="Times New Roman" w:cs="Times New Roman" w:eastAsiaTheme="minorEastAsia"/>
                <w:sz w:val="24"/>
                <w:szCs w:val="24"/>
                <w:vertAlign w:val="subscript"/>
                <w:lang w:val="en-US" w:eastAsia="zh-CN"/>
              </w:rPr>
              <w:t>y</w:t>
            </w:r>
            <w:r>
              <w:rPr>
                <w:rFonts w:hint="default" w:ascii="Times New Roman" w:hAnsi="Times New Roman" w:cs="Times New Roman" w:eastAsiaTheme="minorEastAsia"/>
                <w:sz w:val="24"/>
                <w:szCs w:val="24"/>
                <w:vertAlign w:val="baseline"/>
                <w:lang w:val="en-US" w:eastAsia="zh-CN"/>
              </w:rPr>
              <w:t>指风蚀扬尘产生量（单位：吨）；</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700"/>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N</w:t>
            </w:r>
            <w:r>
              <w:rPr>
                <w:rFonts w:hint="default" w:ascii="Times New Roman" w:hAnsi="Times New Roman" w:cs="Times New Roman" w:eastAsiaTheme="minorEastAsia"/>
                <w:sz w:val="24"/>
                <w:szCs w:val="24"/>
                <w:vertAlign w:val="subscript"/>
                <w:lang w:val="en-US" w:eastAsia="zh-CN"/>
              </w:rPr>
              <w:t>c</w:t>
            </w:r>
            <w:r>
              <w:rPr>
                <w:rFonts w:hint="default" w:ascii="Times New Roman" w:hAnsi="Times New Roman" w:cs="Times New Roman" w:eastAsiaTheme="minorEastAsia"/>
                <w:sz w:val="24"/>
                <w:szCs w:val="24"/>
                <w:vertAlign w:val="baseline"/>
                <w:lang w:val="en-US" w:eastAsia="zh-CN"/>
              </w:rPr>
              <w:t>指年物料运载车次（单位：吨）；</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700"/>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D指单车平均运载量（单位：吨/车）；</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700"/>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（a/b）指装卸扬尘概化系数（单位：千克/吨），</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700"/>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a指各省风速概化系数，b指物料含水率概化系数；</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700"/>
              <w:jc w:val="both"/>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E</w:t>
            </w:r>
            <w:r>
              <w:rPr>
                <w:rFonts w:hint="default" w:ascii="Times New Roman" w:hAnsi="Times New Roman" w:cs="Times New Roman" w:eastAsiaTheme="minorEastAsia"/>
                <w:sz w:val="24"/>
                <w:szCs w:val="24"/>
                <w:vertAlign w:val="subscript"/>
                <w:lang w:val="en-US" w:eastAsia="zh-CN"/>
              </w:rPr>
              <w:t>f</w:t>
            </w:r>
            <w:r>
              <w:rPr>
                <w:rFonts w:hint="default" w:ascii="Times New Roman" w:hAnsi="Times New Roman" w:cs="Times New Roman" w:eastAsiaTheme="minorEastAsia"/>
                <w:sz w:val="24"/>
                <w:szCs w:val="24"/>
                <w:vertAlign w:val="baseline"/>
                <w:lang w:val="en-US" w:eastAsia="zh-CN"/>
              </w:rPr>
              <w:t>指堆场风蚀扬尘概化系数，（单位：千克/平方米）；</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7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vertAlign w:val="baseline"/>
                <w:lang w:val="en-US" w:eastAsia="zh-CN"/>
              </w:rPr>
              <w:t>S指堆场占地面积。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szCs w:val="24"/>
                <w:lang w:val="en-US" w:eastAsia="zh-CN"/>
              </w:rPr>
            </w:pPr>
            <w:r>
              <w:rPr>
                <w:rFonts w:hint="eastAsia" w:cs="宋体"/>
                <w:kern w:val="0"/>
                <w:sz w:val="24"/>
                <w:szCs w:val="24"/>
                <w:highlight w:val="none"/>
                <w:lang w:val="en-US" w:eastAsia="zh-CN"/>
              </w:rPr>
              <w:t>项目原料</w:t>
            </w:r>
            <w:r>
              <w:rPr>
                <w:rFonts w:hint="eastAsia" w:ascii="Times New Roman" w:hAnsi="Times New Roman" w:eastAsia="宋体" w:cs="Times New Roman"/>
                <w:sz w:val="24"/>
                <w:szCs w:val="24"/>
                <w:lang w:val="en-US" w:eastAsia="zh-CN"/>
              </w:rPr>
              <w:t>堆场物料（砂子、石子）堆存量为</w:t>
            </w:r>
            <w:r>
              <w:rPr>
                <w:rFonts w:hint="eastAsia" w:cs="Times New Roman"/>
                <w:sz w:val="24"/>
                <w:szCs w:val="24"/>
                <w:lang w:val="en-US" w:eastAsia="zh-CN"/>
              </w:rPr>
              <w:t>105840</w:t>
            </w:r>
            <w:r>
              <w:rPr>
                <w:rFonts w:hint="eastAsia" w:ascii="Times New Roman" w:hAnsi="Times New Roman" w:eastAsia="宋体" w:cs="Times New Roman"/>
                <w:sz w:val="24"/>
                <w:szCs w:val="24"/>
                <w:lang w:val="en-US" w:eastAsia="zh-CN"/>
              </w:rPr>
              <w:t>t/a。</w:t>
            </w:r>
            <w:r>
              <w:rPr>
                <w:rFonts w:hint="eastAsia" w:cs="Times New Roman"/>
                <w:sz w:val="24"/>
                <w:szCs w:val="24"/>
                <w:lang w:val="en-US" w:eastAsia="zh-CN"/>
              </w:rPr>
              <w:t>根据</w:t>
            </w:r>
            <w:r>
              <w:rPr>
                <w:rFonts w:hint="eastAsia" w:ascii="Times New Roman" w:hAnsi="Times New Roman" w:eastAsia="宋体" w:cs="宋体"/>
                <w:kern w:val="0"/>
                <w:sz w:val="24"/>
                <w:szCs w:val="24"/>
                <w:highlight w:val="none"/>
                <w:lang w:val="en-US" w:eastAsia="zh-CN"/>
              </w:rPr>
              <w:t>固体物料堆存颗粒物产排污核算系数手册</w:t>
            </w:r>
            <w:r>
              <w:rPr>
                <w:rFonts w:hint="eastAsia" w:cs="宋体"/>
                <w:kern w:val="0"/>
                <w:sz w:val="24"/>
                <w:szCs w:val="24"/>
                <w:highlight w:val="none"/>
                <w:lang w:val="en-US" w:eastAsia="zh-CN"/>
              </w:rPr>
              <w:t>附录1、附录2、附录3，</w:t>
            </w:r>
            <w:r>
              <w:rPr>
                <w:rFonts w:hint="eastAsia" w:ascii="Times New Roman" w:hAnsi="Times New Roman" w:eastAsia="宋体" w:cs="Times New Roman"/>
                <w:sz w:val="24"/>
                <w:szCs w:val="24"/>
                <w:lang w:val="en-US" w:eastAsia="zh-CN"/>
              </w:rPr>
              <w:t>其中Nc为</w:t>
            </w:r>
            <w:r>
              <w:rPr>
                <w:rFonts w:hint="eastAsia" w:cs="Times New Roman"/>
                <w:sz w:val="24"/>
                <w:szCs w:val="24"/>
                <w:lang w:val="en-US" w:eastAsia="zh-CN"/>
              </w:rPr>
              <w:t>5292</w:t>
            </w:r>
            <w:r>
              <w:rPr>
                <w:rFonts w:hint="eastAsia" w:ascii="Times New Roman" w:hAnsi="Times New Roman" w:eastAsia="宋体" w:cs="Times New Roman"/>
                <w:sz w:val="24"/>
                <w:szCs w:val="24"/>
                <w:lang w:val="en-US" w:eastAsia="zh-CN"/>
              </w:rPr>
              <w:t>、D为20、a为0.0011、b为</w:t>
            </w:r>
            <w:r>
              <w:rPr>
                <w:rFonts w:hint="eastAsia" w:cs="Times New Roman"/>
                <w:sz w:val="24"/>
                <w:szCs w:val="24"/>
                <w:lang w:val="en-US" w:eastAsia="zh-CN"/>
              </w:rPr>
              <w:t>0.0084</w:t>
            </w:r>
            <w:r>
              <w:rPr>
                <w:rFonts w:hint="eastAsia" w:ascii="Times New Roman" w:hAnsi="Times New Roman" w:eastAsia="宋体" w:cs="Times New Roman"/>
                <w:sz w:val="24"/>
                <w:szCs w:val="24"/>
                <w:lang w:val="en-US" w:eastAsia="zh-CN"/>
              </w:rPr>
              <w:t>、Ef为</w:t>
            </w:r>
            <w:r>
              <w:rPr>
                <w:rFonts w:hint="eastAsia" w:cs="Times New Roman"/>
                <w:sz w:val="24"/>
                <w:szCs w:val="24"/>
                <w:lang w:val="en-US" w:eastAsia="zh-CN"/>
              </w:rPr>
              <w:t>0</w:t>
            </w:r>
            <w:r>
              <w:rPr>
                <w:rFonts w:hint="eastAsia" w:ascii="Times New Roman" w:hAnsi="Times New Roman" w:eastAsia="宋体" w:cs="Times New Roman"/>
                <w:sz w:val="24"/>
                <w:szCs w:val="24"/>
                <w:lang w:val="en-US" w:eastAsia="zh-CN"/>
              </w:rPr>
              <w:t>、S为</w:t>
            </w: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00，颗粒物产生量为</w:t>
            </w:r>
            <w:r>
              <w:rPr>
                <w:rFonts w:hint="eastAsia" w:cs="Times New Roman"/>
                <w:sz w:val="24"/>
                <w:szCs w:val="24"/>
                <w:lang w:val="en-US" w:eastAsia="zh-CN"/>
              </w:rPr>
              <w:t>13.86</w:t>
            </w:r>
            <w:r>
              <w:rPr>
                <w:rFonts w:hint="eastAsia" w:ascii="Times New Roman" w:hAnsi="Times New Roman" w:eastAsia="宋体" w:cs="Times New Roman"/>
                <w:sz w:val="24"/>
                <w:szCs w:val="24"/>
                <w:lang w:val="en-US" w:eastAsia="zh-CN"/>
              </w:rPr>
              <w:t>t/a，产生速率为</w:t>
            </w:r>
            <w:r>
              <w:rPr>
                <w:rFonts w:hint="eastAsia" w:cs="Times New Roman"/>
                <w:sz w:val="24"/>
                <w:szCs w:val="24"/>
                <w:lang w:val="en-US" w:eastAsia="zh-CN"/>
              </w:rPr>
              <w:t>6.417</w:t>
            </w:r>
            <w:r>
              <w:rPr>
                <w:rFonts w:hint="eastAsia" w:ascii="Times New Roman" w:hAnsi="Times New Roman" w:eastAsia="宋体" w:cs="Times New Roman"/>
                <w:sz w:val="24"/>
                <w:szCs w:val="24"/>
                <w:lang w:val="en-US" w:eastAsia="zh-CN"/>
              </w:rPr>
              <w:t>kg/h（堆存时间为</w:t>
            </w:r>
            <w:r>
              <w:rPr>
                <w:rFonts w:hint="eastAsia" w:cs="Times New Roman"/>
                <w:sz w:val="24"/>
                <w:szCs w:val="24"/>
                <w:lang w:val="en-US" w:eastAsia="zh-CN"/>
              </w:rPr>
              <w:t>2160</w:t>
            </w:r>
            <w:r>
              <w:rPr>
                <w:rFonts w:hint="eastAsia" w:ascii="Times New Roman" w:hAnsi="Times New Roman" w:eastAsia="宋体" w:cs="Times New Roman"/>
                <w:sz w:val="24"/>
                <w:szCs w:val="24"/>
                <w:lang w:val="en-US" w:eastAsia="zh-CN"/>
              </w:rPr>
              <w:t>h/a）。</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工业企业固体物料堆场颗粒物排放量核算公式如下：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U</w:t>
            </w:r>
            <w:r>
              <w:rPr>
                <w:rFonts w:hint="eastAsia" w:ascii="Times New Roman" w:hAnsi="Times New Roman" w:eastAsia="宋体" w:cs="Times New Roman"/>
                <w:sz w:val="24"/>
                <w:szCs w:val="24"/>
                <w:vertAlign w:val="subscript"/>
                <w:lang w:val="en-US" w:eastAsia="zh-CN"/>
              </w:rPr>
              <w:t>c</w:t>
            </w:r>
            <w:r>
              <w:rPr>
                <w:rFonts w:hint="eastAsia" w:ascii="Times New Roman" w:hAnsi="Times New Roman" w:eastAsia="宋体" w:cs="Times New Roman"/>
                <w:sz w:val="24"/>
                <w:szCs w:val="24"/>
                <w:lang w:val="en-US" w:eastAsia="zh-CN"/>
              </w:rPr>
              <w:t>=P×（1-C</w:t>
            </w:r>
            <w:r>
              <w:rPr>
                <w:rFonts w:hint="eastAsia" w:ascii="Times New Roman" w:hAnsi="Times New Roman" w:eastAsia="宋体" w:cs="Times New Roman"/>
                <w:sz w:val="24"/>
                <w:szCs w:val="24"/>
                <w:vertAlign w:val="subscript"/>
                <w:lang w:val="en-US" w:eastAsia="zh-CN"/>
              </w:rPr>
              <w:t>m</w:t>
            </w:r>
            <w:r>
              <w:rPr>
                <w:rFonts w:hint="eastAsia" w:ascii="Times New Roman" w:hAnsi="Times New Roman" w:eastAsia="宋体" w:cs="Times New Roman"/>
                <w:sz w:val="24"/>
                <w:szCs w:val="24"/>
                <w:lang w:val="en-US" w:eastAsia="zh-CN"/>
              </w:rPr>
              <w:t>）×（1-T</w:t>
            </w:r>
            <w:r>
              <w:rPr>
                <w:rFonts w:hint="eastAsia" w:ascii="Times New Roman" w:hAnsi="Times New Roman" w:eastAsia="宋体" w:cs="Times New Roman"/>
                <w:sz w:val="24"/>
                <w:szCs w:val="24"/>
                <w:vertAlign w:val="subscript"/>
                <w:lang w:val="en-US" w:eastAsia="zh-CN"/>
              </w:rPr>
              <w:t>m</w:t>
            </w:r>
            <w:r>
              <w:rPr>
                <w:rFonts w:hint="eastAsia"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式中：P指颗粒物产生量（单位：吨）；</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8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U</w:t>
            </w:r>
            <w:r>
              <w:rPr>
                <w:rFonts w:hint="eastAsia" w:ascii="Times New Roman" w:hAnsi="Times New Roman" w:eastAsia="宋体" w:cs="Times New Roman"/>
                <w:sz w:val="24"/>
                <w:szCs w:val="24"/>
                <w:vertAlign w:val="subscript"/>
                <w:lang w:val="en-US" w:eastAsia="zh-CN"/>
              </w:rPr>
              <w:t>c</w:t>
            </w:r>
            <w:r>
              <w:rPr>
                <w:rFonts w:hint="eastAsia" w:ascii="Times New Roman" w:hAnsi="Times New Roman" w:eastAsia="宋体" w:cs="Times New Roman"/>
                <w:sz w:val="24"/>
                <w:szCs w:val="24"/>
                <w:lang w:val="en-US" w:eastAsia="zh-CN"/>
              </w:rPr>
              <w:t>指颗粒物排放量（单位：吨）；</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8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C</w:t>
            </w:r>
            <w:r>
              <w:rPr>
                <w:rFonts w:hint="eastAsia" w:ascii="Times New Roman" w:hAnsi="Times New Roman" w:eastAsia="宋体" w:cs="Times New Roman"/>
                <w:sz w:val="24"/>
                <w:szCs w:val="24"/>
                <w:vertAlign w:val="subscript"/>
                <w:lang w:val="en-US" w:eastAsia="zh-CN"/>
              </w:rPr>
              <w:t>m</w:t>
            </w:r>
            <w:r>
              <w:rPr>
                <w:rFonts w:hint="eastAsia" w:ascii="Times New Roman" w:hAnsi="Times New Roman" w:eastAsia="宋体" w:cs="Times New Roman"/>
                <w:sz w:val="24"/>
                <w:szCs w:val="24"/>
                <w:lang w:val="en-US" w:eastAsia="zh-CN"/>
              </w:rPr>
              <w:t>指颗粒物控制措施控制效率（单位：%）；</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8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T</w:t>
            </w:r>
            <w:r>
              <w:rPr>
                <w:rFonts w:hint="eastAsia" w:ascii="Times New Roman" w:hAnsi="Times New Roman" w:eastAsia="宋体" w:cs="Times New Roman"/>
                <w:sz w:val="24"/>
                <w:szCs w:val="24"/>
                <w:vertAlign w:val="subscript"/>
                <w:lang w:val="en-US" w:eastAsia="zh-CN"/>
              </w:rPr>
              <w:t>m</w:t>
            </w:r>
            <w:r>
              <w:rPr>
                <w:rFonts w:hint="eastAsia" w:ascii="Times New Roman" w:hAnsi="Times New Roman" w:eastAsia="宋体" w:cs="Times New Roman"/>
                <w:sz w:val="24"/>
                <w:szCs w:val="24"/>
                <w:lang w:val="en-US" w:eastAsia="zh-CN"/>
              </w:rPr>
              <w:t>指堆场类型控制效率（单位：%）。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根据固体物料堆存颗粒物产排污核算系数手册附录4、附录5，颗粒物的控制措施为半封闭仓库+洒水降尘，即Cm为74%</w:t>
            </w:r>
            <w:r>
              <w:rPr>
                <w:rFonts w:hint="eastAsia" w:cs="Times New Roman"/>
                <w:sz w:val="24"/>
                <w:szCs w:val="24"/>
                <w:lang w:val="en-US" w:eastAsia="zh-CN"/>
              </w:rPr>
              <w:t>，堆场为半封闭式仓库，即Tm取值60%，堆存</w:t>
            </w:r>
            <w:r>
              <w:rPr>
                <w:rFonts w:hint="eastAsia" w:ascii="Times New Roman" w:hAnsi="Times New Roman" w:eastAsia="宋体" w:cs="Times New Roman"/>
                <w:sz w:val="24"/>
                <w:szCs w:val="24"/>
                <w:lang w:val="en-US" w:eastAsia="zh-CN"/>
              </w:rPr>
              <w:t>过程中P为</w:t>
            </w:r>
            <w:r>
              <w:rPr>
                <w:rFonts w:hint="eastAsia" w:cs="Times New Roman"/>
                <w:sz w:val="24"/>
                <w:szCs w:val="24"/>
                <w:lang w:val="en-US" w:eastAsia="zh-CN"/>
              </w:rPr>
              <w:t>13.86t/a。则</w:t>
            </w:r>
            <w:r>
              <w:rPr>
                <w:rFonts w:hint="eastAsia" w:ascii="Times New Roman" w:hAnsi="Times New Roman" w:eastAsia="宋体" w:cs="Times New Roman"/>
                <w:sz w:val="24"/>
                <w:szCs w:val="24"/>
                <w:lang w:val="en-US" w:eastAsia="zh-CN"/>
              </w:rPr>
              <w:t>颗粒物排放量为</w:t>
            </w:r>
            <w:r>
              <w:rPr>
                <w:rFonts w:hint="eastAsia" w:cs="Times New Roman"/>
                <w:sz w:val="24"/>
                <w:szCs w:val="24"/>
                <w:lang w:val="en-US" w:eastAsia="zh-CN"/>
              </w:rPr>
              <w:t>1.441</w:t>
            </w:r>
            <w:r>
              <w:rPr>
                <w:rFonts w:hint="eastAsia" w:ascii="Times New Roman" w:hAnsi="Times New Roman" w:eastAsia="宋体" w:cs="Times New Roman"/>
                <w:sz w:val="24"/>
                <w:szCs w:val="24"/>
                <w:lang w:val="en-US" w:eastAsia="zh-CN"/>
              </w:rPr>
              <w:t>t/a，排放速率为</w:t>
            </w:r>
            <w:r>
              <w:rPr>
                <w:rFonts w:hint="eastAsia" w:cs="Times New Roman"/>
                <w:sz w:val="24"/>
                <w:szCs w:val="24"/>
                <w:lang w:val="en-US" w:eastAsia="zh-CN"/>
              </w:rPr>
              <w:t>0.667</w:t>
            </w:r>
            <w:r>
              <w:rPr>
                <w:rFonts w:hint="eastAsia" w:ascii="Times New Roman" w:hAnsi="Times New Roman" w:eastAsia="宋体" w:cs="Times New Roman"/>
                <w:sz w:val="24"/>
                <w:szCs w:val="24"/>
                <w:lang w:val="en-US" w:eastAsia="zh-CN"/>
              </w:rPr>
              <w:t>kg/h。</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（2）筒仓粉尘</w:t>
            </w:r>
          </w:p>
          <w:p>
            <w:pPr>
              <w:pStyle w:val="8"/>
              <w:bidi w:val="0"/>
              <w:rPr>
                <w:rFonts w:hint="eastAsia"/>
                <w:lang w:val="en-US" w:eastAsia="zh-CN"/>
              </w:rPr>
            </w:pPr>
            <w:r>
              <w:rPr>
                <w:rFonts w:hint="default"/>
                <w:lang w:val="en-US" w:eastAsia="zh-CN"/>
              </w:rPr>
              <w:t>本项目</w:t>
            </w:r>
            <w:r>
              <w:rPr>
                <w:rFonts w:hint="eastAsia"/>
                <w:lang w:val="en-US" w:eastAsia="zh-CN"/>
              </w:rPr>
              <w:t>共配备1个水泥筒仓，1个粉煤灰筒仓和1个矿粉筒仓。外购的散装粉料向筒库进料时，由于进料时筒库顶部排气口需要向外界排气，排气过程中会有颗粒物产生，其排污系数参照《排放源统计调查产排污核算方法和系数手册》中《3021水泥制品制造（含3022砼结构构件制造、3029其他水泥类似制品制造）行业》中混凝土制品系数，产污系数为0.12千克/吨-产品。</w:t>
            </w:r>
          </w:p>
          <w:p>
            <w:pPr>
              <w:pStyle w:val="53"/>
              <w:bidi w:val="0"/>
              <w:rPr>
                <w:rFonts w:hint="eastAsia"/>
                <w:lang w:val="en-US" w:eastAsia="zh-CN"/>
              </w:rPr>
            </w:pPr>
            <w:r>
              <w:rPr>
                <w:rFonts w:hint="eastAsia"/>
                <w:lang w:val="en-US" w:eastAsia="zh-CN"/>
              </w:rPr>
              <w:t>1）水泥使用量为15120t/a，筒仓进料时间共计为152h（水泥罐车卸料次数为152次，单次卸料时间为1h）。</w:t>
            </w:r>
          </w:p>
          <w:p>
            <w:pPr>
              <w:pStyle w:val="53"/>
              <w:bidi w:val="0"/>
              <w:rPr>
                <w:rFonts w:hint="eastAsia"/>
                <w:lang w:val="en-US" w:eastAsia="zh-CN"/>
              </w:rPr>
            </w:pPr>
            <w:r>
              <w:rPr>
                <w:rFonts w:hint="eastAsia"/>
                <w:lang w:val="en-US" w:eastAsia="zh-CN"/>
              </w:rPr>
              <w:t>水泥筒仓粉尘的产生量为1.814t/a，产生速率为11.937kg/h，粉尘经上方自带的脉冲式布袋除尘器（收集效率100%，治理效率为99.7%）处理后无组织排放，则排放量为</w:t>
            </w:r>
            <w:r>
              <w:rPr>
                <w:rFonts w:hint="default" w:ascii="Times New Roman" w:hAnsi="Times New Roman" w:cs="Times New Roman"/>
                <w:lang w:val="en-US" w:eastAsia="zh-CN"/>
              </w:rPr>
              <w:t>5.</w:t>
            </w:r>
            <w:r>
              <w:rPr>
                <w:rFonts w:hint="eastAsia" w:ascii="Times New Roman" w:hAnsi="Times New Roman" w:cs="Times New Roman"/>
                <w:lang w:val="en-US" w:eastAsia="zh-CN"/>
              </w:rPr>
              <w:t>443</w:t>
            </w:r>
            <w:r>
              <w:rPr>
                <w:rFonts w:hint="default" w:ascii="Times New Roman" w:hAnsi="Times New Roman" w:cs="Times New Roman"/>
                <w:lang w:val="en-US" w:eastAsia="zh-CN"/>
              </w:rPr>
              <w:t>×10</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t/a，排放速率为</w:t>
            </w:r>
            <w:r>
              <w:rPr>
                <w:rFonts w:hint="eastAsia" w:ascii="Times New Roman" w:hAnsi="Times New Roman" w:cs="Times New Roman"/>
                <w:lang w:val="en-US" w:eastAsia="zh-CN"/>
              </w:rPr>
              <w:t>0.036</w:t>
            </w:r>
            <w:r>
              <w:rPr>
                <w:rFonts w:hint="default" w:ascii="Times New Roman" w:hAnsi="Times New Roman" w:cs="Times New Roman"/>
                <w:lang w:val="en-US" w:eastAsia="zh-CN"/>
              </w:rPr>
              <w:t>kg/h</w:t>
            </w:r>
            <w:r>
              <w:rPr>
                <w:rFonts w:hint="eastAsia"/>
                <w:lang w:val="en-US" w:eastAsia="zh-CN"/>
              </w:rPr>
              <w:t>。</w:t>
            </w:r>
          </w:p>
          <w:p>
            <w:pPr>
              <w:pStyle w:val="53"/>
              <w:bidi w:val="0"/>
              <w:rPr>
                <w:rFonts w:hint="default"/>
                <w:lang w:val="en-US" w:eastAsia="zh-CN"/>
              </w:rPr>
            </w:pPr>
            <w:r>
              <w:rPr>
                <w:rFonts w:hint="eastAsia"/>
                <w:lang w:val="en-US" w:eastAsia="zh-CN"/>
              </w:rPr>
              <w:t>2）粉煤灰</w:t>
            </w:r>
            <w:r>
              <w:rPr>
                <w:rFonts w:hint="default"/>
                <w:lang w:val="en-US" w:eastAsia="zh-CN"/>
              </w:rPr>
              <w:t>使用量为</w:t>
            </w:r>
            <w:r>
              <w:rPr>
                <w:rFonts w:hint="eastAsia"/>
                <w:lang w:val="en-US" w:eastAsia="zh-CN"/>
              </w:rPr>
              <w:t>3780</w:t>
            </w:r>
            <w:r>
              <w:rPr>
                <w:rFonts w:hint="default"/>
                <w:lang w:val="en-US" w:eastAsia="zh-CN"/>
              </w:rPr>
              <w:t>t/a，筒仓进料时间共计为</w:t>
            </w:r>
            <w:r>
              <w:rPr>
                <w:rFonts w:hint="eastAsia"/>
                <w:lang w:val="en-US" w:eastAsia="zh-CN"/>
              </w:rPr>
              <w:t>38</w:t>
            </w:r>
            <w:r>
              <w:rPr>
                <w:rFonts w:hint="default"/>
                <w:lang w:val="en-US" w:eastAsia="zh-CN"/>
              </w:rPr>
              <w:t>h（</w:t>
            </w:r>
            <w:r>
              <w:rPr>
                <w:rFonts w:hint="eastAsia"/>
                <w:lang w:val="en-US" w:eastAsia="zh-CN"/>
              </w:rPr>
              <w:t>粉煤灰</w:t>
            </w:r>
            <w:r>
              <w:rPr>
                <w:rFonts w:hint="default"/>
                <w:lang w:val="en-US" w:eastAsia="zh-CN"/>
              </w:rPr>
              <w:t>罐车卸料次数为</w:t>
            </w:r>
            <w:r>
              <w:rPr>
                <w:rFonts w:hint="eastAsia"/>
                <w:lang w:val="en-US" w:eastAsia="zh-CN"/>
              </w:rPr>
              <w:t>38</w:t>
            </w:r>
            <w:r>
              <w:rPr>
                <w:rFonts w:hint="default"/>
                <w:lang w:val="en-US" w:eastAsia="zh-CN"/>
              </w:rPr>
              <w:t>次，单次卸料时间为1h）。</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ascii="Times New Roman" w:hAnsi="Times New Roman" w:cs="Times New Roman"/>
                <w:lang w:val="en-US" w:eastAsia="zh-CN"/>
              </w:rPr>
              <w:t>粉煤灰</w:t>
            </w:r>
            <w:r>
              <w:rPr>
                <w:rFonts w:hint="default" w:ascii="Times New Roman" w:hAnsi="Times New Roman" w:cs="Times New Roman"/>
                <w:lang w:val="en-US" w:eastAsia="zh-CN"/>
              </w:rPr>
              <w:t>筒仓粉尘的产生量为</w:t>
            </w:r>
            <w:r>
              <w:rPr>
                <w:rFonts w:hint="eastAsia" w:cs="Times New Roman"/>
                <w:lang w:val="en-US" w:eastAsia="zh-CN"/>
              </w:rPr>
              <w:t>0.454</w:t>
            </w:r>
            <w:r>
              <w:rPr>
                <w:rFonts w:hint="default" w:ascii="Times New Roman" w:hAnsi="Times New Roman" w:cs="Times New Roman"/>
                <w:lang w:val="en-US" w:eastAsia="zh-CN"/>
              </w:rPr>
              <w:t>t/a</w:t>
            </w:r>
            <w:r>
              <w:rPr>
                <w:rFonts w:hint="eastAsia" w:ascii="Times New Roman" w:hAnsi="Times New Roman" w:cs="Times New Roman"/>
                <w:lang w:val="en-US" w:eastAsia="zh-CN"/>
              </w:rPr>
              <w:t>，</w:t>
            </w:r>
            <w:r>
              <w:rPr>
                <w:rFonts w:hint="default"/>
                <w:lang w:val="en-US" w:eastAsia="zh-CN"/>
              </w:rPr>
              <w:t>产生速率为</w:t>
            </w:r>
            <w:r>
              <w:rPr>
                <w:rFonts w:hint="eastAsia"/>
                <w:lang w:val="en-US" w:eastAsia="zh-CN"/>
              </w:rPr>
              <w:t>11.937</w:t>
            </w:r>
            <w:r>
              <w:rPr>
                <w:rFonts w:hint="default"/>
                <w:lang w:val="en-US" w:eastAsia="zh-CN"/>
              </w:rPr>
              <w:t>kg/h</w:t>
            </w:r>
            <w:r>
              <w:rPr>
                <w:rFonts w:hint="eastAsia"/>
                <w:lang w:val="en-US" w:eastAsia="zh-CN"/>
              </w:rPr>
              <w:t>，粉尘</w:t>
            </w:r>
            <w:r>
              <w:rPr>
                <w:rFonts w:hint="default"/>
                <w:lang w:val="en-US" w:eastAsia="zh-CN"/>
              </w:rPr>
              <w:t>经上方自带的</w:t>
            </w:r>
            <w:r>
              <w:rPr>
                <w:rFonts w:hint="eastAsia"/>
                <w:lang w:val="en-US" w:eastAsia="zh-CN"/>
              </w:rPr>
              <w:t>脉冲式布袋除尘器</w:t>
            </w:r>
            <w:r>
              <w:rPr>
                <w:rFonts w:hint="default"/>
                <w:lang w:val="en-US" w:eastAsia="zh-CN"/>
              </w:rPr>
              <w:t>（收集效率100%，治理效率为99.7%）处理后无组织排放，则排放量为</w:t>
            </w:r>
            <w:r>
              <w:rPr>
                <w:rFonts w:hint="eastAsia"/>
                <w:lang w:val="en-US" w:eastAsia="zh-CN"/>
              </w:rPr>
              <w:t>1.361</w:t>
            </w:r>
            <w:r>
              <w:rPr>
                <w:rFonts w:hint="default" w:ascii="Times New Roman" w:hAnsi="Times New Roman" w:cs="Times New Roman"/>
                <w:lang w:val="en-US" w:eastAsia="zh-CN"/>
              </w:rPr>
              <w:t>×</w:t>
            </w:r>
            <w:r>
              <w:rPr>
                <w:rFonts w:hint="eastAsia"/>
                <w:lang w:val="en-US" w:eastAsia="zh-CN"/>
              </w:rPr>
              <w:t>10</w:t>
            </w:r>
            <w:r>
              <w:rPr>
                <w:rFonts w:hint="eastAsia"/>
                <w:vertAlign w:val="superscript"/>
                <w:lang w:val="en-US" w:eastAsia="zh-CN"/>
              </w:rPr>
              <w:t>-3</w:t>
            </w:r>
            <w:r>
              <w:rPr>
                <w:rFonts w:hint="default"/>
                <w:lang w:val="en-US" w:eastAsia="zh-CN"/>
              </w:rPr>
              <w:t>t/a，排放速率为</w:t>
            </w:r>
            <w:r>
              <w:rPr>
                <w:rFonts w:hint="eastAsia"/>
                <w:lang w:val="en-US" w:eastAsia="zh-CN"/>
              </w:rPr>
              <w:t>0.036</w:t>
            </w:r>
            <w:r>
              <w:rPr>
                <w:rFonts w:hint="default"/>
                <w:lang w:val="en-US" w:eastAsia="zh-CN"/>
              </w:rPr>
              <w:t>kg/h。</w:t>
            </w:r>
          </w:p>
          <w:p>
            <w:pPr>
              <w:pStyle w:val="53"/>
              <w:bidi w:val="0"/>
              <w:rPr>
                <w:rFonts w:hint="default"/>
                <w:lang w:val="en-US" w:eastAsia="zh-CN"/>
              </w:rPr>
            </w:pPr>
            <w:r>
              <w:rPr>
                <w:rFonts w:hint="eastAsia"/>
                <w:lang w:val="en-US" w:eastAsia="zh-CN"/>
              </w:rPr>
              <w:t>3</w:t>
            </w:r>
            <w:r>
              <w:rPr>
                <w:rFonts w:hint="default"/>
                <w:lang w:val="en-US" w:eastAsia="zh-CN"/>
              </w:rPr>
              <w:t>）</w:t>
            </w:r>
            <w:r>
              <w:rPr>
                <w:rFonts w:hint="eastAsia"/>
                <w:lang w:val="en-US" w:eastAsia="zh-CN"/>
              </w:rPr>
              <w:t>矿粉</w:t>
            </w:r>
            <w:r>
              <w:rPr>
                <w:rFonts w:hint="default"/>
                <w:lang w:val="en-US" w:eastAsia="zh-CN"/>
              </w:rPr>
              <w:t>使用量为</w:t>
            </w:r>
            <w:r>
              <w:rPr>
                <w:rFonts w:hint="eastAsia"/>
                <w:lang w:val="en-US" w:eastAsia="zh-CN"/>
              </w:rPr>
              <w:t>3240</w:t>
            </w:r>
            <w:r>
              <w:rPr>
                <w:rFonts w:hint="default"/>
                <w:lang w:val="en-US" w:eastAsia="zh-CN"/>
              </w:rPr>
              <w:t>t/a，筒仓进料时间共计为</w:t>
            </w:r>
            <w:r>
              <w:rPr>
                <w:rFonts w:hint="eastAsia"/>
                <w:lang w:val="en-US" w:eastAsia="zh-CN"/>
              </w:rPr>
              <w:t>33</w:t>
            </w:r>
            <w:r>
              <w:rPr>
                <w:rFonts w:hint="default"/>
                <w:lang w:val="en-US" w:eastAsia="zh-CN"/>
              </w:rPr>
              <w:t>h（</w:t>
            </w:r>
            <w:r>
              <w:rPr>
                <w:rFonts w:hint="eastAsia"/>
                <w:lang w:val="en-US" w:eastAsia="zh-CN"/>
              </w:rPr>
              <w:t>矿粉</w:t>
            </w:r>
            <w:r>
              <w:rPr>
                <w:rFonts w:hint="default"/>
                <w:lang w:val="en-US" w:eastAsia="zh-CN"/>
              </w:rPr>
              <w:t>罐车卸料次数为</w:t>
            </w:r>
            <w:r>
              <w:rPr>
                <w:rFonts w:hint="eastAsia"/>
                <w:lang w:val="en-US" w:eastAsia="zh-CN"/>
              </w:rPr>
              <w:t>33</w:t>
            </w:r>
            <w:r>
              <w:rPr>
                <w:rFonts w:hint="default"/>
                <w:lang w:val="en-US" w:eastAsia="zh-CN"/>
              </w:rPr>
              <w:t>次，单次卸料时间为1h）。</w:t>
            </w:r>
          </w:p>
          <w:p>
            <w:pPr>
              <w:pStyle w:val="53"/>
              <w:bidi w:val="0"/>
              <w:rPr>
                <w:rFonts w:hint="default"/>
                <w:lang w:val="en-US" w:eastAsia="zh-CN"/>
              </w:rPr>
            </w:pPr>
            <w:r>
              <w:rPr>
                <w:rFonts w:hint="default"/>
                <w:lang w:val="en-US" w:eastAsia="zh-CN"/>
              </w:rPr>
              <w:t>矿粉筒仓粉尘的产生量为</w:t>
            </w:r>
            <w:r>
              <w:rPr>
                <w:rFonts w:hint="eastAsia"/>
                <w:lang w:val="en-US" w:eastAsia="zh-CN"/>
              </w:rPr>
              <w:t>0.389</w:t>
            </w:r>
            <w:r>
              <w:rPr>
                <w:rFonts w:hint="default"/>
                <w:lang w:val="en-US" w:eastAsia="zh-CN"/>
              </w:rPr>
              <w:t>t/a，产生速率为</w:t>
            </w:r>
            <w:r>
              <w:rPr>
                <w:rFonts w:hint="eastAsia"/>
                <w:lang w:val="en-US" w:eastAsia="zh-CN"/>
              </w:rPr>
              <w:t>11.782</w:t>
            </w:r>
            <w:r>
              <w:rPr>
                <w:rFonts w:hint="default"/>
                <w:lang w:val="en-US" w:eastAsia="zh-CN"/>
              </w:rPr>
              <w:t>kg/h，粉尘经上方自带的脉冲式布袋除尘器（收集效率100%，治理效率为99.7%）处理后无组织排放，则排放量为</w:t>
            </w:r>
            <w:r>
              <w:rPr>
                <w:rFonts w:hint="eastAsia"/>
                <w:lang w:val="en-US" w:eastAsia="zh-CN"/>
              </w:rPr>
              <w:t>1.166</w:t>
            </w:r>
            <w:r>
              <w:rPr>
                <w:rFonts w:hint="default"/>
                <w:lang w:val="en-US" w:eastAsia="zh-CN"/>
              </w:rPr>
              <w:t>×10</w:t>
            </w:r>
            <w:r>
              <w:rPr>
                <w:rFonts w:hint="default"/>
                <w:vertAlign w:val="superscript"/>
                <w:lang w:val="en-US" w:eastAsia="zh-CN"/>
              </w:rPr>
              <w:t>-3</w:t>
            </w:r>
            <w:r>
              <w:rPr>
                <w:rFonts w:hint="default"/>
                <w:lang w:val="en-US" w:eastAsia="zh-CN"/>
              </w:rPr>
              <w:t>t/a，排放速率为</w:t>
            </w:r>
            <w:r>
              <w:rPr>
                <w:rFonts w:hint="eastAsia"/>
                <w:lang w:val="en-US" w:eastAsia="zh-CN"/>
              </w:rPr>
              <w:t>0.035</w:t>
            </w:r>
            <w:r>
              <w:rPr>
                <w:rFonts w:hint="default"/>
                <w:lang w:val="en-US" w:eastAsia="zh-CN"/>
              </w:rPr>
              <w:t>kg/h。</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（3）投料粉尘</w:t>
            </w:r>
          </w:p>
          <w:p>
            <w:pPr>
              <w:pStyle w:val="53"/>
              <w:bidi w:val="0"/>
              <w:rPr>
                <w:rFonts w:hint="eastAsia"/>
                <w:lang w:val="en-US" w:eastAsia="zh-CN"/>
              </w:rPr>
            </w:pPr>
            <w:r>
              <w:rPr>
                <w:rFonts w:hint="default"/>
                <w:lang w:val="en-US" w:eastAsia="zh-CN"/>
              </w:rPr>
              <w:t>混凝土搅拌线在搅拌工序中投放砂子、石子等原料时会产生投料粉尘，粉尘产生量参照《逸散性工业粉尘控制技术》表22-1中的装水泥、砂和粒料入称量斗污染物排放因子，排放因子为0.01kg/t（装料）</w:t>
            </w:r>
            <w:r>
              <w:rPr>
                <w:rFonts w:hint="eastAsia"/>
                <w:lang w:val="en-US" w:eastAsia="zh-CN"/>
              </w:rPr>
              <w:t>。</w:t>
            </w:r>
          </w:p>
          <w:p>
            <w:pPr>
              <w:pStyle w:val="51"/>
              <w:bidi w:val="0"/>
              <w:rPr>
                <w:rFonts w:hint="default" w:ascii="Times New Roman" w:hAnsi="Times New Roman" w:cs="Times New Roman"/>
                <w:lang w:val="en-US" w:eastAsia="zh-CN"/>
              </w:rPr>
            </w:pPr>
            <w:r>
              <w:rPr>
                <w:rFonts w:hint="eastAsia"/>
                <w:lang w:val="en-US" w:eastAsia="zh-CN"/>
              </w:rPr>
              <w:t>本项目</w:t>
            </w:r>
            <w:r>
              <w:rPr>
                <w:rFonts w:hint="default"/>
                <w:lang w:val="en-US" w:eastAsia="zh-CN"/>
              </w:rPr>
              <w:t>投加</w:t>
            </w:r>
            <w:r>
              <w:rPr>
                <w:rFonts w:hint="eastAsia"/>
                <w:lang w:val="en-US" w:eastAsia="zh-CN"/>
              </w:rPr>
              <w:t>原辅料为砂子48600t/a、石子57240t/a，投加总量</w:t>
            </w:r>
            <w:r>
              <w:rPr>
                <w:rFonts w:hint="default"/>
                <w:lang w:val="en-US" w:eastAsia="zh-CN"/>
              </w:rPr>
              <w:t>为</w:t>
            </w:r>
            <w:r>
              <w:rPr>
                <w:rFonts w:hint="eastAsia"/>
                <w:lang w:val="en-US" w:eastAsia="zh-CN"/>
              </w:rPr>
              <w:t>105840t/a</w:t>
            </w:r>
            <w:r>
              <w:rPr>
                <w:rFonts w:hint="default"/>
                <w:lang w:val="en-US" w:eastAsia="zh-CN"/>
              </w:rPr>
              <w:t>，则投料粉尘产生量为</w:t>
            </w:r>
            <w:r>
              <w:rPr>
                <w:rFonts w:hint="eastAsia"/>
                <w:lang w:val="en-US" w:eastAsia="zh-CN"/>
              </w:rPr>
              <w:t>1.058</w:t>
            </w:r>
            <w:r>
              <w:rPr>
                <w:rFonts w:hint="default"/>
                <w:lang w:val="en-US" w:eastAsia="zh-CN"/>
              </w:rPr>
              <w:t>t/a。投料采取洒水降尘</w:t>
            </w:r>
            <w:r>
              <w:rPr>
                <w:rFonts w:hint="eastAsia"/>
                <w:lang w:val="en-US" w:eastAsia="zh-CN"/>
              </w:rPr>
              <w:t>（</w:t>
            </w:r>
            <w:r>
              <w:rPr>
                <w:rFonts w:hint="default"/>
                <w:lang w:val="en-US" w:eastAsia="zh-CN"/>
              </w:rPr>
              <w:t>控制效率74%</w:t>
            </w:r>
            <w:r>
              <w:rPr>
                <w:rFonts w:hint="eastAsia"/>
                <w:lang w:val="en-US" w:eastAsia="zh-CN"/>
              </w:rPr>
              <w:t>）</w:t>
            </w:r>
            <w:r>
              <w:rPr>
                <w:rFonts w:hint="default"/>
                <w:lang w:val="en-US" w:eastAsia="zh-CN"/>
              </w:rPr>
              <w:t>，</w:t>
            </w:r>
            <w:r>
              <w:rPr>
                <w:rFonts w:hint="eastAsia"/>
                <w:lang w:val="en-US" w:eastAsia="zh-CN"/>
              </w:rPr>
              <w:t>上料口围挡（</w:t>
            </w:r>
            <w:r>
              <w:rPr>
                <w:rFonts w:hint="default"/>
                <w:lang w:val="en-US" w:eastAsia="zh-CN"/>
              </w:rPr>
              <w:t>控制效率60%</w:t>
            </w:r>
            <w:r>
              <w:rPr>
                <w:rFonts w:hint="eastAsia"/>
                <w:lang w:val="en-US" w:eastAsia="zh-CN"/>
              </w:rPr>
              <w:t>）</w:t>
            </w:r>
            <w:r>
              <w:rPr>
                <w:rFonts w:hint="default"/>
                <w:lang w:val="en-US" w:eastAsia="zh-CN"/>
              </w:rPr>
              <w:t>，</w:t>
            </w:r>
            <w:r>
              <w:rPr>
                <w:rFonts w:hint="eastAsia"/>
                <w:lang w:val="en-US" w:eastAsia="zh-CN"/>
              </w:rPr>
              <w:t>综合效率为89.6%，</w:t>
            </w:r>
            <w:r>
              <w:rPr>
                <w:rFonts w:hint="default"/>
                <w:lang w:val="en-US" w:eastAsia="zh-CN"/>
              </w:rPr>
              <w:t>年工作</w:t>
            </w:r>
            <w:r>
              <w:rPr>
                <w:rFonts w:hint="eastAsia"/>
                <w:lang w:val="en-US" w:eastAsia="zh-CN"/>
              </w:rPr>
              <w:t>360</w:t>
            </w:r>
            <w:r>
              <w:rPr>
                <w:rFonts w:hint="default"/>
                <w:lang w:val="en-US" w:eastAsia="zh-CN"/>
              </w:rPr>
              <w:t>h</w:t>
            </w:r>
            <w:r>
              <w:rPr>
                <w:rFonts w:hint="eastAsia"/>
                <w:lang w:val="en-US" w:eastAsia="zh-CN"/>
              </w:rPr>
              <w:t>。</w:t>
            </w:r>
            <w:r>
              <w:rPr>
                <w:rFonts w:hint="default"/>
                <w:lang w:val="en-US" w:eastAsia="zh-CN"/>
              </w:rPr>
              <w:t>则</w:t>
            </w:r>
            <w:r>
              <w:rPr>
                <w:rFonts w:hint="eastAsia"/>
                <w:lang w:val="en-US" w:eastAsia="zh-CN"/>
              </w:rPr>
              <w:t>无</w:t>
            </w:r>
            <w:r>
              <w:rPr>
                <w:rFonts w:hint="default"/>
                <w:lang w:val="en-US" w:eastAsia="zh-CN"/>
              </w:rPr>
              <w:t>组</w:t>
            </w:r>
            <w:r>
              <w:rPr>
                <w:rFonts w:hint="default" w:ascii="Times New Roman" w:hAnsi="Times New Roman" w:cs="Times New Roman"/>
                <w:lang w:val="en-US" w:eastAsia="zh-CN"/>
              </w:rPr>
              <w:t>织排放量为</w:t>
            </w:r>
            <w:r>
              <w:rPr>
                <w:rFonts w:hint="eastAsia" w:cs="Times New Roman"/>
                <w:lang w:val="en-US" w:eastAsia="zh-CN"/>
              </w:rPr>
              <w:t>0.11</w:t>
            </w:r>
            <w:r>
              <w:rPr>
                <w:rFonts w:hint="default" w:ascii="Times New Roman" w:hAnsi="Times New Roman" w:cs="Times New Roman"/>
                <w:lang w:val="en-US" w:eastAsia="zh-CN"/>
              </w:rPr>
              <w:t>t/a，速率为</w:t>
            </w:r>
            <w:r>
              <w:rPr>
                <w:rFonts w:hint="eastAsia" w:cs="Times New Roman"/>
                <w:lang w:val="en-US" w:eastAsia="zh-CN"/>
              </w:rPr>
              <w:t>0.306</w:t>
            </w:r>
            <w:r>
              <w:rPr>
                <w:rFonts w:hint="default" w:ascii="Times New Roman" w:hAnsi="Times New Roman" w:cs="Times New Roman"/>
                <w:lang w:val="en-US" w:eastAsia="zh-CN"/>
              </w:rPr>
              <w:t>kg/h。</w:t>
            </w:r>
          </w:p>
          <w:p>
            <w:pPr>
              <w:pStyle w:val="51"/>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综上，项目</w:t>
            </w:r>
            <w:r>
              <w:rPr>
                <w:rFonts w:hint="eastAsia" w:ascii="Times New Roman" w:hAnsi="Times New Roman" w:cs="Times New Roman"/>
                <w:highlight w:val="none"/>
                <w:lang w:val="en-US" w:eastAsia="zh-CN"/>
              </w:rPr>
              <w:t>投</w:t>
            </w:r>
            <w:r>
              <w:rPr>
                <w:rFonts w:hint="default" w:ascii="Times New Roman" w:hAnsi="Times New Roman" w:cs="Times New Roman"/>
                <w:highlight w:val="none"/>
                <w:lang w:val="en-US" w:eastAsia="zh-CN"/>
              </w:rPr>
              <w:t>料粉尘</w:t>
            </w:r>
            <w:r>
              <w:rPr>
                <w:rFonts w:hint="eastAsia" w:ascii="Times New Roman" w:hAnsi="Times New Roman" w:cs="Times New Roman"/>
                <w:highlight w:val="none"/>
                <w:lang w:val="en-US" w:eastAsia="zh-CN"/>
              </w:rPr>
              <w:t>排放浓度</w:t>
            </w:r>
            <w:r>
              <w:rPr>
                <w:rFonts w:hint="default" w:ascii="Times New Roman" w:hAnsi="Times New Roman" w:cs="Times New Roman"/>
                <w:highlight w:val="none"/>
                <w:lang w:val="en-US" w:eastAsia="zh-CN"/>
              </w:rPr>
              <w:t>满足《水泥工业大气污染物排放标准》（含2025年修改单）（GB4915-2013）表</w:t>
            </w:r>
            <w:r>
              <w:rPr>
                <w:rFonts w:hint="eastAsia" w:cs="Times New Roman"/>
                <w:highlight w:val="none"/>
                <w:lang w:val="en-US" w:eastAsia="zh-CN"/>
              </w:rPr>
              <w:t>3</w:t>
            </w:r>
            <w:r>
              <w:rPr>
                <w:rFonts w:hint="default" w:ascii="Times New Roman" w:hAnsi="Times New Roman" w:cs="Times New Roman"/>
                <w:highlight w:val="none"/>
                <w:lang w:val="en-US" w:eastAsia="zh-CN"/>
              </w:rPr>
              <w:t>大气污染物排放限值</w:t>
            </w:r>
            <w:r>
              <w:rPr>
                <w:rFonts w:hint="eastAsia" w:ascii="Times New Roman" w:hAnsi="Times New Roman" w:cs="Times New Roman"/>
                <w:highlight w:val="none"/>
                <w:lang w:val="en-US" w:eastAsia="zh-CN"/>
              </w:rPr>
              <w:t>的</w:t>
            </w:r>
            <w:r>
              <w:rPr>
                <w:rFonts w:hint="default" w:ascii="Times New Roman" w:hAnsi="Times New Roman" w:cs="Times New Roman"/>
                <w:highlight w:val="none"/>
                <w:lang w:val="en-US" w:eastAsia="zh-CN"/>
              </w:rPr>
              <w:t>要求</w:t>
            </w:r>
            <w:r>
              <w:rPr>
                <w:rFonts w:hint="eastAsia" w:ascii="Times New Roman" w:hAnsi="Times New Roman" w:cs="Times New Roman"/>
                <w:highlight w:val="none"/>
                <w:lang w:val="en-US" w:eastAsia="zh-CN"/>
              </w:rPr>
              <w:t>。</w:t>
            </w:r>
          </w:p>
          <w:p>
            <w:pPr>
              <w:pStyle w:val="2"/>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1.1.2有组织废气</w:t>
            </w:r>
          </w:p>
          <w:p>
            <w:pPr>
              <w:pStyle w:val="49"/>
              <w:bidi w:val="0"/>
              <w:rPr>
                <w:rFonts w:hint="default"/>
                <w:lang w:val="en-US" w:eastAsia="zh-CN"/>
              </w:rPr>
            </w:pPr>
            <w:r>
              <w:rPr>
                <w:rFonts w:hint="eastAsia"/>
                <w:lang w:val="en-US" w:eastAsia="zh-CN"/>
              </w:rPr>
              <w:t>（1）搅拌粉尘</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eastAsia"/>
                <w:lang w:val="en-US" w:eastAsia="zh-CN"/>
              </w:rPr>
              <w:t>本项目</w:t>
            </w:r>
            <w:r>
              <w:rPr>
                <w:rFonts w:hint="default"/>
                <w:lang w:val="en-US" w:eastAsia="zh-CN"/>
              </w:rPr>
              <w:t>搅拌工序中会产生搅拌粉尘，搅拌粉尘产污系数</w:t>
            </w:r>
            <w:r>
              <w:rPr>
                <w:rFonts w:hint="eastAsia"/>
                <w:lang w:val="en-US" w:eastAsia="zh-CN"/>
              </w:rPr>
              <w:t>参照《排放源统计调查产排污核算方法和系数手册》中《3021水泥制品制造（含3022砼结构构件制造、3029其他水泥类似制品制造）行业》中物料混合搅拌粉尘产生量为0.13kg/t-产品。</w:t>
            </w:r>
          </w:p>
          <w:p>
            <w:pPr>
              <w:pStyle w:val="48"/>
              <w:bidi w:val="0"/>
              <w:rPr>
                <w:rFonts w:hint="default"/>
                <w:highlight w:val="none"/>
                <w:lang w:val="en-US" w:eastAsia="zh-CN"/>
              </w:rPr>
            </w:pPr>
            <w:r>
              <w:rPr>
                <w:rFonts w:hint="eastAsia"/>
                <w:lang w:val="en-US" w:eastAsia="zh-CN"/>
              </w:rPr>
              <w:t>商品混凝土生产线年产5.4万立方米混凝土（合约129600t/a）</w:t>
            </w:r>
            <w:r>
              <w:rPr>
                <w:rFonts w:hint="default"/>
                <w:lang w:val="en-US" w:eastAsia="zh-CN"/>
              </w:rPr>
              <w:t>，则</w:t>
            </w:r>
            <w:r>
              <w:rPr>
                <w:rFonts w:hint="eastAsia"/>
                <w:lang w:val="en-US" w:eastAsia="zh-CN"/>
              </w:rPr>
              <w:t>搅拌</w:t>
            </w:r>
            <w:r>
              <w:rPr>
                <w:rFonts w:hint="default"/>
                <w:lang w:val="en-US" w:eastAsia="zh-CN"/>
              </w:rPr>
              <w:t>粉尘产生量为</w:t>
            </w:r>
            <w:r>
              <w:rPr>
                <w:rFonts w:hint="eastAsia"/>
                <w:lang w:val="en-US" w:eastAsia="zh-CN"/>
              </w:rPr>
              <w:t>16.848</w:t>
            </w:r>
            <w:r>
              <w:rPr>
                <w:rFonts w:hint="default"/>
                <w:lang w:val="en-US" w:eastAsia="zh-CN"/>
              </w:rPr>
              <w:t>t/a。</w:t>
            </w:r>
            <w:r>
              <w:rPr>
                <w:rFonts w:hint="eastAsia"/>
                <w:highlight w:val="none"/>
                <w:lang w:val="en-US" w:eastAsia="zh-CN"/>
              </w:rPr>
              <w:t>搅拌机顶部配置1台布袋式除尘器进行处理后由15m排气筒DA001排放，布袋除尘器与搅拌机排气口通过密闭集气罩紧密连接</w:t>
            </w:r>
            <w:r>
              <w:rPr>
                <w:rFonts w:hint="default"/>
                <w:lang w:val="en-US" w:eastAsia="zh-CN"/>
              </w:rPr>
              <w:t>。</w:t>
            </w:r>
            <w:r>
              <w:rPr>
                <w:rFonts w:hint="eastAsia"/>
                <w:lang w:val="en-US" w:eastAsia="zh-CN"/>
              </w:rPr>
              <w:t>集气罩</w:t>
            </w:r>
            <w:r>
              <w:rPr>
                <w:rFonts w:hint="default"/>
                <w:lang w:val="en-US" w:eastAsia="zh-CN"/>
              </w:rPr>
              <w:t>收集率按90%计，除尘率按99</w:t>
            </w:r>
            <w:r>
              <w:rPr>
                <w:rFonts w:hint="eastAsia"/>
                <w:lang w:val="en-US" w:eastAsia="zh-CN"/>
              </w:rPr>
              <w:t>.7</w:t>
            </w:r>
            <w:r>
              <w:rPr>
                <w:rFonts w:hint="default"/>
                <w:lang w:val="en-US" w:eastAsia="zh-CN"/>
              </w:rPr>
              <w:t>%计</w:t>
            </w:r>
            <w:r>
              <w:rPr>
                <w:rFonts w:hint="eastAsia"/>
                <w:lang w:val="en-US" w:eastAsia="zh-CN"/>
              </w:rPr>
              <w:t>，配套</w:t>
            </w:r>
            <w:r>
              <w:rPr>
                <w:rFonts w:hint="default"/>
                <w:lang w:val="en-US" w:eastAsia="zh-CN"/>
              </w:rPr>
              <w:t>风机风量为</w:t>
            </w:r>
            <w:r>
              <w:rPr>
                <w:rFonts w:hint="eastAsia"/>
                <w:lang w:val="en-US" w:eastAsia="zh-CN"/>
              </w:rPr>
              <w:t>3000</w:t>
            </w:r>
            <w:r>
              <w:rPr>
                <w:rFonts w:hint="default"/>
                <w:lang w:val="en-US" w:eastAsia="zh-CN"/>
              </w:rPr>
              <w:t>m</w:t>
            </w:r>
            <w:r>
              <w:rPr>
                <w:rFonts w:hint="default"/>
                <w:vertAlign w:val="superscript"/>
                <w:lang w:val="en-US" w:eastAsia="zh-CN"/>
              </w:rPr>
              <w:t>3</w:t>
            </w:r>
            <w:r>
              <w:rPr>
                <w:rFonts w:hint="default"/>
                <w:lang w:val="en-US" w:eastAsia="zh-CN"/>
              </w:rPr>
              <w:t>/h，年工作</w:t>
            </w:r>
            <w:r>
              <w:rPr>
                <w:rFonts w:hint="eastAsia"/>
                <w:lang w:val="en-US" w:eastAsia="zh-CN"/>
              </w:rPr>
              <w:t>900</w:t>
            </w:r>
            <w:r>
              <w:rPr>
                <w:rFonts w:hint="default"/>
                <w:lang w:val="en-US" w:eastAsia="zh-CN"/>
              </w:rPr>
              <w:t>h</w:t>
            </w:r>
            <w:r>
              <w:rPr>
                <w:rFonts w:hint="eastAsia"/>
                <w:lang w:val="en-US" w:eastAsia="zh-CN"/>
              </w:rPr>
              <w:t>。</w:t>
            </w:r>
            <w:r>
              <w:rPr>
                <w:rFonts w:hint="default"/>
                <w:lang w:val="en-US" w:eastAsia="zh-CN"/>
              </w:rPr>
              <w:t>则有组</w:t>
            </w:r>
            <w:r>
              <w:rPr>
                <w:rFonts w:hint="default" w:ascii="Times New Roman" w:hAnsi="Times New Roman" w:cs="Times New Roman"/>
                <w:lang w:val="en-US" w:eastAsia="zh-CN"/>
              </w:rPr>
              <w:t>织排放量为</w:t>
            </w:r>
            <w:r>
              <w:rPr>
                <w:rFonts w:hint="eastAsia" w:cs="Times New Roman"/>
                <w:lang w:val="en-US" w:eastAsia="zh-CN"/>
              </w:rPr>
              <w:t>0.045</w:t>
            </w:r>
            <w:r>
              <w:rPr>
                <w:rFonts w:hint="default" w:ascii="Times New Roman" w:hAnsi="Times New Roman" w:cs="Times New Roman"/>
                <w:lang w:val="en-US" w:eastAsia="zh-CN"/>
              </w:rPr>
              <w:t>t/a，速率为</w:t>
            </w:r>
            <w:r>
              <w:rPr>
                <w:rFonts w:hint="eastAsia" w:cs="Times New Roman"/>
                <w:lang w:val="en-US" w:eastAsia="zh-CN"/>
              </w:rPr>
              <w:t>0.051</w:t>
            </w:r>
            <w:r>
              <w:rPr>
                <w:rFonts w:hint="default" w:ascii="Times New Roman" w:hAnsi="Times New Roman" w:cs="Times New Roman"/>
                <w:lang w:val="en-US" w:eastAsia="zh-CN"/>
              </w:rPr>
              <w:t>kg/h，排放浓度为</w:t>
            </w:r>
            <w:r>
              <w:rPr>
                <w:rFonts w:hint="eastAsia" w:cs="Times New Roman"/>
                <w:lang w:val="en-US" w:eastAsia="zh-CN"/>
              </w:rPr>
              <w:t>16.848</w:t>
            </w:r>
            <w:r>
              <w:rPr>
                <w:rFonts w:hint="default" w:ascii="Times New Roman" w:hAnsi="Times New Roman" w:cs="Times New Roman"/>
                <w:lang w:val="en-US" w:eastAsia="zh-CN"/>
              </w:rPr>
              <w:t>mg/m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，无组织排放量为</w:t>
            </w:r>
            <w:r>
              <w:rPr>
                <w:rFonts w:hint="eastAsia" w:cs="Times New Roman"/>
                <w:lang w:val="en-US" w:eastAsia="zh-CN"/>
              </w:rPr>
              <w:t>1.685</w:t>
            </w:r>
            <w:r>
              <w:rPr>
                <w:rFonts w:hint="default" w:ascii="Times New Roman" w:hAnsi="Times New Roman" w:cs="Times New Roman"/>
                <w:lang w:val="en-US" w:eastAsia="zh-CN"/>
              </w:rPr>
              <w:t>t/a。</w:t>
            </w:r>
          </w:p>
          <w:p>
            <w:pPr>
              <w:pStyle w:val="8"/>
              <w:keepLines w:val="0"/>
              <w:pageBreakBefore w:val="0"/>
              <w:kinsoku/>
              <w:wordWrap/>
              <w:topLinePunct w:val="0"/>
              <w:autoSpaceDE/>
              <w:autoSpaceDN/>
              <w:bidi w:val="0"/>
              <w:spacing w:beforeAutospacing="0" w:afterAutospacing="0"/>
              <w:textAlignment w:val="auto"/>
              <w:rPr>
                <w:rFonts w:hint="eastAsia"/>
                <w:lang w:val="en-US" w:eastAsia="zh-CN"/>
              </w:rPr>
            </w:pPr>
            <w:r>
              <w:rPr>
                <w:rFonts w:hint="default"/>
                <w:highlight w:val="none"/>
                <w:lang w:val="en-US" w:eastAsia="zh-CN"/>
              </w:rPr>
              <w:t>综上，项目</w:t>
            </w:r>
            <w:r>
              <w:rPr>
                <w:rFonts w:hint="eastAsia"/>
                <w:highlight w:val="none"/>
                <w:lang w:val="en-US" w:eastAsia="zh-CN"/>
              </w:rPr>
              <w:t>搅拌</w:t>
            </w:r>
            <w:r>
              <w:rPr>
                <w:rFonts w:hint="default"/>
                <w:highlight w:val="none"/>
                <w:lang w:val="en-US" w:eastAsia="zh-CN"/>
              </w:rPr>
              <w:t>粉尘排放浓度满足《水泥工业大气污染物排放标准》（含2025年修改单）（GB4915-2013）表</w:t>
            </w:r>
            <w:r>
              <w:rPr>
                <w:rFonts w:hint="eastAsia"/>
                <w:highlight w:val="none"/>
                <w:lang w:val="en-US" w:eastAsia="zh-CN"/>
              </w:rPr>
              <w:t>1</w:t>
            </w:r>
            <w:r>
              <w:rPr>
                <w:rFonts w:hint="default"/>
                <w:highlight w:val="none"/>
                <w:lang w:val="en-US" w:eastAsia="zh-CN"/>
              </w:rPr>
              <w:t>大气污染物排放限值的要求</w:t>
            </w:r>
            <w:r>
              <w:rPr>
                <w:rFonts w:hint="eastAsia"/>
                <w:highlight w:val="none"/>
                <w:lang w:val="en-US" w:eastAsia="zh-CN"/>
              </w:rPr>
              <w:t>。</w:t>
            </w:r>
          </w:p>
          <w:p>
            <w:pPr>
              <w:pStyle w:val="2"/>
              <w:keepLines w:val="0"/>
              <w:pageBreakBefore w:val="0"/>
              <w:kinsoku/>
              <w:wordWrap/>
              <w:topLinePunct w:val="0"/>
              <w:autoSpaceDE/>
              <w:autoSpaceDN/>
              <w:bidi w:val="0"/>
              <w:spacing w:beforeAutospacing="0" w:afterAutospacing="0"/>
              <w:textAlignment w:val="auto"/>
              <w:rPr>
                <w:rFonts w:hint="default"/>
                <w:lang w:val="en-US" w:eastAsia="zh-CN"/>
              </w:rPr>
            </w:pPr>
            <w:r>
              <w:rPr>
                <w:rFonts w:hint="eastAsia"/>
                <w:lang w:val="en-US" w:eastAsia="zh-CN"/>
              </w:rPr>
              <w:t>1.1.3食堂油烟</w:t>
            </w:r>
          </w:p>
          <w:p>
            <w:pPr>
              <w:pStyle w:val="8"/>
              <w:keepLines w:val="0"/>
              <w:pageBreakBefore w:val="0"/>
              <w:kinsoku/>
              <w:wordWrap/>
              <w:topLinePunct w:val="0"/>
              <w:autoSpaceDE/>
              <w:autoSpaceDN/>
              <w:bidi w:val="0"/>
              <w:spacing w:beforeAutospacing="0" w:afterAutospacing="0"/>
              <w:textAlignment w:val="auto"/>
              <w:rPr>
                <w:rFonts w:hint="default"/>
                <w:lang w:val="en-US" w:eastAsia="zh-CN"/>
              </w:rPr>
            </w:pPr>
            <w:r>
              <w:rPr>
                <w:rFonts w:hint="default"/>
                <w:lang w:val="en-US" w:eastAsia="zh-CN"/>
              </w:rPr>
              <w:t>本项目劳动定员</w:t>
            </w:r>
            <w:r>
              <w:rPr>
                <w:rFonts w:hint="eastAsia"/>
                <w:lang w:val="en-US" w:eastAsia="zh-CN"/>
              </w:rPr>
              <w:t>6</w:t>
            </w:r>
            <w:r>
              <w:rPr>
                <w:rFonts w:hint="default"/>
                <w:lang w:val="en-US" w:eastAsia="zh-CN"/>
              </w:rPr>
              <w:t>人，年工作天数为</w:t>
            </w:r>
            <w:r>
              <w:rPr>
                <w:rFonts w:hint="eastAsia"/>
                <w:lang w:val="en-US" w:eastAsia="zh-CN"/>
              </w:rPr>
              <w:t>90</w:t>
            </w:r>
            <w:r>
              <w:rPr>
                <w:rFonts w:hint="default"/>
                <w:lang w:val="en-US" w:eastAsia="zh-CN"/>
              </w:rPr>
              <w:t>天</w:t>
            </w:r>
            <w:r>
              <w:rPr>
                <w:rFonts w:hint="eastAsia"/>
                <w:lang w:val="en-US" w:eastAsia="zh-CN"/>
              </w:rPr>
              <w:t>。</w:t>
            </w:r>
            <w:r>
              <w:rPr>
                <w:rFonts w:hint="default"/>
                <w:lang w:val="en-US" w:eastAsia="zh-CN"/>
              </w:rPr>
              <w:t>食用油用量平均按0.05kg/人·天计，根据该项目规模，可推算出每年食堂食用油消耗量为</w:t>
            </w:r>
            <w:r>
              <w:rPr>
                <w:rFonts w:hint="eastAsia"/>
                <w:lang w:val="en-US" w:eastAsia="zh-CN"/>
              </w:rPr>
              <w:t>27</w:t>
            </w:r>
            <w:r>
              <w:rPr>
                <w:rFonts w:hint="default"/>
                <w:lang w:val="en-US" w:eastAsia="zh-CN"/>
              </w:rPr>
              <w:t>kg，油烟挥发量一般占食用油量的2%～4%，本项目按挥发量3%计算，则油烟的产生量为</w:t>
            </w:r>
            <w:r>
              <w:rPr>
                <w:rFonts w:hint="eastAsia"/>
                <w:lang w:val="en-US" w:eastAsia="zh-CN"/>
              </w:rPr>
              <w:t>0.001t</w:t>
            </w:r>
            <w:r>
              <w:rPr>
                <w:rFonts w:hint="default"/>
                <w:lang w:val="en-US" w:eastAsia="zh-CN"/>
              </w:rPr>
              <w:t>/a，油烟废气经</w:t>
            </w:r>
            <w:r>
              <w:rPr>
                <w:rFonts w:hint="eastAsia"/>
                <w:lang w:val="en-US" w:eastAsia="zh-CN"/>
              </w:rPr>
              <w:t>油烟净化器</w:t>
            </w:r>
            <w:r>
              <w:rPr>
                <w:rFonts w:hint="default"/>
                <w:lang w:val="en-US" w:eastAsia="zh-CN"/>
              </w:rPr>
              <w:t>处理后由专用排气筒排出，每天做饭按照</w:t>
            </w:r>
            <w:r>
              <w:rPr>
                <w:rFonts w:hint="eastAsia"/>
                <w:lang w:val="en-US" w:eastAsia="zh-CN"/>
              </w:rPr>
              <w:t>2</w:t>
            </w:r>
            <w:r>
              <w:rPr>
                <w:rFonts w:hint="default"/>
                <w:lang w:val="en-US" w:eastAsia="zh-CN"/>
              </w:rPr>
              <w:t>小时计，单灶头排风量</w:t>
            </w:r>
            <w:r>
              <w:rPr>
                <w:rFonts w:hint="eastAsia"/>
                <w:lang w:val="en-US" w:eastAsia="zh-CN"/>
              </w:rPr>
              <w:t>1500</w:t>
            </w:r>
            <w:r>
              <w:rPr>
                <w:rFonts w:hint="default"/>
                <w:lang w:val="en-US" w:eastAsia="zh-CN"/>
              </w:rPr>
              <w:t>m³/h，净化率按照60%计算，则油烟排放量为</w:t>
            </w:r>
            <w:r>
              <w:rPr>
                <w:rFonts w:hint="eastAsia"/>
                <w:lang w:val="en-US" w:eastAsia="zh-CN"/>
              </w:rPr>
              <w:t>0.0004t</w:t>
            </w:r>
            <w:r>
              <w:rPr>
                <w:rFonts w:hint="default"/>
                <w:lang w:val="en-US" w:eastAsia="zh-CN"/>
              </w:rPr>
              <w:t>/a，排放速率为</w:t>
            </w:r>
            <w:r>
              <w:rPr>
                <w:rFonts w:hint="eastAsia"/>
                <w:lang w:val="en-US" w:eastAsia="zh-CN"/>
              </w:rPr>
              <w:t>0.0022</w:t>
            </w:r>
            <w:r>
              <w:rPr>
                <w:rFonts w:hint="default"/>
                <w:lang w:val="en-US" w:eastAsia="zh-CN"/>
              </w:rPr>
              <w:t>kg/h，排放浓度为</w:t>
            </w:r>
            <w:r>
              <w:rPr>
                <w:rFonts w:hint="eastAsia"/>
                <w:lang w:val="en-US" w:eastAsia="zh-CN"/>
              </w:rPr>
              <w:t>1.467</w:t>
            </w:r>
            <w:r>
              <w:rPr>
                <w:rFonts w:hint="default"/>
                <w:lang w:val="en-US" w:eastAsia="zh-CN"/>
              </w:rPr>
              <w:t>mg/m</w:t>
            </w:r>
            <w:r>
              <w:rPr>
                <w:rFonts w:hint="default"/>
                <w:vertAlign w:val="superscript"/>
                <w:lang w:val="en-US" w:eastAsia="zh-CN"/>
              </w:rPr>
              <w:t>3</w:t>
            </w:r>
            <w:r>
              <w:rPr>
                <w:rFonts w:hint="eastAsia"/>
                <w:vertAlign w:val="baseline"/>
                <w:lang w:val="en-US" w:eastAsia="zh-CN"/>
              </w:rPr>
              <w:t>。</w:t>
            </w:r>
            <w:r>
              <w:rPr>
                <w:rFonts w:hint="default"/>
                <w:lang w:val="en-US" w:eastAsia="zh-CN"/>
              </w:rPr>
              <w:t>能够满足《饮食业油烟排放标准（试行）》（GB18483-2001）中的要求小于2mg/m</w:t>
            </w:r>
            <w:r>
              <w:rPr>
                <w:rFonts w:hint="default"/>
                <w:vertAlign w:val="superscript"/>
                <w:lang w:val="en-US" w:eastAsia="zh-CN"/>
              </w:rPr>
              <w:t>3</w:t>
            </w:r>
            <w:r>
              <w:rPr>
                <w:rFonts w:hint="default"/>
                <w:lang w:val="en-US" w:eastAsia="zh-CN"/>
              </w:rPr>
              <w:t>。</w:t>
            </w:r>
          </w:p>
          <w:p>
            <w:pPr>
              <w:pStyle w:val="44"/>
              <w:bidi w:val="0"/>
              <w:rPr>
                <w:rFonts w:hint="eastAsia"/>
                <w:lang w:val="en-US" w:eastAsia="zh-CN"/>
              </w:rPr>
            </w:pPr>
          </w:p>
          <w:p>
            <w:pPr>
              <w:pStyle w:val="44"/>
              <w:bidi w:val="0"/>
              <w:ind w:left="0" w:leftChars="0" w:firstLine="0" w:firstLineChars="0"/>
              <w:rPr>
                <w:rFonts w:hint="default"/>
                <w:lang w:val="en-US" w:eastAsia="zh-CN"/>
              </w:rPr>
            </w:pPr>
          </w:p>
        </w:tc>
      </w:tr>
    </w:tbl>
    <w:p>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13228" w:type="dxa"/>
          </w:tcPr>
          <w:p>
            <w:pPr>
              <w:pStyle w:val="42"/>
              <w:bidi w:val="0"/>
              <w:rPr>
                <w:rFonts w:hint="eastAsia"/>
                <w:lang w:val="en-US" w:eastAsia="zh-CN"/>
              </w:rPr>
            </w:pPr>
            <w:r>
              <w:rPr>
                <w:rFonts w:hint="eastAsia"/>
                <w:lang w:val="en-US" w:eastAsia="zh-CN"/>
              </w:rPr>
              <w:t>表4-1    废气污染源源强核算结果一览表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900"/>
              <w:gridCol w:w="554"/>
              <w:gridCol w:w="559"/>
              <w:gridCol w:w="745"/>
              <w:gridCol w:w="738"/>
              <w:gridCol w:w="843"/>
              <w:gridCol w:w="1373"/>
              <w:gridCol w:w="750"/>
              <w:gridCol w:w="669"/>
              <w:gridCol w:w="704"/>
              <w:gridCol w:w="727"/>
              <w:gridCol w:w="750"/>
              <w:gridCol w:w="738"/>
              <w:gridCol w:w="785"/>
              <w:gridCol w:w="75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641" w:type="dxa"/>
                  <w:vMerge w:val="restart"/>
                  <w:vAlign w:val="center"/>
                </w:tcPr>
                <w:p>
                  <w:pPr>
                    <w:pStyle w:val="40"/>
                    <w:bidi w:val="0"/>
                    <w:rPr>
                      <w:rFonts w:hint="eastAsia"/>
                      <w:lang w:val="en-US" w:eastAsia="zh-CN"/>
                    </w:rPr>
                  </w:pPr>
                  <w:r>
                    <w:rPr>
                      <w:rFonts w:hint="eastAsia"/>
                      <w:lang w:val="en-US" w:eastAsia="zh-CN"/>
                    </w:rPr>
                    <w:t>污染源</w:t>
                  </w:r>
                </w:p>
              </w:tc>
              <w:tc>
                <w:tcPr>
                  <w:tcW w:w="900" w:type="dxa"/>
                  <w:vMerge w:val="restart"/>
                  <w:vAlign w:val="center"/>
                </w:tcPr>
                <w:p>
                  <w:pPr>
                    <w:pStyle w:val="40"/>
                    <w:bidi w:val="0"/>
                    <w:rPr>
                      <w:rFonts w:hint="eastAsia"/>
                      <w:lang w:val="en-US" w:eastAsia="zh-CN"/>
                    </w:rPr>
                  </w:pPr>
                  <w:r>
                    <w:rPr>
                      <w:rFonts w:hint="eastAsia"/>
                      <w:lang w:val="en-US" w:eastAsia="zh-CN"/>
                    </w:rPr>
                    <w:t>产污环节</w:t>
                  </w:r>
                </w:p>
              </w:tc>
              <w:tc>
                <w:tcPr>
                  <w:tcW w:w="554" w:type="dxa"/>
                  <w:vMerge w:val="restart"/>
                  <w:vAlign w:val="center"/>
                </w:tcPr>
                <w:p>
                  <w:pPr>
                    <w:pStyle w:val="40"/>
                    <w:bidi w:val="0"/>
                    <w:rPr>
                      <w:rFonts w:hint="eastAsia"/>
                      <w:lang w:val="en-US" w:eastAsia="zh-CN"/>
                    </w:rPr>
                  </w:pPr>
                  <w:r>
                    <w:rPr>
                      <w:rFonts w:hint="eastAsia"/>
                      <w:lang w:val="en-US" w:eastAsia="zh-CN"/>
                    </w:rPr>
                    <w:t>污染物名称</w:t>
                  </w:r>
                </w:p>
              </w:tc>
              <w:tc>
                <w:tcPr>
                  <w:tcW w:w="559" w:type="dxa"/>
                  <w:vMerge w:val="restart"/>
                  <w:vAlign w:val="center"/>
                </w:tcPr>
                <w:p>
                  <w:pPr>
                    <w:pStyle w:val="40"/>
                    <w:bidi w:val="0"/>
                    <w:rPr>
                      <w:rFonts w:hint="eastAsia"/>
                      <w:lang w:val="en-US" w:eastAsia="zh-CN"/>
                    </w:rPr>
                  </w:pPr>
                  <w:r>
                    <w:rPr>
                      <w:rFonts w:hint="eastAsia"/>
                      <w:lang w:val="en-US" w:eastAsia="zh-CN"/>
                    </w:rPr>
                    <w:t>排放形式</w:t>
                  </w:r>
                </w:p>
              </w:tc>
              <w:tc>
                <w:tcPr>
                  <w:tcW w:w="2326" w:type="dxa"/>
                  <w:gridSpan w:val="3"/>
                  <w:vAlign w:val="center"/>
                </w:tcPr>
                <w:p>
                  <w:pPr>
                    <w:pStyle w:val="40"/>
                    <w:bidi w:val="0"/>
                    <w:rPr>
                      <w:rFonts w:hint="eastAsia"/>
                      <w:lang w:val="en-US" w:eastAsia="zh-CN"/>
                    </w:rPr>
                  </w:pPr>
                  <w:r>
                    <w:rPr>
                      <w:rFonts w:hint="eastAsia"/>
                      <w:lang w:val="en-US" w:eastAsia="zh-CN"/>
                    </w:rPr>
                    <w:t>污染物产生情况</w:t>
                  </w:r>
                </w:p>
              </w:tc>
              <w:tc>
                <w:tcPr>
                  <w:tcW w:w="4223" w:type="dxa"/>
                  <w:gridSpan w:val="5"/>
                  <w:vAlign w:val="center"/>
                </w:tcPr>
                <w:p>
                  <w:pPr>
                    <w:pStyle w:val="40"/>
                    <w:bidi w:val="0"/>
                    <w:rPr>
                      <w:rFonts w:hint="eastAsia"/>
                      <w:lang w:val="en-US" w:eastAsia="zh-CN"/>
                    </w:rPr>
                  </w:pPr>
                  <w:r>
                    <w:rPr>
                      <w:rFonts w:hint="eastAsia"/>
                      <w:lang w:val="en-US" w:eastAsia="zh-CN"/>
                    </w:rPr>
                    <w:t>污染治理设施情况</w:t>
                  </w:r>
                </w:p>
              </w:tc>
              <w:tc>
                <w:tcPr>
                  <w:tcW w:w="3023" w:type="dxa"/>
                  <w:gridSpan w:val="4"/>
                  <w:vAlign w:val="center"/>
                </w:tcPr>
                <w:p>
                  <w:pPr>
                    <w:pStyle w:val="40"/>
                    <w:bidi w:val="0"/>
                    <w:rPr>
                      <w:rFonts w:hint="eastAsia"/>
                      <w:lang w:val="en-US" w:eastAsia="zh-CN"/>
                    </w:rPr>
                  </w:pPr>
                  <w:r>
                    <w:rPr>
                      <w:rFonts w:hint="eastAsia"/>
                      <w:lang w:val="en-US" w:eastAsia="zh-CN"/>
                    </w:rPr>
                    <w:t>污染物排放情况</w:t>
                  </w:r>
                </w:p>
              </w:tc>
              <w:tc>
                <w:tcPr>
                  <w:tcW w:w="776" w:type="dxa"/>
                  <w:vAlign w:val="center"/>
                </w:tcPr>
                <w:p>
                  <w:pPr>
                    <w:pStyle w:val="40"/>
                    <w:bidi w:val="0"/>
                    <w:rPr>
                      <w:rFonts w:hint="eastAsia"/>
                      <w:lang w:val="en-US" w:eastAsia="zh-CN"/>
                    </w:rPr>
                  </w:pPr>
                  <w:r>
                    <w:rPr>
                      <w:rFonts w:hint="eastAsia"/>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41" w:type="dxa"/>
                  <w:vMerge w:val="continue"/>
                  <w:vAlign w:val="center"/>
                </w:tcPr>
                <w:p>
                  <w:pPr>
                    <w:pStyle w:val="40"/>
                    <w:bidi w:val="0"/>
                    <w:rPr>
                      <w:rFonts w:hint="eastAsia"/>
                      <w:lang w:val="en-US" w:eastAsia="zh-CN"/>
                    </w:rPr>
                  </w:pPr>
                </w:p>
              </w:tc>
              <w:tc>
                <w:tcPr>
                  <w:tcW w:w="900" w:type="dxa"/>
                  <w:vMerge w:val="continue"/>
                  <w:vAlign w:val="center"/>
                </w:tcPr>
                <w:p>
                  <w:pPr>
                    <w:pStyle w:val="40"/>
                    <w:bidi w:val="0"/>
                    <w:rPr>
                      <w:rFonts w:hint="eastAsia"/>
                      <w:lang w:val="en-US" w:eastAsia="zh-CN"/>
                    </w:rPr>
                  </w:pPr>
                </w:p>
              </w:tc>
              <w:tc>
                <w:tcPr>
                  <w:tcW w:w="554" w:type="dxa"/>
                  <w:vMerge w:val="continue"/>
                  <w:vAlign w:val="center"/>
                </w:tcPr>
                <w:p>
                  <w:pPr>
                    <w:pStyle w:val="40"/>
                    <w:bidi w:val="0"/>
                    <w:rPr>
                      <w:rFonts w:hint="eastAsia"/>
                      <w:lang w:val="en-US" w:eastAsia="zh-CN"/>
                    </w:rPr>
                  </w:pPr>
                </w:p>
              </w:tc>
              <w:tc>
                <w:tcPr>
                  <w:tcW w:w="559" w:type="dxa"/>
                  <w:vMerge w:val="continue"/>
                  <w:vAlign w:val="center"/>
                </w:tcPr>
                <w:p>
                  <w:pPr>
                    <w:pStyle w:val="40"/>
                    <w:bidi w:val="0"/>
                    <w:rPr>
                      <w:rFonts w:hint="eastAsia"/>
                      <w:lang w:val="en-US" w:eastAsia="zh-CN"/>
                    </w:rPr>
                  </w:pPr>
                </w:p>
              </w:tc>
              <w:tc>
                <w:tcPr>
                  <w:tcW w:w="745" w:type="dxa"/>
                  <w:vAlign w:val="center"/>
                </w:tcPr>
                <w:p>
                  <w:pPr>
                    <w:pStyle w:val="40"/>
                    <w:bidi w:val="0"/>
                    <w:rPr>
                      <w:rFonts w:hint="eastAsia"/>
                      <w:lang w:val="en-US" w:eastAsia="zh-CN"/>
                    </w:rPr>
                  </w:pPr>
                  <w:r>
                    <w:rPr>
                      <w:rFonts w:hint="eastAsia"/>
                      <w:lang w:val="en-US" w:eastAsia="zh-CN"/>
                    </w:rPr>
                    <w:t>产生量t/a</w:t>
                  </w:r>
                </w:p>
              </w:tc>
              <w:tc>
                <w:tcPr>
                  <w:tcW w:w="738" w:type="dxa"/>
                  <w:vAlign w:val="center"/>
                </w:tcPr>
                <w:p>
                  <w:pPr>
                    <w:pStyle w:val="40"/>
                    <w:bidi w:val="0"/>
                    <w:rPr>
                      <w:rFonts w:hint="eastAsia"/>
                      <w:lang w:val="en-US" w:eastAsia="zh-CN"/>
                    </w:rPr>
                  </w:pPr>
                  <w:r>
                    <w:rPr>
                      <w:rFonts w:hint="eastAsia"/>
                      <w:lang w:val="en-US" w:eastAsia="zh-CN"/>
                    </w:rPr>
                    <w:t>产生速率kg/h</w:t>
                  </w:r>
                </w:p>
              </w:tc>
              <w:tc>
                <w:tcPr>
                  <w:tcW w:w="843" w:type="dxa"/>
                  <w:vAlign w:val="center"/>
                </w:tcPr>
                <w:p>
                  <w:pPr>
                    <w:pStyle w:val="40"/>
                    <w:bidi w:val="0"/>
                    <w:rPr>
                      <w:rFonts w:hint="eastAsia"/>
                      <w:lang w:val="en-US" w:eastAsia="zh-CN"/>
                    </w:rPr>
                  </w:pPr>
                  <w:r>
                    <w:rPr>
                      <w:rFonts w:hint="eastAsia"/>
                      <w:lang w:val="en-US" w:eastAsia="zh-CN"/>
                    </w:rPr>
                    <w:t>产生浓度</w:t>
                  </w:r>
                </w:p>
                <w:p>
                  <w:pPr>
                    <w:pStyle w:val="40"/>
                    <w:bidi w:val="0"/>
                    <w:rPr>
                      <w:rFonts w:hint="eastAsia"/>
                      <w:lang w:val="en-US" w:eastAsia="zh-CN"/>
                    </w:rPr>
                  </w:pPr>
                  <w:r>
                    <w:rPr>
                      <w:rFonts w:hint="eastAsia"/>
                      <w:lang w:val="en-US" w:eastAsia="zh-CN"/>
                    </w:rPr>
                    <w:t>mg/m</w:t>
                  </w:r>
                  <w:r>
                    <w:rPr>
                      <w:rFonts w:hint="eastAsia"/>
                      <w:vertAlign w:val="superscript"/>
                      <w:lang w:val="en-US" w:eastAsia="zh-CN"/>
                    </w:rPr>
                    <w:t>3</w:t>
                  </w:r>
                </w:p>
              </w:tc>
              <w:tc>
                <w:tcPr>
                  <w:tcW w:w="1373" w:type="dxa"/>
                  <w:vAlign w:val="center"/>
                </w:tcPr>
                <w:p>
                  <w:pPr>
                    <w:pStyle w:val="40"/>
                    <w:bidi w:val="0"/>
                    <w:rPr>
                      <w:rFonts w:hint="eastAsia"/>
                      <w:lang w:val="en-US" w:eastAsia="zh-CN"/>
                    </w:rPr>
                  </w:pPr>
                  <w:r>
                    <w:rPr>
                      <w:rFonts w:hint="eastAsia"/>
                      <w:lang w:val="en-US" w:eastAsia="zh-CN"/>
                    </w:rPr>
                    <w:t>污染治理设施工艺</w:t>
                  </w:r>
                </w:p>
              </w:tc>
              <w:tc>
                <w:tcPr>
                  <w:tcW w:w="750" w:type="dxa"/>
                  <w:vAlign w:val="center"/>
                </w:tcPr>
                <w:p>
                  <w:pPr>
                    <w:pStyle w:val="40"/>
                    <w:bidi w:val="0"/>
                    <w:rPr>
                      <w:rFonts w:hint="eastAsia"/>
                    </w:rPr>
                  </w:pPr>
                  <w:r>
                    <w:rPr>
                      <w:rFonts w:hint="eastAsia"/>
                      <w:lang w:val="en-US" w:eastAsia="zh-CN"/>
                    </w:rPr>
                    <w:t>风机风量m</w:t>
                  </w:r>
                  <w:r>
                    <w:rPr>
                      <w:rFonts w:hint="eastAsia"/>
                      <w:vertAlign w:val="superscript"/>
                      <w:lang w:val="en-US" w:eastAsia="zh-CN"/>
                    </w:rPr>
                    <w:t>3</w:t>
                  </w:r>
                  <w:r>
                    <w:rPr>
                      <w:rFonts w:hint="eastAsia"/>
                      <w:lang w:val="en-US" w:eastAsia="zh-CN"/>
                    </w:rPr>
                    <w:t>/h</w:t>
                  </w:r>
                </w:p>
              </w:tc>
              <w:tc>
                <w:tcPr>
                  <w:tcW w:w="669" w:type="dxa"/>
                  <w:vAlign w:val="center"/>
                </w:tcPr>
                <w:p>
                  <w:pPr>
                    <w:pStyle w:val="40"/>
                    <w:bidi w:val="0"/>
                    <w:rPr>
                      <w:rFonts w:hint="eastAsia"/>
                      <w:lang w:val="en-US" w:eastAsia="zh-CN"/>
                    </w:rPr>
                  </w:pPr>
                  <w:r>
                    <w:rPr>
                      <w:rFonts w:hint="eastAsia"/>
                    </w:rPr>
                    <w:t>收集效率%</w:t>
                  </w:r>
                </w:p>
              </w:tc>
              <w:tc>
                <w:tcPr>
                  <w:tcW w:w="704" w:type="dxa"/>
                  <w:vAlign w:val="center"/>
                </w:tcPr>
                <w:p>
                  <w:pPr>
                    <w:pStyle w:val="40"/>
                    <w:bidi w:val="0"/>
                    <w:rPr>
                      <w:rFonts w:hint="eastAsia"/>
                      <w:lang w:val="en-US" w:eastAsia="zh-CN"/>
                    </w:rPr>
                  </w:pPr>
                  <w:r>
                    <w:rPr>
                      <w:rFonts w:hint="eastAsia"/>
                    </w:rPr>
                    <w:t>去除效率%</w:t>
                  </w:r>
                </w:p>
              </w:tc>
              <w:tc>
                <w:tcPr>
                  <w:tcW w:w="727" w:type="dxa"/>
                  <w:vAlign w:val="center"/>
                </w:tcPr>
                <w:p>
                  <w:pPr>
                    <w:pStyle w:val="40"/>
                    <w:bidi w:val="0"/>
                    <w:rPr>
                      <w:rFonts w:hint="eastAsia"/>
                      <w:lang w:val="en-US" w:eastAsia="zh-CN"/>
                    </w:rPr>
                  </w:pPr>
                  <w:r>
                    <w:rPr>
                      <w:rFonts w:hint="eastAsia"/>
                      <w:lang w:val="en-US" w:eastAsia="zh-CN"/>
                    </w:rPr>
                    <w:t>是否为可行技术</w:t>
                  </w:r>
                </w:p>
              </w:tc>
              <w:tc>
                <w:tcPr>
                  <w:tcW w:w="750" w:type="dxa"/>
                  <w:vAlign w:val="center"/>
                </w:tcPr>
                <w:p>
                  <w:pPr>
                    <w:pStyle w:val="40"/>
                    <w:bidi w:val="0"/>
                    <w:rPr>
                      <w:rFonts w:hint="eastAsia"/>
                      <w:lang w:val="en-US" w:eastAsia="zh-CN"/>
                    </w:rPr>
                  </w:pPr>
                  <w:r>
                    <w:rPr>
                      <w:rFonts w:hint="eastAsia"/>
                      <w:lang w:val="en-US" w:eastAsia="zh-CN"/>
                    </w:rPr>
                    <w:t>排放量t/a</w:t>
                  </w:r>
                </w:p>
              </w:tc>
              <w:tc>
                <w:tcPr>
                  <w:tcW w:w="738" w:type="dxa"/>
                  <w:vAlign w:val="center"/>
                </w:tcPr>
                <w:p>
                  <w:pPr>
                    <w:pStyle w:val="40"/>
                    <w:bidi w:val="0"/>
                    <w:rPr>
                      <w:rFonts w:hint="eastAsia"/>
                      <w:lang w:val="en-US" w:eastAsia="zh-CN"/>
                    </w:rPr>
                  </w:pPr>
                  <w:r>
                    <w:rPr>
                      <w:rFonts w:hint="eastAsia"/>
                      <w:lang w:val="en-US" w:eastAsia="zh-CN"/>
                    </w:rPr>
                    <w:t>排放速率kg/h</w:t>
                  </w:r>
                </w:p>
              </w:tc>
              <w:tc>
                <w:tcPr>
                  <w:tcW w:w="785" w:type="dxa"/>
                  <w:vAlign w:val="center"/>
                </w:tcPr>
                <w:p>
                  <w:pPr>
                    <w:pStyle w:val="40"/>
                    <w:bidi w:val="0"/>
                    <w:rPr>
                      <w:rFonts w:hint="eastAsia"/>
                      <w:lang w:val="en-US" w:eastAsia="zh-CN"/>
                    </w:rPr>
                  </w:pPr>
                  <w:r>
                    <w:rPr>
                      <w:rFonts w:hint="eastAsia"/>
                      <w:lang w:val="en-US" w:eastAsia="zh-CN"/>
                    </w:rPr>
                    <w:t>排放浓度</w:t>
                  </w:r>
                </w:p>
                <w:p>
                  <w:pPr>
                    <w:pStyle w:val="40"/>
                    <w:bidi w:val="0"/>
                    <w:rPr>
                      <w:rFonts w:hint="eastAsia"/>
                      <w:lang w:val="en-US" w:eastAsia="zh-CN"/>
                    </w:rPr>
                  </w:pPr>
                  <w:r>
                    <w:rPr>
                      <w:rFonts w:hint="eastAsia"/>
                      <w:lang w:val="en-US" w:eastAsia="zh-CN"/>
                    </w:rPr>
                    <w:t>mg/m</w:t>
                  </w:r>
                  <w:r>
                    <w:rPr>
                      <w:rFonts w:hint="eastAsia"/>
                      <w:vertAlign w:val="superscript"/>
                      <w:lang w:val="en-US" w:eastAsia="zh-CN"/>
                    </w:rPr>
                    <w:t>3</w:t>
                  </w:r>
                </w:p>
              </w:tc>
              <w:tc>
                <w:tcPr>
                  <w:tcW w:w="750" w:type="dxa"/>
                  <w:vAlign w:val="center"/>
                </w:tcPr>
                <w:p>
                  <w:pPr>
                    <w:pStyle w:val="40"/>
                    <w:bidi w:val="0"/>
                    <w:rPr>
                      <w:rFonts w:hint="eastAsia"/>
                      <w:lang w:val="en-US" w:eastAsia="zh-CN"/>
                    </w:rPr>
                  </w:pPr>
                  <w:r>
                    <w:rPr>
                      <w:rFonts w:hint="eastAsia"/>
                      <w:lang w:val="en-US" w:eastAsia="zh-CN"/>
                    </w:rPr>
                    <w:t>排放口编号</w:t>
                  </w:r>
                </w:p>
              </w:tc>
              <w:tc>
                <w:tcPr>
                  <w:tcW w:w="776" w:type="dxa"/>
                  <w:vAlign w:val="center"/>
                </w:tcPr>
                <w:p>
                  <w:pPr>
                    <w:pStyle w:val="40"/>
                    <w:bidi w:val="0"/>
                    <w:rPr>
                      <w:rFonts w:hint="eastAsia"/>
                      <w:lang w:val="en-US" w:eastAsia="zh-CN"/>
                    </w:rPr>
                  </w:pPr>
                  <w:r>
                    <w:rPr>
                      <w:rFonts w:hint="eastAsia"/>
                      <w:lang w:val="en-US" w:eastAsia="zh-CN"/>
                    </w:rPr>
                    <w:t>排放浓度mg/m</w:t>
                  </w:r>
                  <w:r>
                    <w:rPr>
                      <w:rFonts w:hint="eastAsia"/>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jc w:val="center"/>
              </w:trPr>
              <w:tc>
                <w:tcPr>
                  <w:tcW w:w="641" w:type="dxa"/>
                  <w:vMerge w:val="restart"/>
                  <w:vAlign w:val="center"/>
                </w:tcPr>
                <w:p>
                  <w:pPr>
                    <w:pStyle w:val="40"/>
                    <w:bidi w:val="0"/>
                    <w:rPr>
                      <w:rFonts w:hint="eastAsia"/>
                      <w:lang w:val="en-US" w:eastAsia="zh-CN"/>
                    </w:rPr>
                  </w:pPr>
                  <w:r>
                    <w:rPr>
                      <w:rFonts w:hint="eastAsia"/>
                      <w:lang w:val="en-US" w:eastAsia="zh-CN"/>
                    </w:rPr>
                    <w:t>复合保温外模板生产线</w:t>
                  </w:r>
                </w:p>
              </w:tc>
              <w:tc>
                <w:tcPr>
                  <w:tcW w:w="900" w:type="dxa"/>
                  <w:vAlign w:val="center"/>
                </w:tcPr>
                <w:p>
                  <w:pPr>
                    <w:pStyle w:val="40"/>
                    <w:bidi w:val="0"/>
                    <w:rPr>
                      <w:rFonts w:hint="default"/>
                      <w:lang w:val="en-US" w:eastAsia="zh-CN"/>
                    </w:rPr>
                  </w:pPr>
                  <w:r>
                    <w:rPr>
                      <w:rFonts w:hint="default"/>
                      <w:lang w:val="en-US" w:eastAsia="zh-CN"/>
                    </w:rPr>
                    <w:t>原料堆存粉尘</w:t>
                  </w:r>
                </w:p>
              </w:tc>
              <w:tc>
                <w:tcPr>
                  <w:tcW w:w="554" w:type="dxa"/>
                  <w:vMerge w:val="restart"/>
                  <w:vAlign w:val="center"/>
                </w:tcPr>
                <w:p>
                  <w:pPr>
                    <w:pStyle w:val="40"/>
                    <w:bidi w:val="0"/>
                    <w:rPr>
                      <w:rFonts w:hint="default"/>
                      <w:lang w:val="en-US" w:eastAsia="zh-CN"/>
                    </w:rPr>
                  </w:pPr>
                  <w:r>
                    <w:rPr>
                      <w:rFonts w:hint="eastAsia"/>
                      <w:lang w:val="en-US" w:eastAsia="zh-CN"/>
                    </w:rPr>
                    <w:t>颗粒物</w:t>
                  </w:r>
                </w:p>
              </w:tc>
              <w:tc>
                <w:tcPr>
                  <w:tcW w:w="559" w:type="dxa"/>
                  <w:vMerge w:val="restart"/>
                  <w:vAlign w:val="center"/>
                </w:tcPr>
                <w:p>
                  <w:pPr>
                    <w:pStyle w:val="40"/>
                    <w:bidi w:val="0"/>
                    <w:rPr>
                      <w:rFonts w:hint="default"/>
                      <w:lang w:val="en-US" w:eastAsia="zh-CN"/>
                    </w:rPr>
                  </w:pPr>
                  <w:r>
                    <w:rPr>
                      <w:rFonts w:hint="eastAsia"/>
                      <w:lang w:val="en-US" w:eastAsia="zh-CN"/>
                    </w:rPr>
                    <w:t>无组织</w:t>
                  </w:r>
                </w:p>
              </w:tc>
              <w:tc>
                <w:tcPr>
                  <w:tcW w:w="745" w:type="dxa"/>
                  <w:vAlign w:val="center"/>
                </w:tcPr>
                <w:p>
                  <w:pPr>
                    <w:pStyle w:val="40"/>
                    <w:bidi w:val="0"/>
                    <w:rPr>
                      <w:rFonts w:hint="default"/>
                      <w:highlight w:val="none"/>
                      <w:lang w:val="en-US" w:eastAsia="zh-CN"/>
                    </w:rPr>
                  </w:pPr>
                  <w:r>
                    <w:rPr>
                      <w:rFonts w:hint="eastAsia"/>
                      <w:highlight w:val="none"/>
                      <w:lang w:val="en-US" w:eastAsia="zh-CN"/>
                    </w:rPr>
                    <w:t>13.86</w:t>
                  </w:r>
                </w:p>
              </w:tc>
              <w:tc>
                <w:tcPr>
                  <w:tcW w:w="738" w:type="dxa"/>
                  <w:vAlign w:val="center"/>
                </w:tcPr>
                <w:p>
                  <w:pPr>
                    <w:pStyle w:val="40"/>
                    <w:bidi w:val="0"/>
                    <w:rPr>
                      <w:rFonts w:hint="default"/>
                      <w:highlight w:val="none"/>
                      <w:lang w:val="en-US" w:eastAsia="zh-CN"/>
                    </w:rPr>
                  </w:pPr>
                  <w:r>
                    <w:rPr>
                      <w:rFonts w:hint="eastAsia"/>
                      <w:highlight w:val="none"/>
                      <w:lang w:val="en-US" w:eastAsia="zh-CN"/>
                    </w:rPr>
                    <w:t>6.417</w:t>
                  </w:r>
                </w:p>
              </w:tc>
              <w:tc>
                <w:tcPr>
                  <w:tcW w:w="843" w:type="dxa"/>
                  <w:vAlign w:val="center"/>
                </w:tcPr>
                <w:p>
                  <w:pPr>
                    <w:pStyle w:val="40"/>
                    <w:bidi w:val="0"/>
                    <w:rPr>
                      <w:rFonts w:hint="default"/>
                      <w:highlight w:val="none"/>
                      <w:lang w:val="en-US" w:eastAsia="zh-CN"/>
                    </w:rPr>
                  </w:pPr>
                  <w:r>
                    <w:rPr>
                      <w:rFonts w:hint="eastAsia"/>
                      <w:highlight w:val="none"/>
                      <w:lang w:val="en-US" w:eastAsia="zh-CN"/>
                    </w:rPr>
                    <w:t>/</w:t>
                  </w:r>
                </w:p>
              </w:tc>
              <w:tc>
                <w:tcPr>
                  <w:tcW w:w="1373" w:type="dxa"/>
                  <w:vAlign w:val="center"/>
                </w:tcPr>
                <w:p>
                  <w:pPr>
                    <w:pStyle w:val="40"/>
                    <w:bidi w:val="0"/>
                    <w:rPr>
                      <w:rFonts w:hint="eastAsia"/>
                      <w:highlight w:val="none"/>
                      <w:lang w:val="en-US" w:eastAsia="zh-CN"/>
                    </w:rPr>
                  </w:pPr>
                  <w:r>
                    <w:rPr>
                      <w:rFonts w:hint="eastAsia"/>
                      <w:highlight w:val="none"/>
                      <w:lang w:val="en-US" w:eastAsia="zh-CN"/>
                    </w:rPr>
                    <w:t>半封闭仓库+洒水抑尘</w:t>
                  </w:r>
                </w:p>
              </w:tc>
              <w:tc>
                <w:tcPr>
                  <w:tcW w:w="750" w:type="dxa"/>
                  <w:vAlign w:val="center"/>
                </w:tcPr>
                <w:p>
                  <w:pPr>
                    <w:pStyle w:val="40"/>
                    <w:bidi w:val="0"/>
                    <w:rPr>
                      <w:rFonts w:hint="default"/>
                      <w:lang w:val="en-US" w:eastAsia="zh-CN"/>
                    </w:rPr>
                  </w:pPr>
                  <w:r>
                    <w:rPr>
                      <w:rFonts w:hint="default"/>
                      <w:lang w:val="en-US" w:eastAsia="zh-CN"/>
                    </w:rPr>
                    <w:t>/</w:t>
                  </w:r>
                </w:p>
              </w:tc>
              <w:tc>
                <w:tcPr>
                  <w:tcW w:w="669" w:type="dxa"/>
                  <w:vAlign w:val="center"/>
                </w:tcPr>
                <w:p>
                  <w:pPr>
                    <w:pStyle w:val="40"/>
                    <w:bidi w:val="0"/>
                    <w:rPr>
                      <w:rFonts w:hint="default"/>
                      <w:lang w:val="en-US" w:eastAsia="zh-CN"/>
                    </w:rPr>
                  </w:pPr>
                  <w:r>
                    <w:rPr>
                      <w:rFonts w:hint="eastAsia"/>
                      <w:lang w:val="en-US" w:eastAsia="zh-CN"/>
                    </w:rPr>
                    <w:t>100</w:t>
                  </w:r>
                </w:p>
              </w:tc>
              <w:tc>
                <w:tcPr>
                  <w:tcW w:w="704" w:type="dxa"/>
                  <w:vAlign w:val="center"/>
                </w:tcPr>
                <w:p>
                  <w:pPr>
                    <w:pStyle w:val="40"/>
                    <w:bidi w:val="0"/>
                    <w:rPr>
                      <w:rFonts w:hint="default"/>
                      <w:lang w:val="en-US" w:eastAsia="zh-CN"/>
                    </w:rPr>
                  </w:pPr>
                  <w:r>
                    <w:rPr>
                      <w:rFonts w:hint="eastAsia"/>
                      <w:lang w:val="en-US" w:eastAsia="zh-CN"/>
                    </w:rPr>
                    <w:t>89.6</w:t>
                  </w:r>
                </w:p>
              </w:tc>
              <w:tc>
                <w:tcPr>
                  <w:tcW w:w="727" w:type="dxa"/>
                  <w:vAlign w:val="center"/>
                </w:tcPr>
                <w:p>
                  <w:pPr>
                    <w:pStyle w:val="40"/>
                    <w:bidi w:val="0"/>
                    <w:rPr>
                      <w:rFonts w:hint="default"/>
                      <w:lang w:val="en-US" w:eastAsia="zh-CN"/>
                    </w:rPr>
                  </w:pPr>
                  <w:r>
                    <w:rPr>
                      <w:rFonts w:hint="default"/>
                      <w:lang w:val="en-US" w:eastAsia="zh-CN"/>
                    </w:rPr>
                    <w:t>是</w:t>
                  </w:r>
                </w:p>
              </w:tc>
              <w:tc>
                <w:tcPr>
                  <w:tcW w:w="750" w:type="dxa"/>
                  <w:vAlign w:val="center"/>
                </w:tcPr>
                <w:p>
                  <w:pPr>
                    <w:pStyle w:val="40"/>
                    <w:bidi w:val="0"/>
                    <w:rPr>
                      <w:rFonts w:hint="default"/>
                      <w:lang w:val="en-US" w:eastAsia="zh-CN"/>
                    </w:rPr>
                  </w:pPr>
                  <w:r>
                    <w:rPr>
                      <w:rFonts w:hint="eastAsia"/>
                      <w:lang w:val="en-US" w:eastAsia="zh-CN"/>
                    </w:rPr>
                    <w:t>1.441</w:t>
                  </w:r>
                </w:p>
              </w:tc>
              <w:tc>
                <w:tcPr>
                  <w:tcW w:w="738" w:type="dxa"/>
                  <w:vAlign w:val="center"/>
                </w:tcPr>
                <w:p>
                  <w:pPr>
                    <w:pStyle w:val="40"/>
                    <w:bidi w:val="0"/>
                    <w:rPr>
                      <w:rFonts w:hint="default"/>
                      <w:lang w:val="en-US" w:eastAsia="zh-CN"/>
                    </w:rPr>
                  </w:pPr>
                  <w:r>
                    <w:rPr>
                      <w:rFonts w:hint="eastAsia"/>
                      <w:lang w:val="en-US" w:eastAsia="zh-CN"/>
                    </w:rPr>
                    <w:t>0.667</w:t>
                  </w:r>
                </w:p>
              </w:tc>
              <w:tc>
                <w:tcPr>
                  <w:tcW w:w="785" w:type="dxa"/>
                  <w:vAlign w:val="center"/>
                </w:tcPr>
                <w:p>
                  <w:pPr>
                    <w:pStyle w:val="40"/>
                    <w:bidi w:val="0"/>
                    <w:rPr>
                      <w:rFonts w:hint="default"/>
                      <w:lang w:val="en-US" w:eastAsia="zh-CN"/>
                    </w:rPr>
                  </w:pPr>
                  <w:r>
                    <w:rPr>
                      <w:rFonts w:hint="eastAsia"/>
                      <w:lang w:val="en-US" w:eastAsia="zh-CN"/>
                    </w:rPr>
                    <w:t>/</w:t>
                  </w:r>
                </w:p>
              </w:tc>
              <w:tc>
                <w:tcPr>
                  <w:tcW w:w="750" w:type="dxa"/>
                  <w:vAlign w:val="center"/>
                </w:tcPr>
                <w:p>
                  <w:pPr>
                    <w:pStyle w:val="40"/>
                    <w:bidi w:val="0"/>
                    <w:rPr>
                      <w:rFonts w:hint="default"/>
                      <w:lang w:val="en-US" w:eastAsia="zh-CN"/>
                    </w:rPr>
                  </w:pPr>
                  <w:r>
                    <w:rPr>
                      <w:rFonts w:hint="eastAsia"/>
                      <w:lang w:val="en-US" w:eastAsia="zh-CN"/>
                    </w:rPr>
                    <w:t>/</w:t>
                  </w:r>
                </w:p>
              </w:tc>
              <w:tc>
                <w:tcPr>
                  <w:tcW w:w="776" w:type="dxa"/>
                  <w:vAlign w:val="center"/>
                </w:tcPr>
                <w:p>
                  <w:pPr>
                    <w:pStyle w:val="40"/>
                    <w:bidi w:val="0"/>
                    <w:rPr>
                      <w:rFonts w:hint="default"/>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641" w:type="dxa"/>
                  <w:vMerge w:val="continue"/>
                  <w:vAlign w:val="center"/>
                </w:tcPr>
                <w:p>
                  <w:pPr>
                    <w:pStyle w:val="40"/>
                    <w:bidi w:val="0"/>
                    <w:rPr>
                      <w:rFonts w:hint="eastAsia"/>
                      <w:lang w:val="en-US" w:eastAsia="zh-CN"/>
                    </w:rPr>
                  </w:pPr>
                </w:p>
              </w:tc>
              <w:tc>
                <w:tcPr>
                  <w:tcW w:w="900" w:type="dxa"/>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水泥筒仓粉尘</w:t>
                  </w:r>
                </w:p>
              </w:tc>
              <w:tc>
                <w:tcPr>
                  <w:tcW w:w="554" w:type="dxa"/>
                  <w:vMerge w:val="continue"/>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p>
              </w:tc>
              <w:tc>
                <w:tcPr>
                  <w:tcW w:w="559" w:type="dxa"/>
                  <w:vMerge w:val="continue"/>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p>
              </w:tc>
              <w:tc>
                <w:tcPr>
                  <w:tcW w:w="745" w:type="dxa"/>
                  <w:shd w:val="clear" w:color="auto" w:fill="auto"/>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1.814</w:t>
                  </w:r>
                </w:p>
              </w:tc>
              <w:tc>
                <w:tcPr>
                  <w:tcW w:w="738" w:type="dxa"/>
                  <w:shd w:val="clear" w:color="auto" w:fill="auto"/>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11.937</w:t>
                  </w:r>
                </w:p>
              </w:tc>
              <w:tc>
                <w:tcPr>
                  <w:tcW w:w="843" w:type="dxa"/>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w:t>
                  </w:r>
                </w:p>
              </w:tc>
              <w:tc>
                <w:tcPr>
                  <w:tcW w:w="1373" w:type="dxa"/>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仓顶自带脉冲式布袋除尘器</w:t>
                  </w:r>
                </w:p>
              </w:tc>
              <w:tc>
                <w:tcPr>
                  <w:tcW w:w="750" w:type="dxa"/>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w:t>
                  </w:r>
                </w:p>
              </w:tc>
              <w:tc>
                <w:tcPr>
                  <w:tcW w:w="669" w:type="dxa"/>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100</w:t>
                  </w:r>
                </w:p>
              </w:tc>
              <w:tc>
                <w:tcPr>
                  <w:tcW w:w="704" w:type="dxa"/>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99.7</w:t>
                  </w:r>
                </w:p>
              </w:tc>
              <w:tc>
                <w:tcPr>
                  <w:tcW w:w="727" w:type="dxa"/>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是</w:t>
                  </w:r>
                </w:p>
              </w:tc>
              <w:tc>
                <w:tcPr>
                  <w:tcW w:w="750" w:type="dxa"/>
                  <w:shd w:val="clear" w:color="auto" w:fill="auto"/>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5.443</w:t>
                  </w:r>
                  <w:r>
                    <w:rPr>
                      <w:rFonts w:hint="default" w:ascii="Times New Roman" w:hAnsi="Times New Roman" w:cs="Times New Roman"/>
                      <w:lang w:val="en-US" w:eastAsia="zh-CN"/>
                    </w:rPr>
                    <w:t>×</w:t>
                  </w:r>
                  <w:r>
                    <w:rPr>
                      <w:rFonts w:hint="eastAsia"/>
                      <w:lang w:val="en-US" w:eastAsia="zh-CN"/>
                    </w:rPr>
                    <w:t>10</w:t>
                  </w:r>
                  <w:r>
                    <w:rPr>
                      <w:rFonts w:hint="eastAsia"/>
                      <w:vertAlign w:val="superscript"/>
                      <w:lang w:val="en-US" w:eastAsia="zh-CN"/>
                    </w:rPr>
                    <w:t>-3</w:t>
                  </w:r>
                </w:p>
              </w:tc>
              <w:tc>
                <w:tcPr>
                  <w:tcW w:w="738" w:type="dxa"/>
                  <w:shd w:val="clear" w:color="auto" w:fill="auto"/>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0.036</w:t>
                  </w:r>
                </w:p>
              </w:tc>
              <w:tc>
                <w:tcPr>
                  <w:tcW w:w="785" w:type="dxa"/>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w:t>
                  </w:r>
                </w:p>
              </w:tc>
              <w:tc>
                <w:tcPr>
                  <w:tcW w:w="750" w:type="dxa"/>
                  <w:shd w:val="clear" w:color="auto" w:fill="auto"/>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w:t>
                  </w:r>
                </w:p>
              </w:tc>
              <w:tc>
                <w:tcPr>
                  <w:tcW w:w="776" w:type="dxa"/>
                  <w:shd w:val="clear" w:color="auto" w:fill="auto"/>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641" w:type="dxa"/>
                  <w:vMerge w:val="continue"/>
                  <w:vAlign w:val="center"/>
                </w:tcPr>
                <w:p>
                  <w:pPr>
                    <w:pStyle w:val="40"/>
                    <w:bidi w:val="0"/>
                    <w:rPr>
                      <w:rFonts w:hint="eastAsia"/>
                      <w:lang w:val="en-US" w:eastAsia="zh-CN"/>
                    </w:rPr>
                  </w:pPr>
                </w:p>
              </w:tc>
              <w:tc>
                <w:tcPr>
                  <w:tcW w:w="900" w:type="dxa"/>
                  <w:vAlign w:val="center"/>
                </w:tcPr>
                <w:p>
                  <w:pPr>
                    <w:pStyle w:val="40"/>
                    <w:bidi w:val="0"/>
                    <w:rPr>
                      <w:rFonts w:hint="eastAsia"/>
                      <w:lang w:val="en-US" w:eastAsia="zh-CN"/>
                    </w:rPr>
                  </w:pPr>
                  <w:r>
                    <w:rPr>
                      <w:rFonts w:hint="eastAsia"/>
                      <w:lang w:val="en-US" w:eastAsia="zh-CN"/>
                    </w:rPr>
                    <w:t>粉煤灰筒仓粉尘</w:t>
                  </w:r>
                </w:p>
              </w:tc>
              <w:tc>
                <w:tcPr>
                  <w:tcW w:w="554" w:type="dxa"/>
                  <w:vMerge w:val="continue"/>
                  <w:vAlign w:val="center"/>
                </w:tcPr>
                <w:p>
                  <w:pPr>
                    <w:pStyle w:val="40"/>
                    <w:bidi w:val="0"/>
                    <w:rPr>
                      <w:rFonts w:hint="eastAsia"/>
                      <w:lang w:val="en-US" w:eastAsia="zh-CN"/>
                    </w:rPr>
                  </w:pPr>
                </w:p>
              </w:tc>
              <w:tc>
                <w:tcPr>
                  <w:tcW w:w="559" w:type="dxa"/>
                  <w:vMerge w:val="continue"/>
                  <w:vAlign w:val="center"/>
                </w:tcPr>
                <w:p>
                  <w:pPr>
                    <w:pStyle w:val="40"/>
                    <w:bidi w:val="0"/>
                    <w:rPr>
                      <w:rFonts w:hint="eastAsia"/>
                      <w:lang w:val="en-US" w:eastAsia="zh-CN"/>
                    </w:rPr>
                  </w:pPr>
                </w:p>
              </w:tc>
              <w:tc>
                <w:tcPr>
                  <w:tcW w:w="745" w:type="dxa"/>
                  <w:vAlign w:val="center"/>
                </w:tcPr>
                <w:p>
                  <w:pPr>
                    <w:pStyle w:val="40"/>
                    <w:bidi w:val="0"/>
                    <w:rPr>
                      <w:rFonts w:hint="default"/>
                      <w:lang w:val="en-US" w:eastAsia="zh-CN"/>
                    </w:rPr>
                  </w:pPr>
                  <w:r>
                    <w:rPr>
                      <w:rFonts w:hint="eastAsia"/>
                      <w:lang w:val="en-US" w:eastAsia="zh-CN"/>
                    </w:rPr>
                    <w:t>0.454</w:t>
                  </w:r>
                </w:p>
              </w:tc>
              <w:tc>
                <w:tcPr>
                  <w:tcW w:w="738" w:type="dxa"/>
                  <w:vAlign w:val="center"/>
                </w:tcPr>
                <w:p>
                  <w:pPr>
                    <w:pStyle w:val="40"/>
                    <w:bidi w:val="0"/>
                    <w:rPr>
                      <w:rFonts w:hint="default"/>
                      <w:lang w:val="en-US" w:eastAsia="zh-CN"/>
                    </w:rPr>
                  </w:pPr>
                  <w:r>
                    <w:rPr>
                      <w:rFonts w:hint="eastAsia"/>
                      <w:lang w:val="en-US" w:eastAsia="zh-CN"/>
                    </w:rPr>
                    <w:t>11.937</w:t>
                  </w:r>
                </w:p>
              </w:tc>
              <w:tc>
                <w:tcPr>
                  <w:tcW w:w="843" w:type="dxa"/>
                  <w:vAlign w:val="center"/>
                </w:tcPr>
                <w:p>
                  <w:pPr>
                    <w:pStyle w:val="40"/>
                    <w:bidi w:val="0"/>
                    <w:rPr>
                      <w:rFonts w:hint="eastAsia"/>
                      <w:lang w:val="en-US" w:eastAsia="zh-CN"/>
                    </w:rPr>
                  </w:pPr>
                  <w:r>
                    <w:rPr>
                      <w:rFonts w:hint="eastAsia"/>
                      <w:lang w:val="en-US" w:eastAsia="zh-CN"/>
                    </w:rPr>
                    <w:t>/</w:t>
                  </w:r>
                </w:p>
              </w:tc>
              <w:tc>
                <w:tcPr>
                  <w:tcW w:w="1373" w:type="dxa"/>
                  <w:vAlign w:val="center"/>
                </w:tcPr>
                <w:p>
                  <w:pPr>
                    <w:pStyle w:val="40"/>
                    <w:bidi w:val="0"/>
                    <w:rPr>
                      <w:rFonts w:hint="eastAsia"/>
                      <w:lang w:val="en-US" w:eastAsia="zh-CN"/>
                    </w:rPr>
                  </w:pPr>
                  <w:r>
                    <w:rPr>
                      <w:rFonts w:hint="eastAsia"/>
                      <w:lang w:val="en-US" w:eastAsia="zh-CN"/>
                    </w:rPr>
                    <w:t>仓顶自带脉冲式布袋除尘器</w:t>
                  </w:r>
                </w:p>
              </w:tc>
              <w:tc>
                <w:tcPr>
                  <w:tcW w:w="750" w:type="dxa"/>
                  <w:vAlign w:val="center"/>
                </w:tcPr>
                <w:p>
                  <w:pPr>
                    <w:pStyle w:val="40"/>
                    <w:bidi w:val="0"/>
                    <w:rPr>
                      <w:rFonts w:hint="eastAsia"/>
                      <w:lang w:val="en-US" w:eastAsia="zh-CN"/>
                    </w:rPr>
                  </w:pPr>
                  <w:r>
                    <w:rPr>
                      <w:rFonts w:hint="eastAsia"/>
                      <w:lang w:val="en-US" w:eastAsia="zh-CN"/>
                    </w:rPr>
                    <w:t>/</w:t>
                  </w:r>
                </w:p>
              </w:tc>
              <w:tc>
                <w:tcPr>
                  <w:tcW w:w="669" w:type="dxa"/>
                  <w:vAlign w:val="center"/>
                </w:tcPr>
                <w:p>
                  <w:pPr>
                    <w:pStyle w:val="40"/>
                    <w:bidi w:val="0"/>
                    <w:rPr>
                      <w:rFonts w:hint="eastAsia"/>
                      <w:lang w:val="en-US" w:eastAsia="zh-CN"/>
                    </w:rPr>
                  </w:pPr>
                  <w:r>
                    <w:rPr>
                      <w:rFonts w:hint="eastAsia"/>
                      <w:lang w:val="en-US" w:eastAsia="zh-CN"/>
                    </w:rPr>
                    <w:t>100</w:t>
                  </w:r>
                </w:p>
              </w:tc>
              <w:tc>
                <w:tcPr>
                  <w:tcW w:w="704" w:type="dxa"/>
                  <w:vAlign w:val="center"/>
                </w:tcPr>
                <w:p>
                  <w:pPr>
                    <w:pStyle w:val="40"/>
                    <w:bidi w:val="0"/>
                    <w:rPr>
                      <w:rFonts w:hint="eastAsia"/>
                      <w:lang w:val="en-US" w:eastAsia="zh-CN"/>
                    </w:rPr>
                  </w:pPr>
                  <w:r>
                    <w:rPr>
                      <w:rFonts w:hint="eastAsia"/>
                      <w:lang w:val="en-US" w:eastAsia="zh-CN"/>
                    </w:rPr>
                    <w:t>99.7</w:t>
                  </w:r>
                </w:p>
              </w:tc>
              <w:tc>
                <w:tcPr>
                  <w:tcW w:w="727" w:type="dxa"/>
                  <w:vAlign w:val="center"/>
                </w:tcPr>
                <w:p>
                  <w:pPr>
                    <w:pStyle w:val="40"/>
                    <w:bidi w:val="0"/>
                    <w:rPr>
                      <w:rFonts w:hint="eastAsia"/>
                      <w:lang w:val="en-US" w:eastAsia="zh-CN"/>
                    </w:rPr>
                  </w:pPr>
                  <w:r>
                    <w:rPr>
                      <w:rFonts w:hint="eastAsia"/>
                      <w:lang w:val="en-US" w:eastAsia="zh-CN"/>
                    </w:rPr>
                    <w:t>是</w:t>
                  </w:r>
                </w:p>
              </w:tc>
              <w:tc>
                <w:tcPr>
                  <w:tcW w:w="750" w:type="dxa"/>
                  <w:vAlign w:val="center"/>
                </w:tcPr>
                <w:p>
                  <w:pPr>
                    <w:pStyle w:val="40"/>
                    <w:bidi w:val="0"/>
                    <w:rPr>
                      <w:rFonts w:hint="eastAsia"/>
                      <w:lang w:val="en-US" w:eastAsia="zh-CN"/>
                    </w:rPr>
                  </w:pPr>
                  <w:r>
                    <w:rPr>
                      <w:rFonts w:hint="eastAsia"/>
                      <w:lang w:val="en-US" w:eastAsia="zh-CN"/>
                    </w:rPr>
                    <w:t>1.361</w:t>
                  </w:r>
                  <w:r>
                    <w:rPr>
                      <w:rFonts w:hint="default" w:ascii="Times New Roman" w:hAnsi="Times New Roman" w:cs="Times New Roman"/>
                      <w:lang w:val="en-US" w:eastAsia="zh-CN"/>
                    </w:rPr>
                    <w:t>×</w:t>
                  </w:r>
                  <w:r>
                    <w:rPr>
                      <w:rFonts w:hint="eastAsia"/>
                      <w:lang w:val="en-US" w:eastAsia="zh-CN"/>
                    </w:rPr>
                    <w:t>10</w:t>
                  </w:r>
                  <w:r>
                    <w:rPr>
                      <w:rFonts w:hint="eastAsia"/>
                      <w:vertAlign w:val="superscript"/>
                      <w:lang w:val="en-US" w:eastAsia="zh-CN"/>
                    </w:rPr>
                    <w:t>-3</w:t>
                  </w:r>
                </w:p>
              </w:tc>
              <w:tc>
                <w:tcPr>
                  <w:tcW w:w="738" w:type="dxa"/>
                  <w:vAlign w:val="center"/>
                </w:tcPr>
                <w:p>
                  <w:pPr>
                    <w:pStyle w:val="40"/>
                    <w:bidi w:val="0"/>
                    <w:rPr>
                      <w:rFonts w:hint="default"/>
                      <w:lang w:val="en-US" w:eastAsia="zh-CN"/>
                    </w:rPr>
                  </w:pPr>
                  <w:r>
                    <w:rPr>
                      <w:rFonts w:hint="eastAsia"/>
                      <w:lang w:val="en-US" w:eastAsia="zh-CN"/>
                    </w:rPr>
                    <w:t>0.036</w:t>
                  </w:r>
                </w:p>
              </w:tc>
              <w:tc>
                <w:tcPr>
                  <w:tcW w:w="785" w:type="dxa"/>
                  <w:vAlign w:val="center"/>
                </w:tcPr>
                <w:p>
                  <w:pPr>
                    <w:pStyle w:val="40"/>
                    <w:bidi w:val="0"/>
                    <w:rPr>
                      <w:rFonts w:hint="eastAsia"/>
                      <w:lang w:val="en-US" w:eastAsia="zh-CN"/>
                    </w:rPr>
                  </w:pPr>
                  <w:r>
                    <w:rPr>
                      <w:rFonts w:hint="eastAsia"/>
                      <w:lang w:val="en-US" w:eastAsia="zh-CN"/>
                    </w:rPr>
                    <w:t>/</w:t>
                  </w:r>
                </w:p>
              </w:tc>
              <w:tc>
                <w:tcPr>
                  <w:tcW w:w="750" w:type="dxa"/>
                  <w:vAlign w:val="center"/>
                </w:tcPr>
                <w:p>
                  <w:pPr>
                    <w:pStyle w:val="40"/>
                    <w:bidi w:val="0"/>
                    <w:rPr>
                      <w:rFonts w:hint="eastAsia"/>
                      <w:lang w:val="en-US" w:eastAsia="zh-CN"/>
                    </w:rPr>
                  </w:pPr>
                  <w:r>
                    <w:rPr>
                      <w:rFonts w:hint="eastAsia"/>
                      <w:lang w:val="en-US" w:eastAsia="zh-CN"/>
                    </w:rPr>
                    <w:t>/</w:t>
                  </w:r>
                </w:p>
              </w:tc>
              <w:tc>
                <w:tcPr>
                  <w:tcW w:w="776" w:type="dxa"/>
                  <w:vAlign w:val="center"/>
                </w:tcPr>
                <w:p>
                  <w:pPr>
                    <w:pStyle w:val="40"/>
                    <w:bidi w:val="0"/>
                    <w:rPr>
                      <w:rFonts w:hint="eastAsia"/>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41" w:type="dxa"/>
                  <w:vMerge w:val="continue"/>
                  <w:vAlign w:val="center"/>
                </w:tcPr>
                <w:p>
                  <w:pPr>
                    <w:pStyle w:val="40"/>
                    <w:bidi w:val="0"/>
                    <w:rPr>
                      <w:rFonts w:hint="eastAsia"/>
                      <w:lang w:val="en-US" w:eastAsia="zh-CN"/>
                    </w:rPr>
                  </w:pPr>
                </w:p>
              </w:tc>
              <w:tc>
                <w:tcPr>
                  <w:tcW w:w="900" w:type="dxa"/>
                  <w:vAlign w:val="center"/>
                </w:tcPr>
                <w:p>
                  <w:pPr>
                    <w:pStyle w:val="40"/>
                    <w:bidi w:val="0"/>
                    <w:rPr>
                      <w:rFonts w:hint="eastAsia"/>
                      <w:lang w:val="en-US" w:eastAsia="zh-CN"/>
                    </w:rPr>
                  </w:pPr>
                  <w:r>
                    <w:rPr>
                      <w:rFonts w:hint="eastAsia"/>
                      <w:lang w:val="en-US" w:eastAsia="zh-CN"/>
                    </w:rPr>
                    <w:t>矿粉筒仓粉尘</w:t>
                  </w:r>
                </w:p>
              </w:tc>
              <w:tc>
                <w:tcPr>
                  <w:tcW w:w="554" w:type="dxa"/>
                  <w:vMerge w:val="continue"/>
                  <w:vAlign w:val="center"/>
                </w:tcPr>
                <w:p>
                  <w:pPr>
                    <w:pStyle w:val="40"/>
                    <w:bidi w:val="0"/>
                    <w:rPr>
                      <w:rFonts w:hint="eastAsia"/>
                      <w:lang w:val="en-US" w:eastAsia="zh-CN"/>
                    </w:rPr>
                  </w:pPr>
                </w:p>
              </w:tc>
              <w:tc>
                <w:tcPr>
                  <w:tcW w:w="559" w:type="dxa"/>
                  <w:vMerge w:val="continue"/>
                  <w:vAlign w:val="center"/>
                </w:tcPr>
                <w:p>
                  <w:pPr>
                    <w:pStyle w:val="40"/>
                    <w:bidi w:val="0"/>
                    <w:rPr>
                      <w:rFonts w:hint="eastAsia"/>
                      <w:lang w:val="en-US" w:eastAsia="zh-CN"/>
                    </w:rPr>
                  </w:pPr>
                </w:p>
              </w:tc>
              <w:tc>
                <w:tcPr>
                  <w:tcW w:w="745" w:type="dxa"/>
                  <w:vAlign w:val="center"/>
                </w:tcPr>
                <w:p>
                  <w:pPr>
                    <w:pStyle w:val="40"/>
                    <w:bidi w:val="0"/>
                    <w:rPr>
                      <w:rFonts w:hint="default"/>
                      <w:lang w:val="en-US" w:eastAsia="zh-CN"/>
                    </w:rPr>
                  </w:pPr>
                  <w:r>
                    <w:rPr>
                      <w:rFonts w:hint="eastAsia"/>
                      <w:lang w:val="en-US" w:eastAsia="zh-CN"/>
                    </w:rPr>
                    <w:t>0.389</w:t>
                  </w:r>
                </w:p>
              </w:tc>
              <w:tc>
                <w:tcPr>
                  <w:tcW w:w="738" w:type="dxa"/>
                  <w:vAlign w:val="center"/>
                </w:tcPr>
                <w:p>
                  <w:pPr>
                    <w:pStyle w:val="40"/>
                    <w:bidi w:val="0"/>
                    <w:rPr>
                      <w:rFonts w:hint="default"/>
                      <w:lang w:val="en-US" w:eastAsia="zh-CN"/>
                    </w:rPr>
                  </w:pPr>
                  <w:r>
                    <w:rPr>
                      <w:rFonts w:hint="eastAsia"/>
                      <w:lang w:val="en-US" w:eastAsia="zh-CN"/>
                    </w:rPr>
                    <w:t>11.782</w:t>
                  </w:r>
                </w:p>
              </w:tc>
              <w:tc>
                <w:tcPr>
                  <w:tcW w:w="843" w:type="dxa"/>
                  <w:vAlign w:val="center"/>
                </w:tcPr>
                <w:p>
                  <w:pPr>
                    <w:pStyle w:val="40"/>
                    <w:bidi w:val="0"/>
                    <w:rPr>
                      <w:rFonts w:hint="eastAsia"/>
                      <w:lang w:val="en-US" w:eastAsia="zh-CN"/>
                    </w:rPr>
                  </w:pPr>
                  <w:r>
                    <w:rPr>
                      <w:rFonts w:hint="eastAsia"/>
                      <w:lang w:val="en-US" w:eastAsia="zh-CN"/>
                    </w:rPr>
                    <w:t>/</w:t>
                  </w:r>
                </w:p>
              </w:tc>
              <w:tc>
                <w:tcPr>
                  <w:tcW w:w="1373" w:type="dxa"/>
                  <w:vAlign w:val="center"/>
                </w:tcPr>
                <w:p>
                  <w:pPr>
                    <w:pStyle w:val="40"/>
                    <w:bidi w:val="0"/>
                    <w:rPr>
                      <w:rFonts w:hint="eastAsia"/>
                      <w:lang w:val="en-US" w:eastAsia="zh-CN"/>
                    </w:rPr>
                  </w:pPr>
                  <w:r>
                    <w:rPr>
                      <w:rFonts w:hint="eastAsia"/>
                      <w:lang w:val="en-US" w:eastAsia="zh-CN"/>
                    </w:rPr>
                    <w:t>仓顶自带脉冲式布袋除尘器</w:t>
                  </w:r>
                </w:p>
              </w:tc>
              <w:tc>
                <w:tcPr>
                  <w:tcW w:w="750" w:type="dxa"/>
                  <w:vAlign w:val="center"/>
                </w:tcPr>
                <w:p>
                  <w:pPr>
                    <w:pStyle w:val="40"/>
                    <w:bidi w:val="0"/>
                    <w:rPr>
                      <w:rFonts w:hint="eastAsia"/>
                      <w:lang w:val="en-US" w:eastAsia="zh-CN"/>
                    </w:rPr>
                  </w:pPr>
                  <w:r>
                    <w:rPr>
                      <w:rFonts w:hint="eastAsia"/>
                      <w:lang w:val="en-US" w:eastAsia="zh-CN"/>
                    </w:rPr>
                    <w:t>/</w:t>
                  </w:r>
                </w:p>
              </w:tc>
              <w:tc>
                <w:tcPr>
                  <w:tcW w:w="669" w:type="dxa"/>
                  <w:vAlign w:val="center"/>
                </w:tcPr>
                <w:p>
                  <w:pPr>
                    <w:pStyle w:val="40"/>
                    <w:bidi w:val="0"/>
                    <w:rPr>
                      <w:rFonts w:hint="eastAsia"/>
                      <w:lang w:val="en-US" w:eastAsia="zh-CN"/>
                    </w:rPr>
                  </w:pPr>
                  <w:r>
                    <w:rPr>
                      <w:rFonts w:hint="eastAsia"/>
                      <w:lang w:val="en-US" w:eastAsia="zh-CN"/>
                    </w:rPr>
                    <w:t>100</w:t>
                  </w:r>
                </w:p>
              </w:tc>
              <w:tc>
                <w:tcPr>
                  <w:tcW w:w="704" w:type="dxa"/>
                  <w:vAlign w:val="center"/>
                </w:tcPr>
                <w:p>
                  <w:pPr>
                    <w:pStyle w:val="40"/>
                    <w:bidi w:val="0"/>
                    <w:rPr>
                      <w:rFonts w:hint="eastAsia"/>
                      <w:lang w:val="en-US" w:eastAsia="zh-CN"/>
                    </w:rPr>
                  </w:pPr>
                  <w:r>
                    <w:rPr>
                      <w:rFonts w:hint="eastAsia"/>
                      <w:lang w:val="en-US" w:eastAsia="zh-CN"/>
                    </w:rPr>
                    <w:t>99.7</w:t>
                  </w:r>
                </w:p>
              </w:tc>
              <w:tc>
                <w:tcPr>
                  <w:tcW w:w="727" w:type="dxa"/>
                  <w:vAlign w:val="center"/>
                </w:tcPr>
                <w:p>
                  <w:pPr>
                    <w:pStyle w:val="40"/>
                    <w:bidi w:val="0"/>
                    <w:rPr>
                      <w:rFonts w:hint="eastAsia"/>
                      <w:lang w:val="en-US" w:eastAsia="zh-CN"/>
                    </w:rPr>
                  </w:pPr>
                  <w:r>
                    <w:rPr>
                      <w:rFonts w:hint="eastAsia"/>
                      <w:lang w:val="en-US" w:eastAsia="zh-CN"/>
                    </w:rPr>
                    <w:t>是</w:t>
                  </w:r>
                </w:p>
              </w:tc>
              <w:tc>
                <w:tcPr>
                  <w:tcW w:w="750" w:type="dxa"/>
                  <w:vAlign w:val="center"/>
                </w:tcPr>
                <w:p>
                  <w:pPr>
                    <w:pStyle w:val="40"/>
                    <w:bidi w:val="0"/>
                    <w:rPr>
                      <w:rFonts w:hint="eastAsia"/>
                      <w:lang w:val="en-US" w:eastAsia="zh-CN"/>
                    </w:rPr>
                  </w:pPr>
                  <w:r>
                    <w:rPr>
                      <w:rFonts w:hint="eastAsia"/>
                      <w:lang w:val="en-US" w:eastAsia="zh-CN"/>
                    </w:rPr>
                    <w:t>1.166</w:t>
                  </w:r>
                  <w:r>
                    <w:rPr>
                      <w:rFonts w:hint="default" w:ascii="Times New Roman" w:hAnsi="Times New Roman" w:cs="Times New Roman"/>
                      <w:lang w:val="en-US" w:eastAsia="zh-CN"/>
                    </w:rPr>
                    <w:t>×</w:t>
                  </w:r>
                  <w:r>
                    <w:rPr>
                      <w:rFonts w:hint="eastAsia"/>
                      <w:lang w:val="en-US" w:eastAsia="zh-CN"/>
                    </w:rPr>
                    <w:t>10</w:t>
                  </w:r>
                  <w:r>
                    <w:rPr>
                      <w:rFonts w:hint="eastAsia"/>
                      <w:vertAlign w:val="superscript"/>
                      <w:lang w:val="en-US" w:eastAsia="zh-CN"/>
                    </w:rPr>
                    <w:t>-3</w:t>
                  </w:r>
                </w:p>
              </w:tc>
              <w:tc>
                <w:tcPr>
                  <w:tcW w:w="738" w:type="dxa"/>
                  <w:vAlign w:val="center"/>
                </w:tcPr>
                <w:p>
                  <w:pPr>
                    <w:pStyle w:val="40"/>
                    <w:bidi w:val="0"/>
                    <w:rPr>
                      <w:rFonts w:hint="default"/>
                      <w:lang w:val="en-US" w:eastAsia="zh-CN"/>
                    </w:rPr>
                  </w:pPr>
                  <w:r>
                    <w:rPr>
                      <w:rFonts w:hint="eastAsia"/>
                      <w:lang w:val="en-US" w:eastAsia="zh-CN"/>
                    </w:rPr>
                    <w:t>0.035</w:t>
                  </w:r>
                </w:p>
              </w:tc>
              <w:tc>
                <w:tcPr>
                  <w:tcW w:w="785" w:type="dxa"/>
                  <w:vAlign w:val="center"/>
                </w:tcPr>
                <w:p>
                  <w:pPr>
                    <w:pStyle w:val="40"/>
                    <w:bidi w:val="0"/>
                    <w:rPr>
                      <w:rFonts w:hint="eastAsia"/>
                      <w:lang w:val="en-US" w:eastAsia="zh-CN"/>
                    </w:rPr>
                  </w:pPr>
                  <w:r>
                    <w:rPr>
                      <w:rFonts w:hint="eastAsia"/>
                      <w:lang w:val="en-US" w:eastAsia="zh-CN"/>
                    </w:rPr>
                    <w:t>/</w:t>
                  </w:r>
                </w:p>
              </w:tc>
              <w:tc>
                <w:tcPr>
                  <w:tcW w:w="750" w:type="dxa"/>
                  <w:vAlign w:val="center"/>
                </w:tcPr>
                <w:p>
                  <w:pPr>
                    <w:pStyle w:val="40"/>
                    <w:bidi w:val="0"/>
                    <w:rPr>
                      <w:rFonts w:hint="eastAsia"/>
                      <w:lang w:val="en-US" w:eastAsia="zh-CN"/>
                    </w:rPr>
                  </w:pPr>
                  <w:r>
                    <w:rPr>
                      <w:rFonts w:hint="eastAsia"/>
                      <w:lang w:val="en-US" w:eastAsia="zh-CN"/>
                    </w:rPr>
                    <w:t>/</w:t>
                  </w:r>
                </w:p>
              </w:tc>
              <w:tc>
                <w:tcPr>
                  <w:tcW w:w="776" w:type="dxa"/>
                  <w:vAlign w:val="center"/>
                </w:tcPr>
                <w:p>
                  <w:pPr>
                    <w:pStyle w:val="40"/>
                    <w:bidi w:val="0"/>
                    <w:rPr>
                      <w:rFonts w:hint="eastAsia"/>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41" w:type="dxa"/>
                  <w:vMerge w:val="continue"/>
                  <w:vAlign w:val="center"/>
                </w:tcPr>
                <w:p>
                  <w:pPr>
                    <w:pStyle w:val="40"/>
                    <w:bidi w:val="0"/>
                    <w:rPr>
                      <w:rFonts w:hint="eastAsia"/>
                      <w:lang w:val="en-US" w:eastAsia="zh-CN"/>
                    </w:rPr>
                  </w:pPr>
                </w:p>
              </w:tc>
              <w:tc>
                <w:tcPr>
                  <w:tcW w:w="900" w:type="dxa"/>
                  <w:vAlign w:val="center"/>
                </w:tcPr>
                <w:p>
                  <w:pPr>
                    <w:pStyle w:val="40"/>
                    <w:bidi w:val="0"/>
                    <w:rPr>
                      <w:rFonts w:hint="default"/>
                      <w:lang w:val="en-US" w:eastAsia="zh-CN"/>
                    </w:rPr>
                  </w:pPr>
                  <w:r>
                    <w:rPr>
                      <w:rFonts w:hint="eastAsia"/>
                      <w:lang w:val="en-US" w:eastAsia="zh-CN"/>
                    </w:rPr>
                    <w:t>投料粉尘</w:t>
                  </w:r>
                </w:p>
              </w:tc>
              <w:tc>
                <w:tcPr>
                  <w:tcW w:w="554" w:type="dxa"/>
                  <w:vMerge w:val="continue"/>
                  <w:vAlign w:val="center"/>
                </w:tcPr>
                <w:p>
                  <w:pPr>
                    <w:pStyle w:val="40"/>
                    <w:bidi w:val="0"/>
                    <w:rPr>
                      <w:rFonts w:hint="eastAsia"/>
                      <w:lang w:val="en-US" w:eastAsia="zh-CN"/>
                    </w:rPr>
                  </w:pPr>
                </w:p>
              </w:tc>
              <w:tc>
                <w:tcPr>
                  <w:tcW w:w="559" w:type="dxa"/>
                  <w:vMerge w:val="continue"/>
                  <w:vAlign w:val="center"/>
                </w:tcPr>
                <w:p>
                  <w:pPr>
                    <w:pStyle w:val="40"/>
                    <w:bidi w:val="0"/>
                    <w:rPr>
                      <w:rFonts w:hint="eastAsia"/>
                      <w:lang w:val="en-US" w:eastAsia="zh-CN"/>
                    </w:rPr>
                  </w:pPr>
                </w:p>
              </w:tc>
              <w:tc>
                <w:tcPr>
                  <w:tcW w:w="745" w:type="dxa"/>
                  <w:vAlign w:val="center"/>
                </w:tcPr>
                <w:p>
                  <w:pPr>
                    <w:pStyle w:val="40"/>
                    <w:bidi w:val="0"/>
                    <w:rPr>
                      <w:rFonts w:hint="default"/>
                      <w:lang w:val="en-US" w:eastAsia="zh-CN"/>
                    </w:rPr>
                  </w:pPr>
                  <w:r>
                    <w:rPr>
                      <w:rFonts w:hint="eastAsia"/>
                      <w:lang w:val="en-US" w:eastAsia="zh-CN"/>
                    </w:rPr>
                    <w:t>1.058</w:t>
                  </w:r>
                </w:p>
              </w:tc>
              <w:tc>
                <w:tcPr>
                  <w:tcW w:w="738" w:type="dxa"/>
                  <w:vAlign w:val="center"/>
                </w:tcPr>
                <w:p>
                  <w:pPr>
                    <w:pStyle w:val="40"/>
                    <w:bidi w:val="0"/>
                    <w:rPr>
                      <w:rFonts w:hint="default"/>
                      <w:lang w:val="en-US" w:eastAsia="zh-CN"/>
                    </w:rPr>
                  </w:pPr>
                  <w:r>
                    <w:rPr>
                      <w:rFonts w:hint="eastAsia"/>
                      <w:lang w:val="en-US" w:eastAsia="zh-CN"/>
                    </w:rPr>
                    <w:t>2.94</w:t>
                  </w:r>
                </w:p>
              </w:tc>
              <w:tc>
                <w:tcPr>
                  <w:tcW w:w="843" w:type="dxa"/>
                  <w:vAlign w:val="center"/>
                </w:tcPr>
                <w:p>
                  <w:pPr>
                    <w:pStyle w:val="40"/>
                    <w:bidi w:val="0"/>
                    <w:rPr>
                      <w:rFonts w:hint="default"/>
                      <w:lang w:val="en-US" w:eastAsia="zh-CN"/>
                    </w:rPr>
                  </w:pPr>
                  <w:r>
                    <w:rPr>
                      <w:rFonts w:hint="eastAsia"/>
                      <w:lang w:val="en-US" w:eastAsia="zh-CN"/>
                    </w:rPr>
                    <w:t>/</w:t>
                  </w:r>
                </w:p>
              </w:tc>
              <w:tc>
                <w:tcPr>
                  <w:tcW w:w="1373" w:type="dxa"/>
                  <w:vAlign w:val="center"/>
                </w:tcPr>
                <w:p>
                  <w:pPr>
                    <w:pStyle w:val="40"/>
                    <w:bidi w:val="0"/>
                    <w:rPr>
                      <w:rFonts w:hint="default"/>
                      <w:lang w:val="en-US" w:eastAsia="zh-CN"/>
                    </w:rPr>
                  </w:pPr>
                  <w:r>
                    <w:rPr>
                      <w:rFonts w:hint="eastAsia"/>
                      <w:lang w:val="en-US" w:eastAsia="zh-CN"/>
                    </w:rPr>
                    <w:t>洒水+围挡</w:t>
                  </w:r>
                </w:p>
              </w:tc>
              <w:tc>
                <w:tcPr>
                  <w:tcW w:w="750" w:type="dxa"/>
                  <w:vAlign w:val="center"/>
                </w:tcPr>
                <w:p>
                  <w:pPr>
                    <w:pStyle w:val="40"/>
                    <w:bidi w:val="0"/>
                    <w:rPr>
                      <w:rFonts w:hint="default"/>
                      <w:lang w:val="en-US" w:eastAsia="zh-CN"/>
                    </w:rPr>
                  </w:pPr>
                  <w:r>
                    <w:rPr>
                      <w:rFonts w:hint="eastAsia"/>
                      <w:lang w:val="en-US" w:eastAsia="zh-CN"/>
                    </w:rPr>
                    <w:t>/</w:t>
                  </w:r>
                </w:p>
              </w:tc>
              <w:tc>
                <w:tcPr>
                  <w:tcW w:w="669" w:type="dxa"/>
                  <w:vAlign w:val="center"/>
                </w:tcPr>
                <w:p>
                  <w:pPr>
                    <w:pStyle w:val="40"/>
                    <w:bidi w:val="0"/>
                    <w:rPr>
                      <w:rFonts w:hint="default"/>
                      <w:lang w:val="en-US" w:eastAsia="zh-CN"/>
                    </w:rPr>
                  </w:pPr>
                  <w:r>
                    <w:rPr>
                      <w:rFonts w:hint="eastAsia"/>
                      <w:lang w:val="en-US" w:eastAsia="zh-CN"/>
                    </w:rPr>
                    <w:t>100</w:t>
                  </w:r>
                </w:p>
              </w:tc>
              <w:tc>
                <w:tcPr>
                  <w:tcW w:w="704" w:type="dxa"/>
                  <w:vAlign w:val="center"/>
                </w:tcPr>
                <w:p>
                  <w:pPr>
                    <w:pStyle w:val="40"/>
                    <w:bidi w:val="0"/>
                    <w:rPr>
                      <w:rFonts w:hint="default"/>
                      <w:lang w:val="en-US" w:eastAsia="zh-CN"/>
                    </w:rPr>
                  </w:pPr>
                  <w:r>
                    <w:rPr>
                      <w:rFonts w:hint="eastAsia"/>
                      <w:lang w:val="en-US" w:eastAsia="zh-CN"/>
                    </w:rPr>
                    <w:t>89.6</w:t>
                  </w:r>
                </w:p>
              </w:tc>
              <w:tc>
                <w:tcPr>
                  <w:tcW w:w="727" w:type="dxa"/>
                  <w:vAlign w:val="center"/>
                </w:tcPr>
                <w:p>
                  <w:pPr>
                    <w:pStyle w:val="40"/>
                    <w:bidi w:val="0"/>
                    <w:rPr>
                      <w:rFonts w:hint="default"/>
                      <w:lang w:val="en-US" w:eastAsia="zh-CN"/>
                    </w:rPr>
                  </w:pPr>
                  <w:r>
                    <w:rPr>
                      <w:rFonts w:hint="eastAsia"/>
                      <w:lang w:val="en-US" w:eastAsia="zh-CN"/>
                    </w:rPr>
                    <w:t>是</w:t>
                  </w:r>
                </w:p>
              </w:tc>
              <w:tc>
                <w:tcPr>
                  <w:tcW w:w="750" w:type="dxa"/>
                  <w:vAlign w:val="center"/>
                </w:tcPr>
                <w:p>
                  <w:pPr>
                    <w:pStyle w:val="40"/>
                    <w:bidi w:val="0"/>
                    <w:rPr>
                      <w:rFonts w:hint="default"/>
                      <w:lang w:val="en-US" w:eastAsia="zh-CN"/>
                    </w:rPr>
                  </w:pPr>
                  <w:r>
                    <w:rPr>
                      <w:rFonts w:hint="eastAsia"/>
                      <w:lang w:val="en-US" w:eastAsia="zh-CN"/>
                    </w:rPr>
                    <w:t>0.11</w:t>
                  </w:r>
                </w:p>
              </w:tc>
              <w:tc>
                <w:tcPr>
                  <w:tcW w:w="738" w:type="dxa"/>
                  <w:vAlign w:val="center"/>
                </w:tcPr>
                <w:p>
                  <w:pPr>
                    <w:pStyle w:val="40"/>
                    <w:bidi w:val="0"/>
                    <w:rPr>
                      <w:rFonts w:hint="default"/>
                      <w:lang w:val="en-US" w:eastAsia="zh-CN"/>
                    </w:rPr>
                  </w:pPr>
                  <w:r>
                    <w:rPr>
                      <w:rFonts w:hint="eastAsia"/>
                      <w:lang w:val="en-US" w:eastAsia="zh-CN"/>
                    </w:rPr>
                    <w:t>0.306</w:t>
                  </w:r>
                </w:p>
              </w:tc>
              <w:tc>
                <w:tcPr>
                  <w:tcW w:w="785" w:type="dxa"/>
                  <w:vAlign w:val="center"/>
                </w:tcPr>
                <w:p>
                  <w:pPr>
                    <w:pStyle w:val="40"/>
                    <w:bidi w:val="0"/>
                    <w:rPr>
                      <w:rFonts w:hint="default"/>
                      <w:lang w:val="en-US" w:eastAsia="zh-CN"/>
                    </w:rPr>
                  </w:pPr>
                  <w:r>
                    <w:rPr>
                      <w:rFonts w:hint="eastAsia"/>
                      <w:lang w:val="en-US" w:eastAsia="zh-CN"/>
                    </w:rPr>
                    <w:t>/</w:t>
                  </w:r>
                </w:p>
              </w:tc>
              <w:tc>
                <w:tcPr>
                  <w:tcW w:w="750" w:type="dxa"/>
                  <w:vAlign w:val="center"/>
                </w:tcPr>
                <w:p>
                  <w:pPr>
                    <w:pStyle w:val="40"/>
                    <w:bidi w:val="0"/>
                    <w:rPr>
                      <w:rFonts w:hint="default"/>
                      <w:lang w:val="en-US" w:eastAsia="zh-CN"/>
                    </w:rPr>
                  </w:pPr>
                  <w:r>
                    <w:rPr>
                      <w:rFonts w:hint="eastAsia"/>
                      <w:lang w:val="en-US" w:eastAsia="zh-CN"/>
                    </w:rPr>
                    <w:t>/</w:t>
                  </w:r>
                </w:p>
              </w:tc>
              <w:tc>
                <w:tcPr>
                  <w:tcW w:w="776" w:type="dxa"/>
                  <w:vAlign w:val="center"/>
                </w:tcPr>
                <w:p>
                  <w:pPr>
                    <w:pStyle w:val="40"/>
                    <w:bidi w:val="0"/>
                    <w:rPr>
                      <w:rFonts w:hint="default"/>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641" w:type="dxa"/>
                  <w:vMerge w:val="continue"/>
                  <w:vAlign w:val="center"/>
                </w:tcPr>
                <w:p>
                  <w:pPr>
                    <w:pStyle w:val="40"/>
                    <w:bidi w:val="0"/>
                    <w:rPr>
                      <w:rFonts w:hint="eastAsia"/>
                      <w:lang w:val="en-US" w:eastAsia="zh-CN"/>
                    </w:rPr>
                  </w:pPr>
                </w:p>
              </w:tc>
              <w:tc>
                <w:tcPr>
                  <w:tcW w:w="900" w:type="dxa"/>
                  <w:vMerge w:val="restart"/>
                  <w:vAlign w:val="center"/>
                </w:tcPr>
                <w:p>
                  <w:pPr>
                    <w:pStyle w:val="40"/>
                    <w:bidi w:val="0"/>
                    <w:rPr>
                      <w:rFonts w:hint="eastAsia"/>
                      <w:lang w:val="en-US" w:eastAsia="zh-CN"/>
                    </w:rPr>
                  </w:pPr>
                  <w:r>
                    <w:rPr>
                      <w:rFonts w:hint="eastAsia"/>
                      <w:lang w:val="en-US" w:eastAsia="zh-CN"/>
                    </w:rPr>
                    <w:t>搅拌粉尘</w:t>
                  </w:r>
                </w:p>
              </w:tc>
              <w:tc>
                <w:tcPr>
                  <w:tcW w:w="554" w:type="dxa"/>
                  <w:vMerge w:val="restart"/>
                  <w:vAlign w:val="center"/>
                </w:tcPr>
                <w:p>
                  <w:pPr>
                    <w:pStyle w:val="40"/>
                    <w:bidi w:val="0"/>
                    <w:rPr>
                      <w:rFonts w:hint="eastAsia"/>
                      <w:lang w:val="en-US" w:eastAsia="zh-CN"/>
                    </w:rPr>
                  </w:pPr>
                  <w:r>
                    <w:rPr>
                      <w:rFonts w:hint="eastAsia" w:cs="Times New Roman"/>
                      <w:kern w:val="2"/>
                      <w:sz w:val="21"/>
                      <w:szCs w:val="21"/>
                      <w:lang w:val="en-US" w:eastAsia="zh-CN" w:bidi="ar-SA"/>
                    </w:rPr>
                    <w:t>颗粒物</w:t>
                  </w:r>
                </w:p>
              </w:tc>
              <w:tc>
                <w:tcPr>
                  <w:tcW w:w="559" w:type="dxa"/>
                  <w:vAlign w:val="center"/>
                </w:tcPr>
                <w:p>
                  <w:pPr>
                    <w:pStyle w:val="40"/>
                    <w:bidi w:val="0"/>
                    <w:rPr>
                      <w:rFonts w:hint="eastAsia"/>
                      <w:lang w:val="en-US" w:eastAsia="zh-CN"/>
                    </w:rPr>
                  </w:pPr>
                  <w:r>
                    <w:rPr>
                      <w:rFonts w:hint="eastAsia"/>
                      <w:lang w:val="en-US" w:eastAsia="zh-CN"/>
                    </w:rPr>
                    <w:t>有组织</w:t>
                  </w:r>
                </w:p>
              </w:tc>
              <w:tc>
                <w:tcPr>
                  <w:tcW w:w="745" w:type="dxa"/>
                  <w:vAlign w:val="center"/>
                </w:tcPr>
                <w:p>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lang w:val="en-US" w:eastAsia="zh-CN" w:bidi="ar"/>
                    </w:rPr>
                    <w:t>15.163</w:t>
                  </w:r>
                </w:p>
              </w:tc>
              <w:tc>
                <w:tcPr>
                  <w:tcW w:w="738" w:type="dxa"/>
                  <w:vAlign w:val="center"/>
                </w:tcPr>
                <w:p>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lang w:val="en-US" w:eastAsia="zh-CN" w:bidi="ar"/>
                    </w:rPr>
                    <w:t>16.848</w:t>
                  </w:r>
                </w:p>
              </w:tc>
              <w:tc>
                <w:tcPr>
                  <w:tcW w:w="843" w:type="dxa"/>
                  <w:vAlign w:val="center"/>
                </w:tcPr>
                <w:p>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lang w:val="en-US" w:eastAsia="zh-CN" w:bidi="ar"/>
                    </w:rPr>
                    <w:t>5616</w:t>
                  </w:r>
                </w:p>
              </w:tc>
              <w:tc>
                <w:tcPr>
                  <w:tcW w:w="1373" w:type="dxa"/>
                  <w:vAlign w:val="center"/>
                </w:tcPr>
                <w:p>
                  <w:pPr>
                    <w:pStyle w:val="40"/>
                    <w:bidi w:val="0"/>
                    <w:rPr>
                      <w:rFonts w:hint="eastAsia"/>
                      <w:lang w:val="en-US" w:eastAsia="zh-CN"/>
                    </w:rPr>
                  </w:pPr>
                  <w:r>
                    <w:rPr>
                      <w:rFonts w:hint="eastAsia"/>
                      <w:lang w:val="en-US" w:eastAsia="zh-CN"/>
                    </w:rPr>
                    <w:t>布袋除尘器+15m排气筒</w:t>
                  </w:r>
                </w:p>
              </w:tc>
              <w:tc>
                <w:tcPr>
                  <w:tcW w:w="750" w:type="dxa"/>
                  <w:vAlign w:val="center"/>
                </w:tcPr>
                <w:p>
                  <w:pPr>
                    <w:pStyle w:val="40"/>
                    <w:bidi w:val="0"/>
                    <w:rPr>
                      <w:rFonts w:hint="default"/>
                      <w:lang w:val="en-US" w:eastAsia="zh-CN"/>
                    </w:rPr>
                  </w:pPr>
                  <w:r>
                    <w:rPr>
                      <w:rFonts w:hint="eastAsia"/>
                      <w:lang w:val="en-US" w:eastAsia="zh-CN"/>
                    </w:rPr>
                    <w:t>3000</w:t>
                  </w:r>
                </w:p>
              </w:tc>
              <w:tc>
                <w:tcPr>
                  <w:tcW w:w="669" w:type="dxa"/>
                  <w:vAlign w:val="center"/>
                </w:tcPr>
                <w:p>
                  <w:pPr>
                    <w:pStyle w:val="40"/>
                    <w:bidi w:val="0"/>
                    <w:rPr>
                      <w:rFonts w:hint="eastAsia"/>
                      <w:lang w:val="en-US" w:eastAsia="zh-CN"/>
                    </w:rPr>
                  </w:pPr>
                  <w:r>
                    <w:rPr>
                      <w:rFonts w:hint="eastAsia"/>
                      <w:lang w:val="en-US" w:eastAsia="zh-CN"/>
                    </w:rPr>
                    <w:t>90</w:t>
                  </w:r>
                </w:p>
              </w:tc>
              <w:tc>
                <w:tcPr>
                  <w:tcW w:w="704" w:type="dxa"/>
                  <w:vAlign w:val="center"/>
                </w:tcPr>
                <w:p>
                  <w:pPr>
                    <w:pStyle w:val="40"/>
                    <w:bidi w:val="0"/>
                    <w:rPr>
                      <w:rFonts w:hint="default"/>
                      <w:lang w:val="en-US" w:eastAsia="zh-CN"/>
                    </w:rPr>
                  </w:pPr>
                  <w:r>
                    <w:rPr>
                      <w:rFonts w:hint="eastAsia"/>
                      <w:lang w:val="en-US" w:eastAsia="zh-CN"/>
                    </w:rPr>
                    <w:t>99.7</w:t>
                  </w:r>
                </w:p>
              </w:tc>
              <w:tc>
                <w:tcPr>
                  <w:tcW w:w="727" w:type="dxa"/>
                  <w:vAlign w:val="center"/>
                </w:tcPr>
                <w:p>
                  <w:pPr>
                    <w:pStyle w:val="40"/>
                    <w:bidi w:val="0"/>
                    <w:rPr>
                      <w:rFonts w:hint="eastAsia"/>
                      <w:lang w:val="en-US" w:eastAsia="zh-CN"/>
                    </w:rPr>
                  </w:pPr>
                  <w:r>
                    <w:rPr>
                      <w:rFonts w:hint="eastAsia"/>
                      <w:lang w:val="en-US" w:eastAsia="zh-CN"/>
                    </w:rPr>
                    <w:t>是</w:t>
                  </w:r>
                </w:p>
              </w:tc>
              <w:tc>
                <w:tcPr>
                  <w:tcW w:w="750" w:type="dxa"/>
                  <w:vAlign w:val="center"/>
                </w:tcPr>
                <w:p>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lang w:val="en-US" w:eastAsia="zh-CN" w:bidi="ar"/>
                    </w:rPr>
                    <w:t>0.045</w:t>
                  </w:r>
                </w:p>
              </w:tc>
              <w:tc>
                <w:tcPr>
                  <w:tcW w:w="738" w:type="dxa"/>
                  <w:vAlign w:val="center"/>
                </w:tcPr>
                <w:p>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lang w:val="en-US" w:eastAsia="zh-CN" w:bidi="ar"/>
                    </w:rPr>
                    <w:t>0.051</w:t>
                  </w:r>
                </w:p>
              </w:tc>
              <w:tc>
                <w:tcPr>
                  <w:tcW w:w="785" w:type="dxa"/>
                  <w:vAlign w:val="center"/>
                </w:tcPr>
                <w:p>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lang w:val="en-US" w:eastAsia="zh-CN" w:bidi="ar"/>
                    </w:rPr>
                    <w:t>16.848</w:t>
                  </w:r>
                </w:p>
              </w:tc>
              <w:tc>
                <w:tcPr>
                  <w:tcW w:w="750" w:type="dxa"/>
                  <w:vAlign w:val="center"/>
                </w:tcPr>
                <w:p>
                  <w:pPr>
                    <w:pStyle w:val="40"/>
                    <w:bidi w:val="0"/>
                    <w:rPr>
                      <w:rFonts w:hint="eastAsia"/>
                      <w:lang w:val="en-US" w:eastAsia="zh-CN"/>
                    </w:rPr>
                  </w:pPr>
                  <w:r>
                    <w:rPr>
                      <w:rFonts w:hint="eastAsia"/>
                      <w:lang w:val="en-US" w:eastAsia="zh-CN"/>
                    </w:rPr>
                    <w:t>DA001</w:t>
                  </w:r>
                </w:p>
              </w:tc>
              <w:tc>
                <w:tcPr>
                  <w:tcW w:w="776" w:type="dxa"/>
                  <w:vAlign w:val="center"/>
                </w:tcPr>
                <w:p>
                  <w:pPr>
                    <w:pStyle w:val="40"/>
                    <w:bidi w:val="0"/>
                    <w:rPr>
                      <w:rFonts w:hint="eastAsia"/>
                      <w:lang w:val="en-US" w:eastAsia="zh-CN"/>
                    </w:rPr>
                  </w:pPr>
                  <w:r>
                    <w:rPr>
                      <w:rFonts w:hint="eastAsia"/>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41" w:type="dxa"/>
                  <w:vMerge w:val="continue"/>
                  <w:vAlign w:val="center"/>
                </w:tcPr>
                <w:p>
                  <w:pPr>
                    <w:pStyle w:val="40"/>
                    <w:bidi w:val="0"/>
                    <w:rPr>
                      <w:rFonts w:hint="eastAsia"/>
                      <w:lang w:val="en-US" w:eastAsia="zh-CN"/>
                    </w:rPr>
                  </w:pPr>
                </w:p>
              </w:tc>
              <w:tc>
                <w:tcPr>
                  <w:tcW w:w="900" w:type="dxa"/>
                  <w:vMerge w:val="continue"/>
                  <w:vAlign w:val="center"/>
                </w:tcPr>
                <w:p>
                  <w:pPr>
                    <w:pStyle w:val="40"/>
                    <w:bidi w:val="0"/>
                    <w:rPr>
                      <w:rFonts w:hint="eastAsia"/>
                      <w:lang w:val="en-US" w:eastAsia="zh-CN"/>
                    </w:rPr>
                  </w:pPr>
                </w:p>
              </w:tc>
              <w:tc>
                <w:tcPr>
                  <w:tcW w:w="554" w:type="dxa"/>
                  <w:vMerge w:val="continue"/>
                  <w:vAlign w:val="center"/>
                </w:tcPr>
                <w:p>
                  <w:pPr>
                    <w:pStyle w:val="40"/>
                    <w:bidi w:val="0"/>
                    <w:rPr>
                      <w:rFonts w:hint="eastAsia"/>
                      <w:lang w:val="en-US" w:eastAsia="zh-CN"/>
                    </w:rPr>
                  </w:pPr>
                </w:p>
              </w:tc>
              <w:tc>
                <w:tcPr>
                  <w:tcW w:w="559" w:type="dxa"/>
                  <w:vAlign w:val="center"/>
                </w:tcPr>
                <w:p>
                  <w:pPr>
                    <w:pStyle w:val="40"/>
                    <w:bidi w:val="0"/>
                    <w:rPr>
                      <w:rFonts w:hint="eastAsia"/>
                      <w:lang w:val="en-US" w:eastAsia="zh-CN"/>
                    </w:rPr>
                  </w:pPr>
                  <w:r>
                    <w:rPr>
                      <w:rFonts w:hint="eastAsia"/>
                      <w:lang w:val="en-US" w:eastAsia="zh-CN"/>
                    </w:rPr>
                    <w:t>无组织</w:t>
                  </w:r>
                </w:p>
              </w:tc>
              <w:tc>
                <w:tcPr>
                  <w:tcW w:w="745" w:type="dxa"/>
                  <w:vAlign w:val="center"/>
                </w:tcPr>
                <w:p>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lang w:val="en-US" w:eastAsia="zh-CN" w:bidi="ar"/>
                    </w:rPr>
                    <w:t>1.685</w:t>
                  </w:r>
                </w:p>
              </w:tc>
              <w:tc>
                <w:tcPr>
                  <w:tcW w:w="738" w:type="dxa"/>
                  <w:vAlign w:val="center"/>
                </w:tcPr>
                <w:p>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lang w:val="en-US" w:eastAsia="zh-CN" w:bidi="ar"/>
                    </w:rPr>
                    <w:t>1.872</w:t>
                  </w:r>
                </w:p>
              </w:tc>
              <w:tc>
                <w:tcPr>
                  <w:tcW w:w="843" w:type="dxa"/>
                  <w:vAlign w:val="center"/>
                </w:tcPr>
                <w:p>
                  <w:pPr>
                    <w:keepNext w:val="0"/>
                    <w:keepLines w:val="0"/>
                    <w:widowControl/>
                    <w:suppressLineNumbers w:val="0"/>
                    <w:jc w:val="center"/>
                    <w:textAlignment w:val="center"/>
                    <w:rPr>
                      <w:rFonts w:hint="eastAsia"/>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73" w:type="dxa"/>
                  <w:vAlign w:val="center"/>
                </w:tcPr>
                <w:p>
                  <w:pPr>
                    <w:pStyle w:val="40"/>
                    <w:bidi w:val="0"/>
                    <w:rPr>
                      <w:rFonts w:hint="eastAsia"/>
                      <w:lang w:val="en-US" w:eastAsia="zh-CN"/>
                    </w:rPr>
                  </w:pPr>
                  <w:r>
                    <w:rPr>
                      <w:rFonts w:hint="eastAsia"/>
                      <w:lang w:val="en-US" w:eastAsia="zh-CN"/>
                    </w:rPr>
                    <w:t>/</w:t>
                  </w:r>
                </w:p>
              </w:tc>
              <w:tc>
                <w:tcPr>
                  <w:tcW w:w="750" w:type="dxa"/>
                  <w:vAlign w:val="center"/>
                </w:tcPr>
                <w:p>
                  <w:pPr>
                    <w:pStyle w:val="40"/>
                    <w:bidi w:val="0"/>
                    <w:rPr>
                      <w:rFonts w:hint="eastAsia"/>
                      <w:lang w:val="en-US" w:eastAsia="zh-CN"/>
                    </w:rPr>
                  </w:pPr>
                  <w:r>
                    <w:rPr>
                      <w:rFonts w:hint="eastAsia"/>
                      <w:lang w:val="en-US" w:eastAsia="zh-CN"/>
                    </w:rPr>
                    <w:t>/</w:t>
                  </w:r>
                </w:p>
              </w:tc>
              <w:tc>
                <w:tcPr>
                  <w:tcW w:w="669" w:type="dxa"/>
                  <w:vAlign w:val="center"/>
                </w:tcPr>
                <w:p>
                  <w:pPr>
                    <w:pStyle w:val="40"/>
                    <w:bidi w:val="0"/>
                    <w:rPr>
                      <w:rFonts w:hint="eastAsia"/>
                      <w:lang w:val="en-US" w:eastAsia="zh-CN"/>
                    </w:rPr>
                  </w:pPr>
                  <w:r>
                    <w:rPr>
                      <w:rFonts w:hint="eastAsia"/>
                      <w:lang w:val="en-US" w:eastAsia="zh-CN"/>
                    </w:rPr>
                    <w:t>/</w:t>
                  </w:r>
                </w:p>
              </w:tc>
              <w:tc>
                <w:tcPr>
                  <w:tcW w:w="704" w:type="dxa"/>
                  <w:vAlign w:val="center"/>
                </w:tcPr>
                <w:p>
                  <w:pPr>
                    <w:pStyle w:val="40"/>
                    <w:bidi w:val="0"/>
                    <w:rPr>
                      <w:rFonts w:hint="eastAsia"/>
                      <w:lang w:val="en-US" w:eastAsia="zh-CN"/>
                    </w:rPr>
                  </w:pPr>
                  <w:r>
                    <w:rPr>
                      <w:rFonts w:hint="eastAsia"/>
                      <w:lang w:val="en-US" w:eastAsia="zh-CN"/>
                    </w:rPr>
                    <w:t>/</w:t>
                  </w:r>
                </w:p>
              </w:tc>
              <w:tc>
                <w:tcPr>
                  <w:tcW w:w="727" w:type="dxa"/>
                  <w:vAlign w:val="center"/>
                </w:tcPr>
                <w:p>
                  <w:pPr>
                    <w:pStyle w:val="40"/>
                    <w:bidi w:val="0"/>
                    <w:rPr>
                      <w:rFonts w:hint="eastAsia"/>
                      <w:lang w:val="en-US" w:eastAsia="zh-CN"/>
                    </w:rPr>
                  </w:pPr>
                  <w:r>
                    <w:rPr>
                      <w:rFonts w:hint="eastAsia" w:cs="Times New Roman"/>
                      <w:kern w:val="2"/>
                      <w:sz w:val="21"/>
                      <w:szCs w:val="21"/>
                      <w:lang w:val="en-US" w:eastAsia="zh-CN" w:bidi="ar-SA"/>
                    </w:rPr>
                    <w:t>/</w:t>
                  </w:r>
                </w:p>
              </w:tc>
              <w:tc>
                <w:tcPr>
                  <w:tcW w:w="750" w:type="dxa"/>
                  <w:vAlign w:val="center"/>
                </w:tcPr>
                <w:p>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lang w:val="en-US" w:eastAsia="zh-CN" w:bidi="ar"/>
                    </w:rPr>
                    <w:t>1.685</w:t>
                  </w:r>
                </w:p>
              </w:tc>
              <w:tc>
                <w:tcPr>
                  <w:tcW w:w="738" w:type="dxa"/>
                  <w:vAlign w:val="center"/>
                </w:tcPr>
                <w:p>
                  <w:pPr>
                    <w:keepNext w:val="0"/>
                    <w:keepLines w:val="0"/>
                    <w:widowControl/>
                    <w:suppressLineNumbers w:val="0"/>
                    <w:jc w:val="center"/>
                    <w:textAlignment w:val="center"/>
                    <w:rPr>
                      <w:rFonts w:hint="default"/>
                      <w:lang w:val="en-US" w:eastAsia="zh-CN"/>
                    </w:rPr>
                  </w:pPr>
                  <w:r>
                    <w:rPr>
                      <w:rFonts w:hint="eastAsia" w:cs="Times New Roman"/>
                      <w:i w:val="0"/>
                      <w:iCs w:val="0"/>
                      <w:color w:val="000000"/>
                      <w:kern w:val="0"/>
                      <w:sz w:val="21"/>
                      <w:szCs w:val="21"/>
                      <w:u w:val="none"/>
                      <w:lang w:val="en-US" w:eastAsia="zh-CN" w:bidi="ar"/>
                    </w:rPr>
                    <w:t>1.872</w:t>
                  </w:r>
                </w:p>
              </w:tc>
              <w:tc>
                <w:tcPr>
                  <w:tcW w:w="785"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750" w:type="dxa"/>
                  <w:vAlign w:val="center"/>
                </w:tcPr>
                <w:p>
                  <w:pPr>
                    <w:pStyle w:val="40"/>
                    <w:bidi w:val="0"/>
                    <w:rPr>
                      <w:rFonts w:hint="eastAsia"/>
                      <w:lang w:val="en-US" w:eastAsia="zh-CN"/>
                    </w:rPr>
                  </w:pPr>
                  <w:r>
                    <w:rPr>
                      <w:rFonts w:hint="eastAsia"/>
                      <w:lang w:val="en-US" w:eastAsia="zh-CN"/>
                    </w:rPr>
                    <w:t>/</w:t>
                  </w:r>
                </w:p>
              </w:tc>
              <w:tc>
                <w:tcPr>
                  <w:tcW w:w="776" w:type="dxa"/>
                  <w:vAlign w:val="center"/>
                </w:tcPr>
                <w:p>
                  <w:pPr>
                    <w:pStyle w:val="40"/>
                    <w:bidi w:val="0"/>
                    <w:rPr>
                      <w:rFonts w:hint="eastAsia"/>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5" w:hRule="atLeast"/>
                <w:jc w:val="center"/>
              </w:trPr>
              <w:tc>
                <w:tcPr>
                  <w:tcW w:w="641" w:type="dxa"/>
                  <w:vMerge w:val="continue"/>
                  <w:vAlign w:val="center"/>
                </w:tcPr>
                <w:p>
                  <w:pPr>
                    <w:pStyle w:val="40"/>
                    <w:bidi w:val="0"/>
                    <w:rPr>
                      <w:rFonts w:hint="eastAsia"/>
                      <w:lang w:val="en-US" w:eastAsia="zh-CN"/>
                    </w:rPr>
                  </w:pPr>
                </w:p>
              </w:tc>
              <w:tc>
                <w:tcPr>
                  <w:tcW w:w="900" w:type="dxa"/>
                  <w:vAlign w:val="center"/>
                </w:tcPr>
                <w:p>
                  <w:pPr>
                    <w:pStyle w:val="40"/>
                    <w:bidi w:val="0"/>
                    <w:rPr>
                      <w:rFonts w:hint="default"/>
                      <w:lang w:val="en-US" w:eastAsia="zh-CN"/>
                    </w:rPr>
                  </w:pPr>
                  <w:r>
                    <w:rPr>
                      <w:rFonts w:hint="eastAsia"/>
                      <w:lang w:val="en-US" w:eastAsia="zh-CN"/>
                    </w:rPr>
                    <w:t>食堂</w:t>
                  </w:r>
                </w:p>
              </w:tc>
              <w:tc>
                <w:tcPr>
                  <w:tcW w:w="554" w:type="dxa"/>
                  <w:vAlign w:val="center"/>
                </w:tcPr>
                <w:p>
                  <w:pPr>
                    <w:pStyle w:val="40"/>
                    <w:bidi w:val="0"/>
                    <w:rPr>
                      <w:rFonts w:hint="default"/>
                      <w:lang w:val="en-US" w:eastAsia="zh-CN"/>
                    </w:rPr>
                  </w:pPr>
                  <w:r>
                    <w:rPr>
                      <w:rFonts w:hint="eastAsia"/>
                      <w:lang w:val="en-US" w:eastAsia="zh-CN"/>
                    </w:rPr>
                    <w:t>有组织</w:t>
                  </w:r>
                </w:p>
              </w:tc>
              <w:tc>
                <w:tcPr>
                  <w:tcW w:w="559" w:type="dxa"/>
                  <w:vAlign w:val="center"/>
                </w:tcPr>
                <w:p>
                  <w:pPr>
                    <w:pStyle w:val="40"/>
                    <w:bidi w:val="0"/>
                    <w:rPr>
                      <w:rFonts w:hint="default"/>
                      <w:lang w:val="en-US" w:eastAsia="zh-CN"/>
                    </w:rPr>
                  </w:pPr>
                  <w:r>
                    <w:rPr>
                      <w:rFonts w:hint="eastAsia"/>
                      <w:lang w:val="en-US" w:eastAsia="zh-CN"/>
                    </w:rPr>
                    <w:t>食堂油烟</w:t>
                  </w:r>
                </w:p>
              </w:tc>
              <w:tc>
                <w:tcPr>
                  <w:tcW w:w="745" w:type="dxa"/>
                  <w:vAlign w:val="center"/>
                </w:tcPr>
                <w:p>
                  <w:pPr>
                    <w:pStyle w:val="40"/>
                    <w:bidi w:val="0"/>
                    <w:rPr>
                      <w:rFonts w:hint="default"/>
                      <w:lang w:val="en-US" w:eastAsia="zh-CN"/>
                    </w:rPr>
                  </w:pPr>
                  <w:r>
                    <w:rPr>
                      <w:rFonts w:hint="eastAsia"/>
                      <w:lang w:val="en-US" w:eastAsia="zh-CN"/>
                    </w:rPr>
                    <w:t>0.001</w:t>
                  </w:r>
                </w:p>
              </w:tc>
              <w:tc>
                <w:tcPr>
                  <w:tcW w:w="738" w:type="dxa"/>
                  <w:vAlign w:val="center"/>
                </w:tcPr>
                <w:p>
                  <w:pPr>
                    <w:pStyle w:val="40"/>
                    <w:bidi w:val="0"/>
                    <w:rPr>
                      <w:rFonts w:hint="default"/>
                      <w:lang w:val="en-US" w:eastAsia="zh-CN"/>
                    </w:rPr>
                  </w:pPr>
                  <w:r>
                    <w:rPr>
                      <w:rFonts w:hint="eastAsia"/>
                      <w:lang w:val="en-US" w:eastAsia="zh-CN"/>
                    </w:rPr>
                    <w:t>0.0056</w:t>
                  </w:r>
                </w:p>
              </w:tc>
              <w:tc>
                <w:tcPr>
                  <w:tcW w:w="843"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3.7037 </w:t>
                  </w:r>
                </w:p>
              </w:tc>
              <w:tc>
                <w:tcPr>
                  <w:tcW w:w="1373" w:type="dxa"/>
                  <w:vAlign w:val="center"/>
                </w:tcPr>
                <w:p>
                  <w:pPr>
                    <w:pStyle w:val="40"/>
                    <w:bidi w:val="0"/>
                    <w:rPr>
                      <w:rFonts w:hint="eastAsia"/>
                      <w:lang w:val="en-US" w:eastAsia="zh-CN"/>
                    </w:rPr>
                  </w:pPr>
                  <w:r>
                    <w:rPr>
                      <w:rFonts w:hint="eastAsia"/>
                      <w:lang w:val="en-US" w:eastAsia="zh-CN"/>
                    </w:rPr>
                    <w:t>油烟净化器</w:t>
                  </w:r>
                </w:p>
              </w:tc>
              <w:tc>
                <w:tcPr>
                  <w:tcW w:w="750" w:type="dxa"/>
                  <w:vAlign w:val="center"/>
                </w:tcPr>
                <w:p>
                  <w:pPr>
                    <w:pStyle w:val="40"/>
                    <w:bidi w:val="0"/>
                    <w:rPr>
                      <w:rFonts w:hint="default"/>
                      <w:lang w:val="en-US" w:eastAsia="zh-CN"/>
                    </w:rPr>
                  </w:pPr>
                  <w:r>
                    <w:rPr>
                      <w:rFonts w:hint="eastAsia"/>
                      <w:lang w:val="en-US" w:eastAsia="zh-CN"/>
                    </w:rPr>
                    <w:t>1500</w:t>
                  </w:r>
                </w:p>
              </w:tc>
              <w:tc>
                <w:tcPr>
                  <w:tcW w:w="669" w:type="dxa"/>
                  <w:vAlign w:val="center"/>
                </w:tcPr>
                <w:p>
                  <w:pPr>
                    <w:pStyle w:val="40"/>
                    <w:bidi w:val="0"/>
                    <w:rPr>
                      <w:rFonts w:hint="default"/>
                      <w:lang w:val="en-US" w:eastAsia="zh-CN"/>
                    </w:rPr>
                  </w:pPr>
                  <w:r>
                    <w:rPr>
                      <w:rFonts w:hint="eastAsia"/>
                      <w:lang w:val="en-US" w:eastAsia="zh-CN"/>
                    </w:rPr>
                    <w:t>100</w:t>
                  </w:r>
                </w:p>
              </w:tc>
              <w:tc>
                <w:tcPr>
                  <w:tcW w:w="704" w:type="dxa"/>
                  <w:vAlign w:val="center"/>
                </w:tcPr>
                <w:p>
                  <w:pPr>
                    <w:pStyle w:val="40"/>
                    <w:bidi w:val="0"/>
                    <w:rPr>
                      <w:rFonts w:hint="default"/>
                      <w:lang w:val="en-US" w:eastAsia="zh-CN"/>
                    </w:rPr>
                  </w:pPr>
                  <w:r>
                    <w:rPr>
                      <w:rFonts w:hint="eastAsia"/>
                      <w:lang w:val="en-US" w:eastAsia="zh-CN"/>
                    </w:rPr>
                    <w:t>60</w:t>
                  </w:r>
                </w:p>
              </w:tc>
              <w:tc>
                <w:tcPr>
                  <w:tcW w:w="727" w:type="dxa"/>
                  <w:vAlign w:val="center"/>
                </w:tcPr>
                <w:p>
                  <w:pPr>
                    <w:pStyle w:val="40"/>
                    <w:bidi w:val="0"/>
                    <w:rPr>
                      <w:rFonts w:hint="default"/>
                      <w:lang w:val="en-US" w:eastAsia="zh-CN"/>
                    </w:rPr>
                  </w:pPr>
                  <w:r>
                    <w:rPr>
                      <w:rFonts w:hint="eastAsia"/>
                      <w:lang w:val="en-US" w:eastAsia="zh-CN"/>
                    </w:rPr>
                    <w:t>是</w:t>
                  </w:r>
                </w:p>
              </w:tc>
              <w:tc>
                <w:tcPr>
                  <w:tcW w:w="75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0.0004 </w:t>
                  </w:r>
                </w:p>
              </w:tc>
              <w:tc>
                <w:tcPr>
                  <w:tcW w:w="738"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0.0022 </w:t>
                  </w:r>
                </w:p>
              </w:tc>
              <w:tc>
                <w:tcPr>
                  <w:tcW w:w="785"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1.467 </w:t>
                  </w:r>
                </w:p>
              </w:tc>
              <w:tc>
                <w:tcPr>
                  <w:tcW w:w="750" w:type="dxa"/>
                  <w:vAlign w:val="center"/>
                </w:tcPr>
                <w:p>
                  <w:pPr>
                    <w:pStyle w:val="40"/>
                    <w:bidi w:val="0"/>
                    <w:rPr>
                      <w:rFonts w:hint="default"/>
                      <w:lang w:val="en-US" w:eastAsia="zh-CN"/>
                    </w:rPr>
                  </w:pPr>
                  <w:r>
                    <w:rPr>
                      <w:rFonts w:hint="eastAsia"/>
                      <w:lang w:val="en-US" w:eastAsia="zh-CN"/>
                    </w:rPr>
                    <w:t>DA002</w:t>
                  </w:r>
                </w:p>
              </w:tc>
              <w:tc>
                <w:tcPr>
                  <w:tcW w:w="776" w:type="dxa"/>
                  <w:vAlign w:val="center"/>
                </w:tcPr>
                <w:p>
                  <w:pPr>
                    <w:pStyle w:val="40"/>
                    <w:bidi w:val="0"/>
                    <w:rPr>
                      <w:rFonts w:hint="default"/>
                      <w:lang w:val="en-US" w:eastAsia="zh-CN"/>
                    </w:rPr>
                  </w:pPr>
                  <w:r>
                    <w:rPr>
                      <w:rFonts w:hint="eastAsia"/>
                      <w:lang w:val="en-US" w:eastAsia="zh-CN"/>
                    </w:rPr>
                    <w:t>2</w:t>
                  </w:r>
                </w:p>
              </w:tc>
            </w:tr>
          </w:tbl>
          <w:p>
            <w:pPr>
              <w:pStyle w:val="40"/>
              <w:bidi w:val="0"/>
              <w:rPr>
                <w:rFonts w:hint="eastAsia"/>
                <w:lang w:val="en-US" w:eastAsia="zh-CN"/>
              </w:rPr>
            </w:pPr>
          </w:p>
        </w:tc>
      </w:tr>
    </w:tbl>
    <w:p>
      <w:pPr>
        <w:pStyle w:val="11"/>
        <w:rPr>
          <w:rFonts w:hint="eastAsia"/>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79" w:hRule="atLeast"/>
        </w:trPr>
        <w:tc>
          <w:tcPr>
            <w:tcW w:w="973" w:type="dxa"/>
          </w:tcPr>
          <w:p>
            <w:pPr>
              <w:pStyle w:val="11"/>
              <w:rPr>
                <w:rFonts w:hint="eastAsia"/>
                <w:vertAlign w:val="baseline"/>
              </w:rPr>
            </w:pPr>
          </w:p>
        </w:tc>
        <w:tc>
          <w:tcPr>
            <w:tcW w:w="8021" w:type="dxa"/>
          </w:tcPr>
          <w:p>
            <w:pPr>
              <w:pStyle w:val="42"/>
              <w:bidi w:val="0"/>
              <w:rPr>
                <w:rFonts w:hint="eastAsia"/>
                <w:lang w:val="en-US" w:eastAsia="zh-CN"/>
              </w:rPr>
            </w:pPr>
            <w:r>
              <w:rPr>
                <w:rFonts w:hint="eastAsia"/>
                <w:lang w:val="en-US" w:eastAsia="zh-CN"/>
              </w:rPr>
              <w:t>表4-2    排放口基本情况一览表</w:t>
            </w:r>
          </w:p>
          <w:tbl>
            <w:tblPr>
              <w:tblStyle w:val="2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799"/>
              <w:gridCol w:w="813"/>
              <w:gridCol w:w="950"/>
              <w:gridCol w:w="1327"/>
              <w:gridCol w:w="757"/>
              <w:gridCol w:w="762"/>
              <w:gridCol w:w="640"/>
              <w:gridCol w:w="729"/>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 w:type="pct"/>
                  <w:noWrap w:val="0"/>
                  <w:vAlign w:val="center"/>
                </w:tcPr>
                <w:p>
                  <w:pPr>
                    <w:pStyle w:val="40"/>
                    <w:bidi w:val="0"/>
                    <w:rPr>
                      <w:rFonts w:hint="eastAsia"/>
                      <w:lang w:val="en-US" w:eastAsia="zh-CN"/>
                    </w:rPr>
                  </w:pPr>
                  <w:r>
                    <w:rPr>
                      <w:rFonts w:hint="eastAsia"/>
                      <w:lang w:val="en-US" w:eastAsia="zh-CN"/>
                    </w:rPr>
                    <w:t>序号</w:t>
                  </w:r>
                </w:p>
              </w:tc>
              <w:tc>
                <w:tcPr>
                  <w:tcW w:w="512" w:type="pct"/>
                  <w:noWrap w:val="0"/>
                  <w:vAlign w:val="center"/>
                </w:tcPr>
                <w:p>
                  <w:pPr>
                    <w:pStyle w:val="40"/>
                    <w:bidi w:val="0"/>
                    <w:rPr>
                      <w:rFonts w:hint="eastAsia"/>
                      <w:lang w:val="en-US" w:eastAsia="zh-CN"/>
                    </w:rPr>
                  </w:pPr>
                  <w:r>
                    <w:rPr>
                      <w:rFonts w:hint="eastAsia"/>
                      <w:lang w:val="en-US" w:eastAsia="zh-CN"/>
                    </w:rPr>
                    <w:t>排放口名称</w:t>
                  </w:r>
                </w:p>
              </w:tc>
              <w:tc>
                <w:tcPr>
                  <w:tcW w:w="521" w:type="pct"/>
                  <w:noWrap w:val="0"/>
                  <w:vAlign w:val="center"/>
                </w:tcPr>
                <w:p>
                  <w:pPr>
                    <w:pStyle w:val="40"/>
                    <w:bidi w:val="0"/>
                    <w:rPr>
                      <w:rFonts w:hint="eastAsia"/>
                      <w:lang w:val="en-US" w:eastAsia="zh-CN"/>
                    </w:rPr>
                  </w:pPr>
                  <w:r>
                    <w:rPr>
                      <w:rFonts w:hint="eastAsia"/>
                      <w:lang w:val="en-US" w:eastAsia="zh-CN"/>
                    </w:rPr>
                    <w:t>排放口编号</w:t>
                  </w:r>
                </w:p>
              </w:tc>
              <w:tc>
                <w:tcPr>
                  <w:tcW w:w="609" w:type="pct"/>
                  <w:noWrap w:val="0"/>
                  <w:vAlign w:val="center"/>
                </w:tcPr>
                <w:p>
                  <w:pPr>
                    <w:pStyle w:val="40"/>
                    <w:bidi w:val="0"/>
                    <w:rPr>
                      <w:rFonts w:hint="eastAsia"/>
                      <w:lang w:val="en-US" w:eastAsia="zh-CN"/>
                    </w:rPr>
                  </w:pPr>
                  <w:r>
                    <w:rPr>
                      <w:rFonts w:hint="eastAsia"/>
                      <w:lang w:val="en-US" w:eastAsia="zh-CN"/>
                    </w:rPr>
                    <w:t>污染物种类</w:t>
                  </w:r>
                </w:p>
              </w:tc>
              <w:tc>
                <w:tcPr>
                  <w:tcW w:w="850" w:type="pct"/>
                  <w:noWrap w:val="0"/>
                  <w:vAlign w:val="center"/>
                </w:tcPr>
                <w:p>
                  <w:pPr>
                    <w:pStyle w:val="40"/>
                    <w:bidi w:val="0"/>
                    <w:rPr>
                      <w:rFonts w:hint="eastAsia"/>
                      <w:lang w:val="en-US" w:eastAsia="zh-CN"/>
                    </w:rPr>
                  </w:pPr>
                  <w:r>
                    <w:rPr>
                      <w:rFonts w:hint="eastAsia"/>
                      <w:highlight w:val="none"/>
                      <w:lang w:val="en-US" w:eastAsia="zh-CN"/>
                    </w:rPr>
                    <w:t>地理坐标</w:t>
                  </w:r>
                </w:p>
              </w:tc>
              <w:tc>
                <w:tcPr>
                  <w:tcW w:w="485" w:type="pct"/>
                  <w:noWrap w:val="0"/>
                  <w:vAlign w:val="center"/>
                </w:tcPr>
                <w:p>
                  <w:pPr>
                    <w:pStyle w:val="40"/>
                    <w:bidi w:val="0"/>
                    <w:rPr>
                      <w:rFonts w:hint="eastAsia"/>
                      <w:lang w:val="en-US" w:eastAsia="zh-CN"/>
                    </w:rPr>
                  </w:pPr>
                  <w:r>
                    <w:rPr>
                      <w:rFonts w:hint="eastAsia"/>
                      <w:lang w:val="en-US" w:eastAsia="zh-CN"/>
                    </w:rPr>
                    <w:t>排气筒高度（m）</w:t>
                  </w:r>
                </w:p>
              </w:tc>
              <w:tc>
                <w:tcPr>
                  <w:tcW w:w="488" w:type="pct"/>
                  <w:noWrap w:val="0"/>
                  <w:vAlign w:val="center"/>
                </w:tcPr>
                <w:p>
                  <w:pPr>
                    <w:pStyle w:val="40"/>
                    <w:bidi w:val="0"/>
                    <w:rPr>
                      <w:rFonts w:hint="eastAsia"/>
                      <w:lang w:val="en-US" w:eastAsia="zh-CN"/>
                    </w:rPr>
                  </w:pPr>
                  <w:r>
                    <w:rPr>
                      <w:rFonts w:hint="eastAsia"/>
                      <w:lang w:val="en-US" w:eastAsia="zh-CN"/>
                    </w:rPr>
                    <w:t>排气筒内径（m）</w:t>
                  </w:r>
                </w:p>
              </w:tc>
              <w:tc>
                <w:tcPr>
                  <w:tcW w:w="410" w:type="pct"/>
                  <w:noWrap w:val="0"/>
                  <w:vAlign w:val="center"/>
                </w:tcPr>
                <w:p>
                  <w:pPr>
                    <w:pStyle w:val="40"/>
                    <w:bidi w:val="0"/>
                    <w:rPr>
                      <w:rFonts w:hint="eastAsia"/>
                      <w:lang w:val="en-US" w:eastAsia="zh-CN"/>
                    </w:rPr>
                  </w:pPr>
                  <w:r>
                    <w:rPr>
                      <w:rFonts w:hint="eastAsia"/>
                      <w:lang w:val="en-US" w:eastAsia="zh-CN"/>
                    </w:rPr>
                    <w:t>烟气温度（℃）</w:t>
                  </w:r>
                </w:p>
              </w:tc>
              <w:tc>
                <w:tcPr>
                  <w:tcW w:w="467" w:type="pct"/>
                  <w:noWrap w:val="0"/>
                  <w:vAlign w:val="center"/>
                </w:tcPr>
                <w:p>
                  <w:pPr>
                    <w:pStyle w:val="40"/>
                    <w:bidi w:val="0"/>
                    <w:rPr>
                      <w:rFonts w:hint="eastAsia"/>
                      <w:lang w:val="en-US" w:eastAsia="zh-CN"/>
                    </w:rPr>
                  </w:pPr>
                  <w:r>
                    <w:rPr>
                      <w:rFonts w:hint="eastAsia"/>
                      <w:lang w:val="en-US" w:eastAsia="zh-CN"/>
                    </w:rPr>
                    <w:t>年排放小时数（h）</w:t>
                  </w:r>
                </w:p>
              </w:tc>
              <w:tc>
                <w:tcPr>
                  <w:tcW w:w="385" w:type="pct"/>
                  <w:noWrap w:val="0"/>
                  <w:vAlign w:val="center"/>
                </w:tcPr>
                <w:p>
                  <w:pPr>
                    <w:pStyle w:val="40"/>
                    <w:bidi w:val="0"/>
                    <w:rPr>
                      <w:rFonts w:hint="eastAsia"/>
                      <w:lang w:val="en-US" w:eastAsia="zh-CN"/>
                    </w:rPr>
                  </w:pPr>
                  <w:r>
                    <w:rPr>
                      <w:rFonts w:hint="eastAsia"/>
                      <w:lang w:val="en-US" w:eastAsia="zh-CN"/>
                    </w:rPr>
                    <w:t>排气筒类型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68" w:type="pct"/>
                  <w:noWrap w:val="0"/>
                  <w:vAlign w:val="center"/>
                </w:tcPr>
                <w:p>
                  <w:pPr>
                    <w:pStyle w:val="40"/>
                    <w:bidi w:val="0"/>
                    <w:rPr>
                      <w:rFonts w:hint="eastAsia"/>
                      <w:lang w:val="en-US" w:eastAsia="zh-CN"/>
                    </w:rPr>
                  </w:pPr>
                  <w:r>
                    <w:rPr>
                      <w:rFonts w:hint="eastAsia"/>
                      <w:lang w:val="en-US" w:eastAsia="zh-CN"/>
                    </w:rPr>
                    <w:t>1</w:t>
                  </w:r>
                </w:p>
              </w:tc>
              <w:tc>
                <w:tcPr>
                  <w:tcW w:w="512" w:type="pct"/>
                  <w:noWrap w:val="0"/>
                  <w:vAlign w:val="center"/>
                </w:tcPr>
                <w:p>
                  <w:pPr>
                    <w:pStyle w:val="40"/>
                    <w:bidi w:val="0"/>
                    <w:rPr>
                      <w:rFonts w:hint="default"/>
                      <w:lang w:val="en-US" w:eastAsia="zh-CN"/>
                    </w:rPr>
                  </w:pPr>
                  <w:r>
                    <w:rPr>
                      <w:rFonts w:hint="eastAsia"/>
                      <w:lang w:val="en-US" w:eastAsia="zh-CN"/>
                    </w:rPr>
                    <w:t>搅拌粉尘</w:t>
                  </w:r>
                </w:p>
              </w:tc>
              <w:tc>
                <w:tcPr>
                  <w:tcW w:w="521" w:type="pct"/>
                  <w:noWrap w:val="0"/>
                  <w:vAlign w:val="center"/>
                </w:tcPr>
                <w:p>
                  <w:pPr>
                    <w:pStyle w:val="40"/>
                    <w:bidi w:val="0"/>
                    <w:ind w:left="0" w:leftChars="0" w:right="0" w:rightChars="0" w:firstLine="0" w:firstLineChars="0"/>
                    <w:jc w:val="center"/>
                    <w:rPr>
                      <w:rFonts w:hint="default"/>
                      <w:lang w:val="en-US" w:eastAsia="zh-CN"/>
                    </w:rPr>
                  </w:pPr>
                  <w:r>
                    <w:rPr>
                      <w:rFonts w:hint="eastAsia"/>
                      <w:lang w:val="en-US" w:eastAsia="zh-CN"/>
                    </w:rPr>
                    <w:t>DA001</w:t>
                  </w:r>
                </w:p>
              </w:tc>
              <w:tc>
                <w:tcPr>
                  <w:tcW w:w="609" w:type="pct"/>
                  <w:noWrap w:val="0"/>
                  <w:vAlign w:val="center"/>
                </w:tcPr>
                <w:p>
                  <w:pPr>
                    <w:pStyle w:val="40"/>
                    <w:bidi w:val="0"/>
                    <w:ind w:left="0" w:leftChars="0" w:right="0" w:rightChars="0" w:firstLine="0" w:firstLineChars="0"/>
                    <w:jc w:val="center"/>
                    <w:rPr>
                      <w:rFonts w:hint="default"/>
                      <w:lang w:val="en-US" w:eastAsia="zh-CN"/>
                    </w:rPr>
                  </w:pPr>
                  <w:r>
                    <w:rPr>
                      <w:rFonts w:hint="eastAsia"/>
                      <w:lang w:val="en-US" w:eastAsia="zh-CN"/>
                    </w:rPr>
                    <w:t>颗粒物</w:t>
                  </w:r>
                </w:p>
              </w:tc>
              <w:tc>
                <w:tcPr>
                  <w:tcW w:w="850" w:type="pct"/>
                  <w:noWrap w:val="0"/>
                  <w:vAlign w:val="center"/>
                </w:tcPr>
                <w:p>
                  <w:pPr>
                    <w:pStyle w:val="40"/>
                    <w:bidi w:val="0"/>
                    <w:rPr>
                      <w:rFonts w:hint="default" w:ascii="Times New Roman" w:hAnsi="Times New Roman" w:cs="Times New Roman"/>
                      <w:lang w:val="en-US" w:eastAsia="zh-CN"/>
                    </w:rPr>
                  </w:pPr>
                  <w:r>
                    <w:rPr>
                      <w:rFonts w:hint="default" w:ascii="Times New Roman" w:hAnsi="Times New Roman" w:cs="Times New Roman"/>
                      <w:lang w:val="en-US" w:eastAsia="zh-CN"/>
                    </w:rPr>
                    <w:t>E:88°44′49.206″</w:t>
                  </w:r>
                  <w:r>
                    <w:rPr>
                      <w:rFonts w:hint="eastAsia" w:ascii="Times New Roman" w:hAnsi="Times New Roman" w:cs="Times New Roman"/>
                      <w:lang w:val="en-US" w:eastAsia="zh-CN"/>
                    </w:rPr>
                    <w:t>，</w:t>
                  </w:r>
                  <w:r>
                    <w:rPr>
                      <w:rFonts w:hint="default" w:ascii="Times New Roman" w:hAnsi="Times New Roman" w:cs="Times New Roman"/>
                      <w:lang w:val="en-US" w:eastAsia="zh-CN"/>
                    </w:rPr>
                    <w:t>N</w:t>
                  </w:r>
                  <w:r>
                    <w:rPr>
                      <w:rFonts w:hint="eastAsia" w:ascii="Times New Roman" w:hAnsi="Times New Roman" w:cs="Times New Roman"/>
                      <w:lang w:val="en-US" w:eastAsia="zh-CN"/>
                    </w:rPr>
                    <w:t>:</w:t>
                  </w:r>
                  <w:r>
                    <w:rPr>
                      <w:rFonts w:hint="default" w:ascii="Times New Roman" w:hAnsi="Times New Roman" w:cs="Times New Roman"/>
                      <w:lang w:val="en-US" w:eastAsia="zh-CN"/>
                    </w:rPr>
                    <w:t>38°59′21.220″</w:t>
                  </w:r>
                </w:p>
              </w:tc>
              <w:tc>
                <w:tcPr>
                  <w:tcW w:w="485" w:type="pct"/>
                  <w:noWrap w:val="0"/>
                  <w:vAlign w:val="center"/>
                </w:tcPr>
                <w:p>
                  <w:pPr>
                    <w:pStyle w:val="40"/>
                    <w:bidi w:val="0"/>
                    <w:rPr>
                      <w:rFonts w:hint="default"/>
                      <w:lang w:val="en-US" w:eastAsia="zh-CN"/>
                    </w:rPr>
                  </w:pPr>
                  <w:r>
                    <w:rPr>
                      <w:rFonts w:hint="eastAsia"/>
                      <w:lang w:val="en-US" w:eastAsia="zh-CN"/>
                    </w:rPr>
                    <w:t>15</w:t>
                  </w:r>
                </w:p>
              </w:tc>
              <w:tc>
                <w:tcPr>
                  <w:tcW w:w="488" w:type="pct"/>
                  <w:noWrap w:val="0"/>
                  <w:vAlign w:val="center"/>
                </w:tcPr>
                <w:p>
                  <w:pPr>
                    <w:pStyle w:val="40"/>
                    <w:bidi w:val="0"/>
                    <w:rPr>
                      <w:rFonts w:hint="default"/>
                      <w:lang w:val="en-US" w:eastAsia="zh-CN"/>
                    </w:rPr>
                  </w:pPr>
                  <w:r>
                    <w:rPr>
                      <w:rFonts w:hint="eastAsia"/>
                      <w:lang w:val="en-US" w:eastAsia="zh-CN"/>
                    </w:rPr>
                    <w:t>0.2</w:t>
                  </w:r>
                </w:p>
              </w:tc>
              <w:tc>
                <w:tcPr>
                  <w:tcW w:w="410" w:type="pct"/>
                  <w:noWrap w:val="0"/>
                  <w:vAlign w:val="center"/>
                </w:tcPr>
                <w:p>
                  <w:pPr>
                    <w:pStyle w:val="40"/>
                    <w:bidi w:val="0"/>
                    <w:rPr>
                      <w:rFonts w:hint="default"/>
                      <w:lang w:val="en-US" w:eastAsia="zh-CN"/>
                    </w:rPr>
                  </w:pPr>
                  <w:r>
                    <w:rPr>
                      <w:rFonts w:hint="eastAsia"/>
                      <w:lang w:val="en-US" w:eastAsia="zh-CN"/>
                    </w:rPr>
                    <w:t>25</w:t>
                  </w:r>
                </w:p>
              </w:tc>
              <w:tc>
                <w:tcPr>
                  <w:tcW w:w="467" w:type="pct"/>
                  <w:noWrap w:val="0"/>
                  <w:vAlign w:val="center"/>
                </w:tcPr>
                <w:p>
                  <w:pPr>
                    <w:pStyle w:val="40"/>
                    <w:bidi w:val="0"/>
                    <w:rPr>
                      <w:rFonts w:hint="default"/>
                      <w:lang w:val="en-US" w:eastAsia="zh-CN"/>
                    </w:rPr>
                  </w:pPr>
                  <w:r>
                    <w:rPr>
                      <w:rFonts w:hint="eastAsia"/>
                      <w:lang w:val="en-US" w:eastAsia="zh-CN"/>
                    </w:rPr>
                    <w:t>900</w:t>
                  </w:r>
                </w:p>
              </w:tc>
              <w:tc>
                <w:tcPr>
                  <w:tcW w:w="385" w:type="pct"/>
                  <w:noWrap w:val="0"/>
                  <w:vAlign w:val="center"/>
                </w:tcPr>
                <w:p>
                  <w:pPr>
                    <w:pStyle w:val="40"/>
                    <w:bidi w:val="0"/>
                    <w:rPr>
                      <w:rFonts w:hint="default"/>
                      <w:lang w:val="en-US" w:eastAsia="zh-CN"/>
                    </w:rPr>
                  </w:pPr>
                  <w:r>
                    <w:rPr>
                      <w:rFonts w:hint="eastAsia"/>
                      <w:lang w:val="en-US" w:eastAsia="zh-CN"/>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68" w:type="pct"/>
                  <w:noWrap w:val="0"/>
                  <w:vAlign w:val="center"/>
                </w:tcPr>
                <w:p>
                  <w:pPr>
                    <w:pStyle w:val="40"/>
                    <w:bidi w:val="0"/>
                    <w:rPr>
                      <w:rFonts w:hint="default"/>
                      <w:lang w:val="en-US" w:eastAsia="zh-CN"/>
                    </w:rPr>
                  </w:pPr>
                  <w:r>
                    <w:rPr>
                      <w:rFonts w:hint="eastAsia"/>
                      <w:lang w:val="en-US" w:eastAsia="zh-CN"/>
                    </w:rPr>
                    <w:t>2</w:t>
                  </w:r>
                </w:p>
              </w:tc>
              <w:tc>
                <w:tcPr>
                  <w:tcW w:w="512"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食堂油烟</w:t>
                  </w:r>
                </w:p>
              </w:tc>
              <w:tc>
                <w:tcPr>
                  <w:tcW w:w="521" w:type="pct"/>
                  <w:shd w:val="clear" w:color="auto" w:fill="auto"/>
                  <w:noWrap w:val="0"/>
                  <w:vAlign w:val="center"/>
                </w:tcPr>
                <w:p>
                  <w:pPr>
                    <w:pStyle w:val="40"/>
                    <w:bidi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lang w:val="en-US" w:eastAsia="zh-CN"/>
                    </w:rPr>
                    <w:t>DA002</w:t>
                  </w:r>
                </w:p>
              </w:tc>
              <w:tc>
                <w:tcPr>
                  <w:tcW w:w="609" w:type="pct"/>
                  <w:shd w:val="clear" w:color="auto" w:fill="auto"/>
                  <w:noWrap w:val="0"/>
                  <w:vAlign w:val="center"/>
                </w:tcPr>
                <w:p>
                  <w:pPr>
                    <w:pStyle w:val="40"/>
                    <w:bidi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lang w:val="en-US" w:eastAsia="zh-CN"/>
                    </w:rPr>
                    <w:t>油烟废气</w:t>
                  </w:r>
                </w:p>
              </w:tc>
              <w:tc>
                <w:tcPr>
                  <w:tcW w:w="850" w:type="pct"/>
                  <w:shd w:val="clear" w:color="auto" w:fill="auto"/>
                  <w:noWrap w:val="0"/>
                  <w:vAlign w:val="center"/>
                </w:tcPr>
                <w:p>
                  <w:pPr>
                    <w:pStyle w:val="40"/>
                    <w:bidi w:val="0"/>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E:88°44′50.384″</w:t>
                  </w:r>
                  <w:r>
                    <w:rPr>
                      <w:rFonts w:hint="eastAsia" w:ascii="Times New Roman" w:hAnsi="Times New Roman" w:cs="Times New Roman"/>
                      <w:lang w:val="en-US" w:eastAsia="zh-CN"/>
                    </w:rPr>
                    <w:t>，</w:t>
                  </w:r>
                  <w:r>
                    <w:rPr>
                      <w:rFonts w:hint="default" w:ascii="Times New Roman" w:hAnsi="Times New Roman" w:cs="Times New Roman"/>
                      <w:lang w:val="en-US" w:eastAsia="zh-CN"/>
                    </w:rPr>
                    <w:t>N:38°59′20.525″</w:t>
                  </w:r>
                </w:p>
              </w:tc>
              <w:tc>
                <w:tcPr>
                  <w:tcW w:w="485"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高于屋顶</w:t>
                  </w:r>
                </w:p>
              </w:tc>
              <w:tc>
                <w:tcPr>
                  <w:tcW w:w="488"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0.05</w:t>
                  </w:r>
                </w:p>
              </w:tc>
              <w:tc>
                <w:tcPr>
                  <w:tcW w:w="410"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35</w:t>
                  </w:r>
                </w:p>
              </w:tc>
              <w:tc>
                <w:tcPr>
                  <w:tcW w:w="467" w:type="pct"/>
                  <w:shd w:val="clear" w:color="auto" w:fill="auto"/>
                  <w:noWrap w:val="0"/>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180</w:t>
                  </w:r>
                </w:p>
              </w:tc>
              <w:tc>
                <w:tcPr>
                  <w:tcW w:w="385"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一般排放口</w:t>
                  </w:r>
                </w:p>
              </w:tc>
            </w:tr>
          </w:tbl>
          <w:p>
            <w:pPr>
              <w:pStyle w:val="62"/>
              <w:bidi w:val="0"/>
              <w:rPr>
                <w:rFonts w:hint="eastAsia"/>
                <w:lang w:val="en-US" w:eastAsia="zh-CN"/>
              </w:rPr>
            </w:pPr>
            <w:r>
              <w:rPr>
                <w:rFonts w:hint="eastAsia"/>
                <w:lang w:val="en-US" w:eastAsia="zh-CN"/>
              </w:rPr>
              <w:t>1.2废气治理措施及影响分析</w:t>
            </w:r>
          </w:p>
          <w:p>
            <w:pPr>
              <w:pStyle w:val="29"/>
              <w:bidi w:val="0"/>
              <w:rPr>
                <w:rFonts w:hint="eastAsia"/>
                <w:lang w:val="en-US" w:eastAsia="zh-CN"/>
              </w:rPr>
            </w:pPr>
            <w:r>
              <w:rPr>
                <w:rFonts w:hint="eastAsia"/>
                <w:lang w:val="en-US" w:eastAsia="zh-CN"/>
              </w:rPr>
              <w:t>表4-3    项目采取的废气污染防治措施可行性一览表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060"/>
              <w:gridCol w:w="1119"/>
              <w:gridCol w:w="2803"/>
              <w:gridCol w:w="145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noWrap w:val="0"/>
                  <w:vAlign w:val="center"/>
                </w:tcPr>
                <w:p>
                  <w:pPr>
                    <w:pStyle w:val="57"/>
                    <w:bidi w:val="0"/>
                    <w:rPr>
                      <w:rFonts w:hint="default"/>
                      <w:highlight w:val="none"/>
                      <w:lang w:val="en-US" w:eastAsia="zh-CN"/>
                    </w:rPr>
                  </w:pPr>
                  <w:r>
                    <w:rPr>
                      <w:rFonts w:hint="eastAsia"/>
                      <w:highlight w:val="none"/>
                      <w:lang w:val="en-US" w:eastAsia="zh-CN"/>
                    </w:rPr>
                    <w:t>序号</w:t>
                  </w:r>
                </w:p>
              </w:tc>
              <w:tc>
                <w:tcPr>
                  <w:tcW w:w="680" w:type="pct"/>
                  <w:noWrap w:val="0"/>
                  <w:vAlign w:val="center"/>
                </w:tcPr>
                <w:p>
                  <w:pPr>
                    <w:pStyle w:val="57"/>
                    <w:bidi w:val="0"/>
                    <w:rPr>
                      <w:rFonts w:hint="default"/>
                      <w:highlight w:val="none"/>
                      <w:lang w:val="en-US" w:eastAsia="zh-CN"/>
                    </w:rPr>
                  </w:pPr>
                  <w:r>
                    <w:rPr>
                      <w:rFonts w:hint="eastAsia"/>
                      <w:highlight w:val="none"/>
                      <w:lang w:val="en-US" w:eastAsia="zh-CN"/>
                    </w:rPr>
                    <w:t>产污环节</w:t>
                  </w:r>
                </w:p>
              </w:tc>
              <w:tc>
                <w:tcPr>
                  <w:tcW w:w="718" w:type="pct"/>
                  <w:noWrap w:val="0"/>
                  <w:vAlign w:val="center"/>
                </w:tcPr>
                <w:p>
                  <w:pPr>
                    <w:pStyle w:val="57"/>
                    <w:bidi w:val="0"/>
                    <w:rPr>
                      <w:rFonts w:hint="default"/>
                      <w:highlight w:val="none"/>
                      <w:lang w:val="en-US" w:eastAsia="zh-CN"/>
                    </w:rPr>
                  </w:pPr>
                  <w:r>
                    <w:rPr>
                      <w:rFonts w:hint="eastAsia"/>
                      <w:highlight w:val="none"/>
                      <w:lang w:val="en-US" w:eastAsia="zh-CN"/>
                    </w:rPr>
                    <w:t>本项目采取的措施</w:t>
                  </w:r>
                </w:p>
              </w:tc>
              <w:tc>
                <w:tcPr>
                  <w:tcW w:w="2729" w:type="pct"/>
                  <w:gridSpan w:val="2"/>
                  <w:noWrap w:val="0"/>
                  <w:vAlign w:val="center"/>
                </w:tcPr>
                <w:p>
                  <w:pPr>
                    <w:pStyle w:val="57"/>
                    <w:bidi w:val="0"/>
                    <w:rPr>
                      <w:rFonts w:hint="default"/>
                      <w:highlight w:val="none"/>
                      <w:lang w:val="en-US" w:eastAsia="zh-CN"/>
                    </w:rPr>
                  </w:pPr>
                  <w:r>
                    <w:rPr>
                      <w:rFonts w:hint="eastAsia"/>
                      <w:highlight w:val="none"/>
                      <w:lang w:val="en-US" w:eastAsia="zh-CN"/>
                    </w:rPr>
                    <w:t>污染防治可行技术指南或排污许可证申请与核发技术规范中规定</w:t>
                  </w:r>
                </w:p>
              </w:tc>
              <w:tc>
                <w:tcPr>
                  <w:tcW w:w="564" w:type="pct"/>
                  <w:noWrap w:val="0"/>
                  <w:vAlign w:val="center"/>
                </w:tcPr>
                <w:p>
                  <w:pPr>
                    <w:pStyle w:val="57"/>
                    <w:bidi w:val="0"/>
                    <w:rPr>
                      <w:rFonts w:hint="default"/>
                      <w:highlight w:val="none"/>
                      <w:lang w:val="en-US" w:eastAsia="zh-CN"/>
                    </w:rPr>
                  </w:pPr>
                  <w:r>
                    <w:rPr>
                      <w:rFonts w:hint="eastAsia"/>
                      <w:highlight w:val="none"/>
                      <w:lang w:val="en-US" w:eastAsia="zh-CN"/>
                    </w:rPr>
                    <w:t>是否为可行性技术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noWrap w:val="0"/>
                  <w:vAlign w:val="center"/>
                </w:tcPr>
                <w:p>
                  <w:pPr>
                    <w:pStyle w:val="57"/>
                    <w:bidi w:val="0"/>
                    <w:rPr>
                      <w:rFonts w:hint="default"/>
                      <w:highlight w:val="none"/>
                      <w:lang w:val="en-US" w:eastAsia="zh-CN"/>
                    </w:rPr>
                  </w:pPr>
                  <w:r>
                    <w:rPr>
                      <w:rFonts w:hint="eastAsia"/>
                      <w:highlight w:val="none"/>
                      <w:lang w:val="en-US" w:eastAsia="zh-CN"/>
                    </w:rPr>
                    <w:t>1</w:t>
                  </w:r>
                </w:p>
              </w:tc>
              <w:tc>
                <w:tcPr>
                  <w:tcW w:w="680" w:type="pct"/>
                  <w:shd w:val="clear" w:color="auto" w:fill="auto"/>
                  <w:noWrap w:val="0"/>
                  <w:vAlign w:val="center"/>
                </w:tcPr>
                <w:p>
                  <w:pPr>
                    <w:pStyle w:val="60"/>
                    <w:bidi w:val="0"/>
                    <w:rPr>
                      <w:rFonts w:hint="default" w:ascii="Times New Roman" w:hAnsi="Times New Roman" w:eastAsia="宋体" w:cs="宋体"/>
                      <w:kern w:val="0"/>
                      <w:sz w:val="21"/>
                      <w:szCs w:val="21"/>
                      <w:lang w:val="en-US" w:eastAsia="zh-CN" w:bidi="ar-SA"/>
                    </w:rPr>
                  </w:pPr>
                  <w:r>
                    <w:rPr>
                      <w:rFonts w:hint="eastAsia"/>
                      <w:lang w:val="en-US" w:eastAsia="zh-CN"/>
                    </w:rPr>
                    <w:t>筒仓粉尘</w:t>
                  </w:r>
                </w:p>
              </w:tc>
              <w:tc>
                <w:tcPr>
                  <w:tcW w:w="718" w:type="pct"/>
                  <w:shd w:val="clear" w:color="auto" w:fill="auto"/>
                  <w:noWrap w:val="0"/>
                  <w:vAlign w:val="center"/>
                </w:tcPr>
                <w:p>
                  <w:pPr>
                    <w:pStyle w:val="57"/>
                    <w:bidi w:val="0"/>
                    <w:rPr>
                      <w:rFonts w:hint="default" w:ascii="Times New Roman" w:hAnsi="Times New Roman" w:eastAsia="宋体" w:cs="Times New Roman"/>
                      <w:kern w:val="2"/>
                      <w:sz w:val="21"/>
                      <w:szCs w:val="21"/>
                      <w:lang w:val="en-US" w:eastAsia="zh-CN" w:bidi="ar-SA"/>
                    </w:rPr>
                  </w:pPr>
                  <w:r>
                    <w:rPr>
                      <w:rFonts w:hint="eastAsia"/>
                      <w:lang w:val="en-US" w:eastAsia="zh-CN"/>
                    </w:rPr>
                    <w:t>脉冲式布袋除尘器</w:t>
                  </w:r>
                </w:p>
              </w:tc>
              <w:tc>
                <w:tcPr>
                  <w:tcW w:w="1798" w:type="pct"/>
                  <w:vMerge w:val="restart"/>
                  <w:noWrap w:val="0"/>
                  <w:vAlign w:val="center"/>
                </w:tcPr>
                <w:p>
                  <w:pPr>
                    <w:pStyle w:val="57"/>
                    <w:bidi w:val="0"/>
                    <w:rPr>
                      <w:rFonts w:hint="eastAsia"/>
                      <w:lang w:val="en-US" w:eastAsia="zh-CN"/>
                    </w:rPr>
                  </w:pPr>
                  <w:r>
                    <w:rPr>
                      <w:rFonts w:hint="eastAsia"/>
                      <w:lang w:val="en-US" w:eastAsia="zh-CN"/>
                    </w:rPr>
                    <w:t>除尘设施（袋式除尘器、电除尘器、电袋复合除尘器、其他）</w:t>
                  </w:r>
                </w:p>
              </w:tc>
              <w:tc>
                <w:tcPr>
                  <w:tcW w:w="930" w:type="pct"/>
                  <w:vMerge w:val="restart"/>
                  <w:noWrap w:val="0"/>
                  <w:vAlign w:val="center"/>
                </w:tcPr>
                <w:p>
                  <w:pPr>
                    <w:pStyle w:val="57"/>
                    <w:bidi w:val="0"/>
                    <w:rPr>
                      <w:rFonts w:hint="eastAsia"/>
                      <w:lang w:val="en-US" w:eastAsia="zh-CN"/>
                    </w:rPr>
                  </w:pPr>
                  <w:r>
                    <w:rPr>
                      <w:rFonts w:hint="eastAsia"/>
                      <w:lang w:val="en-US" w:eastAsia="zh-CN"/>
                    </w:rPr>
                    <w:t>《排污许可证申请与核发技术规范 水泥工业》（</w:t>
                  </w:r>
                  <w:r>
                    <w:rPr>
                      <w:rFonts w:hint="default"/>
                      <w:lang w:val="en-US" w:eastAsia="zh-CN"/>
                    </w:rPr>
                    <w:t>HJ 847-2017</w:t>
                  </w:r>
                  <w:r>
                    <w:rPr>
                      <w:rFonts w:hint="eastAsia"/>
                      <w:lang w:val="en-US" w:eastAsia="zh-CN"/>
                    </w:rPr>
                    <w:t>）</w:t>
                  </w:r>
                </w:p>
              </w:tc>
              <w:tc>
                <w:tcPr>
                  <w:tcW w:w="564" w:type="pct"/>
                  <w:noWrap w:val="0"/>
                  <w:vAlign w:val="center"/>
                </w:tcPr>
                <w:p>
                  <w:pPr>
                    <w:pStyle w:val="57"/>
                    <w:bidi w:val="0"/>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shd w:val="clear" w:color="auto" w:fill="auto"/>
                  <w:noWrap w:val="0"/>
                  <w:vAlign w:val="center"/>
                </w:tcPr>
                <w:p>
                  <w:pPr>
                    <w:pStyle w:val="60"/>
                    <w:bidi w:val="0"/>
                    <w:rPr>
                      <w:rFonts w:hint="eastAsia"/>
                      <w:lang w:val="en-US" w:eastAsia="zh-CN"/>
                    </w:rPr>
                  </w:pPr>
                  <w:r>
                    <w:rPr>
                      <w:rFonts w:hint="eastAsia"/>
                      <w:lang w:val="en-US" w:eastAsia="zh-CN"/>
                    </w:rPr>
                    <w:t>2</w:t>
                  </w:r>
                </w:p>
              </w:tc>
              <w:tc>
                <w:tcPr>
                  <w:tcW w:w="680" w:type="pct"/>
                  <w:shd w:val="clear" w:color="auto" w:fill="auto"/>
                  <w:noWrap w:val="0"/>
                  <w:vAlign w:val="center"/>
                </w:tcPr>
                <w:p>
                  <w:pPr>
                    <w:pStyle w:val="60"/>
                    <w:bidi w:val="0"/>
                    <w:rPr>
                      <w:rFonts w:hint="default"/>
                      <w:lang w:val="en-US" w:eastAsia="zh-CN"/>
                    </w:rPr>
                  </w:pPr>
                  <w:r>
                    <w:rPr>
                      <w:rFonts w:hint="eastAsia"/>
                      <w:lang w:val="en-US" w:eastAsia="zh-CN"/>
                    </w:rPr>
                    <w:t>搅拌粉尘</w:t>
                  </w:r>
                </w:p>
              </w:tc>
              <w:tc>
                <w:tcPr>
                  <w:tcW w:w="718" w:type="pct"/>
                  <w:shd w:val="clear" w:color="auto" w:fill="auto"/>
                  <w:noWrap w:val="0"/>
                  <w:vAlign w:val="center"/>
                </w:tcPr>
                <w:p>
                  <w:pPr>
                    <w:pStyle w:val="57"/>
                    <w:bidi w:val="0"/>
                    <w:rPr>
                      <w:rFonts w:hint="default" w:ascii="Times New Roman" w:hAnsi="Times New Roman" w:eastAsia="宋体" w:cs="Times New Roman"/>
                      <w:kern w:val="2"/>
                      <w:sz w:val="21"/>
                      <w:szCs w:val="21"/>
                      <w:lang w:val="en-US" w:eastAsia="zh-CN" w:bidi="ar-SA"/>
                    </w:rPr>
                  </w:pPr>
                  <w:r>
                    <w:rPr>
                      <w:rFonts w:hint="eastAsia"/>
                      <w:lang w:val="en-US" w:eastAsia="zh-CN"/>
                    </w:rPr>
                    <w:t>布袋除尘器</w:t>
                  </w:r>
                </w:p>
              </w:tc>
              <w:tc>
                <w:tcPr>
                  <w:tcW w:w="1798" w:type="pct"/>
                  <w:vMerge w:val="continue"/>
                  <w:shd w:val="clear" w:color="auto" w:fill="auto"/>
                  <w:noWrap w:val="0"/>
                  <w:vAlign w:val="center"/>
                </w:tcPr>
                <w:p>
                  <w:pPr>
                    <w:pStyle w:val="57"/>
                    <w:bidi w:val="0"/>
                    <w:rPr>
                      <w:rFonts w:hint="eastAsia"/>
                      <w:lang w:val="en-US" w:eastAsia="zh-CN"/>
                    </w:rPr>
                  </w:pPr>
                </w:p>
              </w:tc>
              <w:tc>
                <w:tcPr>
                  <w:tcW w:w="930" w:type="pct"/>
                  <w:vMerge w:val="continue"/>
                  <w:shd w:val="clear" w:color="auto" w:fill="auto"/>
                  <w:noWrap w:val="0"/>
                  <w:vAlign w:val="center"/>
                </w:tcPr>
                <w:p>
                  <w:pPr>
                    <w:pStyle w:val="57"/>
                    <w:bidi w:val="0"/>
                    <w:rPr>
                      <w:rFonts w:hint="eastAsia"/>
                      <w:lang w:val="en-US" w:eastAsia="zh-CN"/>
                    </w:rPr>
                  </w:pPr>
                </w:p>
              </w:tc>
              <w:tc>
                <w:tcPr>
                  <w:tcW w:w="564" w:type="pct"/>
                  <w:shd w:val="clear" w:color="auto" w:fill="auto"/>
                  <w:noWrap w:val="0"/>
                  <w:vAlign w:val="center"/>
                </w:tcPr>
                <w:p>
                  <w:pPr>
                    <w:pStyle w:val="57"/>
                    <w:bidi w:val="0"/>
                    <w:rPr>
                      <w:rFonts w:hint="eastAsia"/>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shd w:val="clear" w:color="auto" w:fill="auto"/>
                  <w:noWrap w:val="0"/>
                  <w:vAlign w:val="center"/>
                </w:tcPr>
                <w:p>
                  <w:pPr>
                    <w:pStyle w:val="60"/>
                    <w:bidi w:val="0"/>
                    <w:rPr>
                      <w:rFonts w:hint="default"/>
                      <w:lang w:val="en-US" w:eastAsia="zh-CN"/>
                    </w:rPr>
                  </w:pPr>
                  <w:r>
                    <w:rPr>
                      <w:rFonts w:hint="eastAsia"/>
                      <w:lang w:val="en-US" w:eastAsia="zh-CN"/>
                    </w:rPr>
                    <w:t>3</w:t>
                  </w:r>
                </w:p>
              </w:tc>
              <w:tc>
                <w:tcPr>
                  <w:tcW w:w="680" w:type="pct"/>
                  <w:shd w:val="clear" w:color="auto" w:fill="auto"/>
                  <w:noWrap w:val="0"/>
                  <w:vAlign w:val="center"/>
                </w:tcPr>
                <w:p>
                  <w:pPr>
                    <w:pStyle w:val="57"/>
                    <w:bidi w:val="0"/>
                    <w:rPr>
                      <w:rFonts w:hint="eastAsia" w:ascii="Times New Roman" w:hAnsi="Times New Roman" w:eastAsia="宋体" w:cs="Times New Roman"/>
                      <w:kern w:val="2"/>
                      <w:sz w:val="21"/>
                      <w:szCs w:val="21"/>
                      <w:lang w:val="en-US" w:eastAsia="zh-CN" w:bidi="ar-SA"/>
                    </w:rPr>
                  </w:pPr>
                  <w:r>
                    <w:rPr>
                      <w:rFonts w:hint="eastAsia"/>
                      <w:lang w:val="en-US" w:eastAsia="zh-CN"/>
                    </w:rPr>
                    <w:t>投料粉尘</w:t>
                  </w:r>
                </w:p>
              </w:tc>
              <w:tc>
                <w:tcPr>
                  <w:tcW w:w="718" w:type="pct"/>
                  <w:shd w:val="clear" w:color="auto" w:fill="auto"/>
                  <w:noWrap w:val="0"/>
                  <w:vAlign w:val="center"/>
                </w:tcPr>
                <w:p>
                  <w:pPr>
                    <w:pStyle w:val="57"/>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围挡+洒水抑尘</w:t>
                  </w:r>
                </w:p>
              </w:tc>
              <w:tc>
                <w:tcPr>
                  <w:tcW w:w="1798" w:type="pct"/>
                  <w:vMerge w:val="restart"/>
                  <w:shd w:val="clear" w:color="auto" w:fill="auto"/>
                  <w:noWrap w:val="0"/>
                  <w:vAlign w:val="center"/>
                </w:tcPr>
                <w:p>
                  <w:pPr>
                    <w:pStyle w:val="57"/>
                    <w:bidi w:val="0"/>
                    <w:rPr>
                      <w:rFonts w:hint="eastAsia"/>
                      <w:lang w:val="en-US" w:eastAsia="zh-CN"/>
                    </w:rPr>
                  </w:pPr>
                  <w:r>
                    <w:rPr>
                      <w:rFonts w:hint="eastAsia"/>
                      <w:lang w:val="en-US" w:eastAsia="zh-CN"/>
                    </w:rPr>
                    <w:t>粉状物料密闭储存，其他块石、粘湿物料、浆料等辅材设置不低于堆放物高度的严密围挡，并采取有效覆盖等措施防治扬尘污染。</w:t>
                  </w:r>
                </w:p>
              </w:tc>
              <w:tc>
                <w:tcPr>
                  <w:tcW w:w="930" w:type="pct"/>
                  <w:vMerge w:val="continue"/>
                  <w:shd w:val="clear" w:color="auto" w:fill="auto"/>
                  <w:noWrap w:val="0"/>
                  <w:vAlign w:val="center"/>
                </w:tcPr>
                <w:p>
                  <w:pPr>
                    <w:pStyle w:val="57"/>
                    <w:bidi w:val="0"/>
                    <w:rPr>
                      <w:rFonts w:hint="eastAsia"/>
                      <w:lang w:val="en-US" w:eastAsia="zh-CN"/>
                    </w:rPr>
                  </w:pPr>
                </w:p>
              </w:tc>
              <w:tc>
                <w:tcPr>
                  <w:tcW w:w="564" w:type="pct"/>
                  <w:shd w:val="clear" w:color="auto" w:fill="auto"/>
                  <w:noWrap w:val="0"/>
                  <w:vAlign w:val="center"/>
                </w:tcPr>
                <w:p>
                  <w:pPr>
                    <w:pStyle w:val="57"/>
                    <w:bidi w:val="0"/>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shd w:val="clear" w:color="auto" w:fill="auto"/>
                  <w:noWrap w:val="0"/>
                  <w:vAlign w:val="center"/>
                </w:tcPr>
                <w:p>
                  <w:pPr>
                    <w:pStyle w:val="60"/>
                    <w:bidi w:val="0"/>
                    <w:rPr>
                      <w:rFonts w:hint="default"/>
                      <w:lang w:val="en-US" w:eastAsia="zh-CN"/>
                    </w:rPr>
                  </w:pPr>
                  <w:r>
                    <w:rPr>
                      <w:rFonts w:hint="eastAsia"/>
                      <w:lang w:val="en-US" w:eastAsia="zh-CN"/>
                    </w:rPr>
                    <w:t>4</w:t>
                  </w:r>
                </w:p>
              </w:tc>
              <w:tc>
                <w:tcPr>
                  <w:tcW w:w="680" w:type="pct"/>
                  <w:shd w:val="clear" w:color="auto" w:fill="auto"/>
                  <w:noWrap w:val="0"/>
                  <w:vAlign w:val="center"/>
                </w:tcPr>
                <w:p>
                  <w:pPr>
                    <w:pStyle w:val="57"/>
                    <w:bidi w:val="0"/>
                    <w:rPr>
                      <w:rFonts w:hint="default"/>
                      <w:lang w:val="en-US" w:eastAsia="zh-CN"/>
                    </w:rPr>
                  </w:pPr>
                  <w:r>
                    <w:rPr>
                      <w:rFonts w:hint="eastAsia"/>
                      <w:lang w:val="en-US" w:eastAsia="zh-CN"/>
                    </w:rPr>
                    <w:t>堆场粉尘</w:t>
                  </w:r>
                </w:p>
              </w:tc>
              <w:tc>
                <w:tcPr>
                  <w:tcW w:w="718" w:type="pct"/>
                  <w:shd w:val="clear" w:color="auto" w:fill="auto"/>
                  <w:noWrap w:val="0"/>
                  <w:vAlign w:val="center"/>
                </w:tcPr>
                <w:p>
                  <w:pPr>
                    <w:pStyle w:val="57"/>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半封闭仓库+洒水抑尘</w:t>
                  </w:r>
                </w:p>
              </w:tc>
              <w:tc>
                <w:tcPr>
                  <w:tcW w:w="1798" w:type="pct"/>
                  <w:vMerge w:val="continue"/>
                  <w:shd w:val="clear" w:color="auto" w:fill="auto"/>
                  <w:noWrap w:val="0"/>
                  <w:vAlign w:val="center"/>
                </w:tcPr>
                <w:p>
                  <w:pPr>
                    <w:pStyle w:val="57"/>
                    <w:bidi w:val="0"/>
                    <w:rPr>
                      <w:rFonts w:hint="eastAsia"/>
                      <w:lang w:val="en-US" w:eastAsia="zh-CN"/>
                    </w:rPr>
                  </w:pPr>
                </w:p>
              </w:tc>
              <w:tc>
                <w:tcPr>
                  <w:tcW w:w="930" w:type="pct"/>
                  <w:vMerge w:val="continue"/>
                  <w:shd w:val="clear" w:color="auto" w:fill="auto"/>
                  <w:noWrap w:val="0"/>
                  <w:vAlign w:val="center"/>
                </w:tcPr>
                <w:p>
                  <w:pPr>
                    <w:pStyle w:val="57"/>
                    <w:bidi w:val="0"/>
                    <w:rPr>
                      <w:rFonts w:hint="eastAsia"/>
                      <w:lang w:val="en-US" w:eastAsia="zh-CN"/>
                    </w:rPr>
                  </w:pPr>
                </w:p>
              </w:tc>
              <w:tc>
                <w:tcPr>
                  <w:tcW w:w="564" w:type="pct"/>
                  <w:shd w:val="clear" w:color="auto" w:fill="auto"/>
                  <w:noWrap w:val="0"/>
                  <w:vAlign w:val="center"/>
                </w:tcPr>
                <w:p>
                  <w:pPr>
                    <w:pStyle w:val="57"/>
                    <w:bidi w:val="0"/>
                    <w:rPr>
                      <w:rFonts w:hint="default"/>
                      <w:lang w:val="en-US" w:eastAsia="zh-CN"/>
                    </w:rPr>
                  </w:pPr>
                  <w:r>
                    <w:rPr>
                      <w:rFonts w:hint="eastAsia"/>
                      <w:lang w:val="en-US" w:eastAsia="zh-CN"/>
                    </w:rPr>
                    <w:t>是</w:t>
                  </w:r>
                </w:p>
              </w:tc>
            </w:tr>
          </w:tbl>
          <w:p>
            <w:pPr>
              <w:pStyle w:val="45"/>
              <w:bidi w:val="0"/>
              <w:rPr>
                <w:rFonts w:hint="eastAsia"/>
                <w:highlight w:val="none"/>
                <w:lang w:val="en-US" w:eastAsia="zh-CN"/>
              </w:rPr>
            </w:pPr>
            <w:r>
              <w:rPr>
                <w:rStyle w:val="64"/>
                <w:rFonts w:hint="eastAsia"/>
                <w:lang w:val="en-US" w:eastAsia="zh-CN"/>
              </w:rPr>
              <w:t>布袋除尘器：</w:t>
            </w:r>
            <w:r>
              <w:rPr>
                <w:rFonts w:hint="eastAsia"/>
                <w:highlight w:val="none"/>
                <w:lang w:val="en-US" w:eastAsia="zh-CN"/>
              </w:rPr>
              <w:t>是一种干式滤尘装置。它适用于捕集细小、干燥、非纤维性粉尘滤袋采用纺织的滤布或非纺织的毡制成，利用纤维织物的过滤作用对含尘气体进行过滤，当含尘气体进入袋式除尘器后，颗粒大、比重大的粉尘，由于重力的作用沉降下来，落入灰斗，含有较细小粉尘的气体在通过滤料时，粉尘被阻留，使气体得到净化。本项目布袋除尘器采用高温滤料，可在260℃以下、烟气浓度高的条件下，长期运行保持除尘效率。</w:t>
            </w:r>
          </w:p>
          <w:p>
            <w:pPr>
              <w:pStyle w:val="2"/>
              <w:bidi w:val="0"/>
              <w:rPr>
                <w:rFonts w:hint="eastAsia"/>
                <w:lang w:val="en-US" w:eastAsia="zh-CN"/>
              </w:rPr>
            </w:pPr>
            <w:r>
              <w:rPr>
                <w:rFonts w:hint="eastAsia"/>
                <w:lang w:val="en-US" w:eastAsia="zh-CN"/>
              </w:rPr>
              <w:t>1.3非正常工况</w:t>
            </w:r>
          </w:p>
          <w:p>
            <w:pPr>
              <w:pStyle w:val="8"/>
              <w:bidi w:val="0"/>
              <w:rPr>
                <w:rFonts w:hint="default"/>
                <w:lang w:val="en-US" w:eastAsia="zh-CN"/>
              </w:rPr>
            </w:pPr>
            <w:r>
              <w:rPr>
                <w:rFonts w:hint="default"/>
                <w:lang w:val="en-US" w:eastAsia="zh-CN"/>
              </w:rPr>
              <w:t>非正常工况主要是污染物排放控制措施达不到应有效率，即治污措施装置失效，处理效率为0，其排放情况见下表。</w:t>
            </w:r>
          </w:p>
          <w:p>
            <w:pPr>
              <w:pStyle w:val="42"/>
              <w:keepNext w:val="0"/>
              <w:keepLines w:val="0"/>
              <w:pageBreakBefore w:val="0"/>
              <w:widowControl w:val="0"/>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表4-</w:t>
            </w:r>
            <w:r>
              <w:rPr>
                <w:rFonts w:hint="eastAsia"/>
                <w:highlight w:val="none"/>
                <w:lang w:val="en-US" w:eastAsia="zh-CN"/>
              </w:rPr>
              <w:t>4</w:t>
            </w:r>
            <w:r>
              <w:rPr>
                <w:rFonts w:hint="default"/>
                <w:highlight w:val="none"/>
                <w:lang w:val="en-US" w:eastAsia="zh-CN"/>
              </w:rPr>
              <w:t xml:space="preserve">    非正常工况一览表</w:t>
            </w:r>
          </w:p>
          <w:tbl>
            <w:tblPr>
              <w:tblStyle w:val="22"/>
              <w:tblW w:w="50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4"/>
              <w:gridCol w:w="682"/>
              <w:gridCol w:w="875"/>
              <w:gridCol w:w="991"/>
              <w:gridCol w:w="796"/>
              <w:gridCol w:w="854"/>
              <w:gridCol w:w="750"/>
              <w:gridCol w:w="787"/>
              <w:gridCol w:w="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4" w:hRule="atLeast"/>
                <w:jc w:val="center"/>
              </w:trPr>
              <w:tc>
                <w:tcPr>
                  <w:tcW w:w="87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r>
                    <w:rPr>
                      <w:rFonts w:hint="default"/>
                      <w:highlight w:val="none"/>
                    </w:rPr>
                    <w:t>污染源</w:t>
                  </w:r>
                </w:p>
              </w:tc>
              <w:tc>
                <w:tcPr>
                  <w:tcW w:w="43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r>
                    <w:rPr>
                      <w:rFonts w:hint="default"/>
                      <w:highlight w:val="none"/>
                    </w:rPr>
                    <w:t>非正常排放原因</w:t>
                  </w:r>
                </w:p>
              </w:tc>
              <w:tc>
                <w:tcPr>
                  <w:tcW w:w="55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r>
                    <w:rPr>
                      <w:rFonts w:hint="default"/>
                      <w:highlight w:val="none"/>
                    </w:rPr>
                    <w:t>污染物</w:t>
                  </w:r>
                </w:p>
              </w:tc>
              <w:tc>
                <w:tcPr>
                  <w:tcW w:w="265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r>
                    <w:rPr>
                      <w:rFonts w:hint="default"/>
                      <w:highlight w:val="none"/>
                    </w:rPr>
                    <w:t>非正常排放状况</w:t>
                  </w:r>
                </w:p>
              </w:tc>
              <w:tc>
                <w:tcPr>
                  <w:tcW w:w="48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r>
                    <w:rPr>
                      <w:rFonts w:hint="default"/>
                      <w:highlight w:val="none"/>
                    </w:rPr>
                    <w:t>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87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p>
              </w:tc>
              <w:tc>
                <w:tcPr>
                  <w:tcW w:w="43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p>
              </w:tc>
              <w:tc>
                <w:tcPr>
                  <w:tcW w:w="5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r>
                    <w:rPr>
                      <w:rFonts w:hint="default"/>
                      <w:highlight w:val="none"/>
                    </w:rPr>
                    <w:t>浓度</w:t>
                  </w:r>
                </w:p>
                <w:p>
                  <w:pPr>
                    <w:pStyle w:val="40"/>
                    <w:bidi w:val="0"/>
                    <w:rPr>
                      <w:rFonts w:hint="default"/>
                      <w:highlight w:val="none"/>
                    </w:rPr>
                  </w:pPr>
                  <w:r>
                    <w:rPr>
                      <w:rFonts w:hint="default"/>
                      <w:highlight w:val="none"/>
                    </w:rPr>
                    <w:t>(mg/m</w:t>
                  </w:r>
                  <w:r>
                    <w:rPr>
                      <w:rFonts w:hint="default"/>
                      <w:highlight w:val="none"/>
                      <w:vertAlign w:val="superscript"/>
                    </w:rPr>
                    <w:t>3</w:t>
                  </w:r>
                  <w:r>
                    <w:rPr>
                      <w:rFonts w:hint="default"/>
                      <w:highlight w:val="none"/>
                    </w:rPr>
                    <w:t>)</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r>
                    <w:rPr>
                      <w:rFonts w:hint="default"/>
                      <w:highlight w:val="none"/>
                    </w:rPr>
                    <w:t>速率</w:t>
                  </w:r>
                </w:p>
                <w:p>
                  <w:pPr>
                    <w:pStyle w:val="40"/>
                    <w:bidi w:val="0"/>
                    <w:rPr>
                      <w:rFonts w:hint="default"/>
                      <w:highlight w:val="none"/>
                    </w:rPr>
                  </w:pPr>
                  <w:r>
                    <w:rPr>
                      <w:rFonts w:hint="default"/>
                      <w:highlight w:val="none"/>
                    </w:rPr>
                    <w:t>(kg/h)</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r>
                    <w:rPr>
                      <w:rFonts w:hint="default"/>
                      <w:highlight w:val="none"/>
                    </w:rPr>
                    <w:t>频次</w:t>
                  </w:r>
                </w:p>
              </w:tc>
              <w:tc>
                <w:tcPr>
                  <w:tcW w:w="4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r>
                    <w:rPr>
                      <w:rFonts w:hint="default"/>
                      <w:highlight w:val="none"/>
                    </w:rPr>
                    <w:t>持续时间</w:t>
                  </w:r>
                </w:p>
              </w:tc>
              <w:tc>
                <w:tcPr>
                  <w:tcW w:w="4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r>
                    <w:rPr>
                      <w:rFonts w:hint="default"/>
                      <w:highlight w:val="none"/>
                    </w:rPr>
                    <w:t>排放量</w:t>
                  </w:r>
                </w:p>
                <w:p>
                  <w:pPr>
                    <w:pStyle w:val="40"/>
                    <w:bidi w:val="0"/>
                    <w:rPr>
                      <w:rFonts w:hint="default"/>
                      <w:highlight w:val="none"/>
                    </w:rPr>
                  </w:pPr>
                  <w:r>
                    <w:rPr>
                      <w:rFonts w:hint="default"/>
                      <w:highlight w:val="none"/>
                    </w:rPr>
                    <w:t>(kg/a)</w:t>
                  </w:r>
                </w:p>
              </w:tc>
              <w:tc>
                <w:tcPr>
                  <w:tcW w:w="4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atLeast"/>
                <w:jc w:val="center"/>
              </w:trPr>
              <w:tc>
                <w:tcPr>
                  <w:tcW w:w="8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rPr>
                  </w:pPr>
                  <w:r>
                    <w:rPr>
                      <w:rFonts w:hint="eastAsia"/>
                      <w:lang w:val="en-US" w:eastAsia="zh-CN"/>
                    </w:rPr>
                    <w:t>搅拌粉尘</w:t>
                  </w:r>
                </w:p>
              </w:tc>
              <w:tc>
                <w:tcPr>
                  <w:tcW w:w="433" w:type="pct"/>
                  <w:tcBorders>
                    <w:top w:val="single" w:color="000000" w:sz="4" w:space="0"/>
                    <w:left w:val="single" w:color="000000" w:sz="4" w:space="0"/>
                    <w:right w:val="single" w:color="000000" w:sz="4" w:space="0"/>
                    <w:tl2br w:val="nil"/>
                    <w:tr2bl w:val="nil"/>
                  </w:tcBorders>
                  <w:noWrap w:val="0"/>
                  <w:vAlign w:val="center"/>
                </w:tcPr>
                <w:p>
                  <w:pPr>
                    <w:pStyle w:val="40"/>
                    <w:bidi w:val="0"/>
                    <w:rPr>
                      <w:rFonts w:hint="default"/>
                    </w:rPr>
                  </w:pPr>
                  <w:r>
                    <w:rPr>
                      <w:rFonts w:hint="default"/>
                    </w:rPr>
                    <w:t>治理设施故障</w:t>
                  </w:r>
                </w:p>
              </w:tc>
              <w:tc>
                <w:tcPr>
                  <w:tcW w:w="5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rPr>
                  </w:pPr>
                  <w:r>
                    <w:rPr>
                      <w:rFonts w:hint="eastAsia"/>
                      <w:lang w:val="en-US" w:eastAsia="zh-CN"/>
                    </w:rPr>
                    <w:t>颗粒物</w:t>
                  </w:r>
                </w:p>
              </w:tc>
              <w:tc>
                <w:tcPr>
                  <w:tcW w:w="62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lang w:val="en-US"/>
                    </w:rPr>
                  </w:pPr>
                  <w:r>
                    <w:rPr>
                      <w:rFonts w:hint="eastAsia"/>
                      <w:lang w:val="en-US" w:eastAsia="zh-CN"/>
                    </w:rPr>
                    <w:t>5616</w:t>
                  </w:r>
                </w:p>
              </w:tc>
              <w:tc>
                <w:tcPr>
                  <w:tcW w:w="5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lang w:val="en-US"/>
                    </w:rPr>
                  </w:pPr>
                  <w:r>
                    <w:rPr>
                      <w:rFonts w:hint="eastAsia"/>
                      <w:lang w:val="en-US" w:eastAsia="zh-CN"/>
                    </w:rPr>
                    <w:t>16.848</w:t>
                  </w:r>
                </w:p>
              </w:tc>
              <w:tc>
                <w:tcPr>
                  <w:tcW w:w="54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rPr>
                      <w:rFonts w:hint="default"/>
                    </w:rPr>
                  </w:pPr>
                  <w:r>
                    <w:rPr>
                      <w:rFonts w:hint="default"/>
                    </w:rPr>
                    <w:t>1次/a</w:t>
                  </w:r>
                </w:p>
              </w:tc>
              <w:tc>
                <w:tcPr>
                  <w:tcW w:w="4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0"/>
                    <w:bidi w:val="0"/>
                  </w:pPr>
                  <w:r>
                    <w:rPr>
                      <w:rFonts w:hint="default"/>
                    </w:rPr>
                    <w:t>1h/次</w:t>
                  </w:r>
                </w:p>
              </w:tc>
              <w:tc>
                <w:tcPr>
                  <w:tcW w:w="49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16.848</w:t>
                  </w:r>
                </w:p>
              </w:tc>
              <w:tc>
                <w:tcPr>
                  <w:tcW w:w="487" w:type="pct"/>
                  <w:tcBorders>
                    <w:top w:val="single" w:color="000000" w:sz="4" w:space="0"/>
                    <w:left w:val="single" w:color="000000" w:sz="4" w:space="0"/>
                    <w:right w:val="single" w:color="000000" w:sz="4" w:space="0"/>
                    <w:tl2br w:val="nil"/>
                    <w:tr2bl w:val="nil"/>
                  </w:tcBorders>
                  <w:noWrap w:val="0"/>
                  <w:vAlign w:val="center"/>
                </w:tcPr>
                <w:p>
                  <w:pPr>
                    <w:pStyle w:val="40"/>
                    <w:bidi w:val="0"/>
                    <w:rPr>
                      <w:rFonts w:hint="default"/>
                    </w:rPr>
                  </w:pPr>
                  <w:r>
                    <w:rPr>
                      <w:rFonts w:hint="default"/>
                    </w:rPr>
                    <w:t>立即停产维修</w:t>
                  </w:r>
                </w:p>
              </w:tc>
            </w:tr>
          </w:tbl>
          <w:p>
            <w:pPr>
              <w:pStyle w:val="8"/>
              <w:bidi w:val="0"/>
              <w:rPr>
                <w:rFonts w:hint="default"/>
                <w:lang w:val="en-US" w:eastAsia="zh-CN"/>
              </w:rPr>
            </w:pPr>
            <w:r>
              <w:rPr>
                <w:rFonts w:hint="default"/>
                <w:lang w:val="en-US" w:eastAsia="zh-CN"/>
              </w:rPr>
              <w:t>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pPr>
              <w:pStyle w:val="8"/>
              <w:bidi w:val="0"/>
              <w:rPr>
                <w:rFonts w:hint="default"/>
                <w:lang w:val="en-US" w:eastAsia="zh-CN"/>
              </w:rPr>
            </w:pPr>
            <w:r>
              <w:rPr>
                <w:rFonts w:hint="default"/>
                <w:lang w:val="en-US" w:eastAsia="zh-CN"/>
              </w:rPr>
              <w:t>a.安排专人负责环保设备的日常维护和管理，每隔固定时间检查、汇报情况，及时发现废气处理设备的隐患，确保废气处理系统正常运行；</w:t>
            </w:r>
          </w:p>
          <w:p>
            <w:pPr>
              <w:pStyle w:val="8"/>
              <w:bidi w:val="0"/>
              <w:rPr>
                <w:rFonts w:hint="default"/>
                <w:lang w:val="en-US" w:eastAsia="zh-CN"/>
              </w:rPr>
            </w:pPr>
            <w:r>
              <w:rPr>
                <w:rFonts w:hint="default"/>
                <w:lang w:val="en-US" w:eastAsia="zh-CN"/>
              </w:rPr>
              <w:t>b.建立健全的环保管理机构，对环保管理人员和技术人员进行岗位培训，委托具有专业资质的环境检测单位对项目排放的各类污染物进行定期检测；</w:t>
            </w:r>
          </w:p>
          <w:p>
            <w:pPr>
              <w:pStyle w:val="8"/>
              <w:bidi w:val="0"/>
              <w:rPr>
                <w:rFonts w:hint="default"/>
                <w:lang w:val="en-US" w:eastAsia="zh-CN"/>
              </w:rPr>
            </w:pPr>
            <w:r>
              <w:rPr>
                <w:rFonts w:hint="default"/>
                <w:lang w:val="en-US" w:eastAsia="zh-CN"/>
              </w:rPr>
              <w:t>c.定期维护、检修废气净化装置，以保持废气处理装置的净化能力。</w:t>
            </w:r>
          </w:p>
          <w:p>
            <w:pPr>
              <w:pStyle w:val="2"/>
              <w:bidi w:val="0"/>
              <w:rPr>
                <w:rFonts w:hint="eastAsia"/>
                <w:lang w:val="en-US" w:eastAsia="zh-CN"/>
              </w:rPr>
            </w:pPr>
            <w:r>
              <w:rPr>
                <w:rFonts w:hint="eastAsia"/>
                <w:lang w:val="en-US" w:eastAsia="zh-CN"/>
              </w:rPr>
              <w:t>1.4监测要求</w:t>
            </w:r>
          </w:p>
          <w:p>
            <w:pPr>
              <w:pStyle w:val="8"/>
              <w:bidi w:val="0"/>
              <w:rPr>
                <w:rFonts w:hint="default"/>
                <w:lang w:val="en-US" w:eastAsia="zh-CN"/>
              </w:rPr>
            </w:pPr>
            <w:r>
              <w:rPr>
                <w:rFonts w:hint="default"/>
                <w:lang w:val="en-US" w:eastAsia="zh-CN"/>
              </w:rPr>
              <w:t>根据《排污单位自行监测技术指南 总则》（HJ</w:t>
            </w:r>
            <w:r>
              <w:rPr>
                <w:rFonts w:hint="eastAsia"/>
                <w:lang w:val="en-US" w:eastAsia="zh-CN"/>
              </w:rPr>
              <w:t xml:space="preserve"> 819</w:t>
            </w:r>
            <w:r>
              <w:rPr>
                <w:rFonts w:hint="default"/>
                <w:lang w:val="en-US" w:eastAsia="zh-CN"/>
              </w:rPr>
              <w:t>-201</w:t>
            </w:r>
            <w:r>
              <w:rPr>
                <w:rFonts w:hint="eastAsia"/>
                <w:lang w:val="en-US" w:eastAsia="zh-CN"/>
              </w:rPr>
              <w:t>7</w:t>
            </w:r>
            <w:r>
              <w:rPr>
                <w:rFonts w:hint="default"/>
                <w:lang w:val="en-US" w:eastAsia="zh-CN"/>
              </w:rPr>
              <w:t>）、《排污单位自行监测技术指南 水泥工业》（HJ</w:t>
            </w:r>
            <w:r>
              <w:rPr>
                <w:rFonts w:hint="eastAsia"/>
                <w:lang w:val="en-US" w:eastAsia="zh-CN"/>
              </w:rPr>
              <w:t xml:space="preserve"> </w:t>
            </w:r>
            <w:r>
              <w:rPr>
                <w:rFonts w:hint="default"/>
                <w:lang w:val="en-US" w:eastAsia="zh-CN"/>
              </w:rPr>
              <w:t>848-2017）</w:t>
            </w:r>
            <w:r>
              <w:rPr>
                <w:rFonts w:hint="eastAsia"/>
                <w:lang w:val="en-US" w:eastAsia="zh-CN"/>
              </w:rPr>
              <w:t>、</w:t>
            </w:r>
            <w:r>
              <w:rPr>
                <w:rFonts w:hint="default"/>
                <w:lang w:val="en-US" w:eastAsia="zh-CN"/>
              </w:rPr>
              <w:t>《排污许可证申请与核发技术规范</w:t>
            </w:r>
            <w:r>
              <w:rPr>
                <w:rFonts w:hint="eastAsia"/>
                <w:lang w:val="en-US" w:eastAsia="zh-CN"/>
              </w:rPr>
              <w:t xml:space="preserve"> 水泥工业</w:t>
            </w:r>
            <w:r>
              <w:rPr>
                <w:rFonts w:hint="default"/>
                <w:lang w:val="en-US" w:eastAsia="zh-CN"/>
              </w:rPr>
              <w:t xml:space="preserve">》（HJ </w:t>
            </w:r>
            <w:r>
              <w:rPr>
                <w:rFonts w:hint="eastAsia"/>
                <w:lang w:val="en-US" w:eastAsia="zh-CN"/>
              </w:rPr>
              <w:t>847</w:t>
            </w:r>
            <w:r>
              <w:rPr>
                <w:rFonts w:hint="default"/>
                <w:lang w:val="en-US" w:eastAsia="zh-CN"/>
              </w:rPr>
              <w:t>-2017），本项目具体监测计划见下表。</w:t>
            </w:r>
          </w:p>
          <w:p>
            <w:pPr>
              <w:pStyle w:val="42"/>
              <w:bidi w:val="0"/>
              <w:rPr>
                <w:rFonts w:hint="default"/>
                <w:lang w:val="en-US" w:eastAsia="zh-CN"/>
              </w:rPr>
            </w:pPr>
            <w:r>
              <w:rPr>
                <w:rFonts w:hint="default"/>
                <w:lang w:val="en-US" w:eastAsia="zh-CN"/>
              </w:rPr>
              <w:t>表4-</w:t>
            </w:r>
            <w:r>
              <w:rPr>
                <w:rFonts w:hint="eastAsia"/>
                <w:lang w:val="en-US" w:eastAsia="zh-CN"/>
              </w:rPr>
              <w:t>5</w:t>
            </w:r>
            <w:r>
              <w:rPr>
                <w:rFonts w:hint="default"/>
                <w:lang w:val="en-US" w:eastAsia="zh-CN"/>
              </w:rPr>
              <w:t xml:space="preserve">    废气监测计划</w:t>
            </w:r>
          </w:p>
          <w:tbl>
            <w:tblPr>
              <w:tblStyle w:val="23"/>
              <w:tblW w:w="7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10"/>
              <w:gridCol w:w="1142"/>
              <w:gridCol w:w="1304"/>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14" w:type="dxa"/>
                  <w:vAlign w:val="center"/>
                </w:tcPr>
                <w:p>
                  <w:pPr>
                    <w:pStyle w:val="40"/>
                    <w:bidi w:val="0"/>
                    <w:jc w:val="center"/>
                    <w:rPr>
                      <w:rFonts w:hint="default"/>
                      <w:lang w:val="en-US" w:eastAsia="zh-CN"/>
                    </w:rPr>
                  </w:pPr>
                  <w:r>
                    <w:t>类别</w:t>
                  </w:r>
                </w:p>
              </w:tc>
              <w:tc>
                <w:tcPr>
                  <w:tcW w:w="1710" w:type="dxa"/>
                  <w:vAlign w:val="center"/>
                </w:tcPr>
                <w:p>
                  <w:pPr>
                    <w:pStyle w:val="40"/>
                    <w:bidi w:val="0"/>
                    <w:jc w:val="center"/>
                    <w:rPr>
                      <w:rFonts w:hint="default"/>
                      <w:lang w:val="en-US" w:eastAsia="zh-CN"/>
                    </w:rPr>
                  </w:pPr>
                  <w:r>
                    <w:t>监测位置</w:t>
                  </w:r>
                </w:p>
              </w:tc>
              <w:tc>
                <w:tcPr>
                  <w:tcW w:w="1142" w:type="dxa"/>
                  <w:vAlign w:val="center"/>
                </w:tcPr>
                <w:p>
                  <w:pPr>
                    <w:pStyle w:val="40"/>
                    <w:bidi w:val="0"/>
                    <w:jc w:val="center"/>
                    <w:rPr>
                      <w:rFonts w:hint="default"/>
                      <w:lang w:val="en-US" w:eastAsia="zh-CN"/>
                    </w:rPr>
                  </w:pPr>
                  <w:r>
                    <w:t>监测项目</w:t>
                  </w:r>
                </w:p>
              </w:tc>
              <w:tc>
                <w:tcPr>
                  <w:tcW w:w="1304" w:type="dxa"/>
                  <w:vAlign w:val="center"/>
                </w:tcPr>
                <w:p>
                  <w:pPr>
                    <w:pStyle w:val="40"/>
                    <w:bidi w:val="0"/>
                    <w:jc w:val="center"/>
                    <w:rPr>
                      <w:rFonts w:hint="default"/>
                      <w:lang w:val="en-US" w:eastAsia="zh-CN"/>
                    </w:rPr>
                  </w:pPr>
                  <w:r>
                    <w:t>监测频次</w:t>
                  </w:r>
                </w:p>
              </w:tc>
              <w:tc>
                <w:tcPr>
                  <w:tcW w:w="3001" w:type="dxa"/>
                  <w:vAlign w:val="center"/>
                </w:tcPr>
                <w:p>
                  <w:pPr>
                    <w:pStyle w:val="40"/>
                    <w:bidi w:val="0"/>
                    <w:jc w:val="center"/>
                    <w:rPr>
                      <w:rFonts w:hint="default"/>
                      <w:lang w:val="en-US" w:eastAsia="zh-CN"/>
                    </w:rPr>
                  </w:pPr>
                  <w: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4" w:type="dxa"/>
                  <w:vAlign w:val="center"/>
                </w:tcPr>
                <w:p>
                  <w:pPr>
                    <w:pStyle w:val="40"/>
                    <w:bidi w:val="0"/>
                    <w:rPr>
                      <w:rFonts w:hint="default"/>
                      <w:lang w:val="en-US" w:eastAsia="zh-CN"/>
                    </w:rPr>
                  </w:pPr>
                  <w:r>
                    <w:rPr>
                      <w:rFonts w:hint="default"/>
                      <w:lang w:val="en-US" w:eastAsia="zh-CN"/>
                    </w:rPr>
                    <w:t>有组织废气</w:t>
                  </w:r>
                </w:p>
              </w:tc>
              <w:tc>
                <w:tcPr>
                  <w:tcW w:w="1710" w:type="dxa"/>
                  <w:vAlign w:val="center"/>
                </w:tcPr>
                <w:p>
                  <w:pPr>
                    <w:pStyle w:val="40"/>
                    <w:bidi w:val="0"/>
                    <w:jc w:val="center"/>
                    <w:rPr>
                      <w:rFonts w:hint="default"/>
                      <w:lang w:val="en-US" w:eastAsia="zh-CN"/>
                    </w:rPr>
                  </w:pPr>
                  <w:r>
                    <w:rPr>
                      <w:rFonts w:hint="default"/>
                      <w:lang w:val="en-US" w:eastAsia="zh-CN"/>
                    </w:rPr>
                    <w:t>DA001</w:t>
                  </w:r>
                </w:p>
              </w:tc>
              <w:tc>
                <w:tcPr>
                  <w:tcW w:w="1142" w:type="dxa"/>
                  <w:vAlign w:val="center"/>
                </w:tcPr>
                <w:p>
                  <w:pPr>
                    <w:pStyle w:val="40"/>
                    <w:bidi w:val="0"/>
                    <w:jc w:val="center"/>
                    <w:rPr>
                      <w:rFonts w:hint="default"/>
                      <w:lang w:val="en-US" w:eastAsia="zh-CN"/>
                    </w:rPr>
                  </w:pPr>
                  <w:r>
                    <w:rPr>
                      <w:rFonts w:hint="default"/>
                      <w:lang w:val="en-US" w:eastAsia="zh-CN"/>
                    </w:rPr>
                    <w:t>颗粒物</w:t>
                  </w:r>
                </w:p>
              </w:tc>
              <w:tc>
                <w:tcPr>
                  <w:tcW w:w="1304" w:type="dxa"/>
                  <w:vAlign w:val="center"/>
                </w:tcPr>
                <w:p>
                  <w:pPr>
                    <w:pStyle w:val="40"/>
                    <w:bidi w:val="0"/>
                    <w:jc w:val="center"/>
                    <w:rPr>
                      <w:rFonts w:hint="default"/>
                      <w:lang w:val="en-US" w:eastAsia="zh-CN"/>
                    </w:rPr>
                  </w:pPr>
                  <w:r>
                    <w:t>1次/</w:t>
                  </w:r>
                  <w:r>
                    <w:rPr>
                      <w:rFonts w:hint="eastAsia"/>
                      <w:lang w:val="en-US" w:eastAsia="zh-CN"/>
                    </w:rPr>
                    <w:t>两</w:t>
                  </w:r>
                  <w:r>
                    <w:t>年</w:t>
                  </w:r>
                </w:p>
              </w:tc>
              <w:tc>
                <w:tcPr>
                  <w:tcW w:w="3001" w:type="dxa"/>
                  <w:vAlign w:val="center"/>
                </w:tcPr>
                <w:p>
                  <w:pPr>
                    <w:pStyle w:val="40"/>
                    <w:bidi w:val="0"/>
                    <w:jc w:val="center"/>
                    <w:rPr>
                      <w:rFonts w:hint="default"/>
                      <w:lang w:val="en-US" w:eastAsia="zh-CN"/>
                    </w:rPr>
                  </w:pPr>
                  <w:r>
                    <w:rPr>
                      <w:rFonts w:hint="default"/>
                    </w:rPr>
                    <w:t>《水泥工业大气污染物排放标准》（含2025年修改单）（GB4915-2013）</w:t>
                  </w:r>
                  <w:r>
                    <w:rPr>
                      <w:rFonts w:hint="default"/>
                      <w:lang w:eastAsia="zh-CN"/>
                    </w:rPr>
                    <w:t>中</w:t>
                  </w:r>
                  <w:r>
                    <w:rPr>
                      <w:rFonts w:hint="default"/>
                    </w:rPr>
                    <w:t>表</w:t>
                  </w:r>
                  <w:r>
                    <w:rPr>
                      <w:rFonts w:hint="eastAsia"/>
                      <w:lang w:val="en-US" w:eastAsia="zh-CN"/>
                    </w:rPr>
                    <w:t>1大气污染物排放限值要求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trPr>
              <w:tc>
                <w:tcPr>
                  <w:tcW w:w="714" w:type="dxa"/>
                  <w:vAlign w:val="center"/>
                </w:tcPr>
                <w:p>
                  <w:pPr>
                    <w:pStyle w:val="40"/>
                    <w:bidi w:val="0"/>
                    <w:rPr>
                      <w:rFonts w:hint="eastAsia"/>
                      <w:lang w:val="en-US" w:eastAsia="zh-CN"/>
                    </w:rPr>
                  </w:pPr>
                  <w:r>
                    <w:rPr>
                      <w:rFonts w:hint="default"/>
                    </w:rPr>
                    <w:t>无组织废气</w:t>
                  </w:r>
                </w:p>
              </w:tc>
              <w:tc>
                <w:tcPr>
                  <w:tcW w:w="1710" w:type="dxa"/>
                  <w:shd w:val="clear" w:color="auto" w:fill="auto"/>
                  <w:vAlign w:val="center"/>
                </w:tcPr>
                <w:p>
                  <w:pPr>
                    <w:pStyle w:val="40"/>
                    <w:bidi w:val="0"/>
                    <w:jc w:val="center"/>
                    <w:rPr>
                      <w:rFonts w:hint="default" w:ascii="Times New Roman" w:hAnsi="Times New Roman" w:eastAsia="宋体" w:cs="Times New Roman"/>
                      <w:kern w:val="2"/>
                      <w:sz w:val="21"/>
                      <w:szCs w:val="21"/>
                      <w:lang w:val="en-US" w:eastAsia="zh-CN" w:bidi="ar-SA"/>
                    </w:rPr>
                  </w:pPr>
                  <w:r>
                    <w:rPr>
                      <w:rFonts w:hint="eastAsia"/>
                      <w:lang w:val="en-US" w:eastAsia="zh-CN"/>
                    </w:rPr>
                    <w:t>厂界</w:t>
                  </w:r>
                </w:p>
              </w:tc>
              <w:tc>
                <w:tcPr>
                  <w:tcW w:w="1142" w:type="dxa"/>
                  <w:shd w:val="clear" w:color="auto" w:fill="auto"/>
                  <w:vAlign w:val="center"/>
                </w:tcPr>
                <w:p>
                  <w:pPr>
                    <w:pStyle w:val="40"/>
                    <w:bidi w:val="0"/>
                    <w:jc w:val="center"/>
                    <w:rPr>
                      <w:rFonts w:hint="eastAsia" w:ascii="Times New Roman" w:hAnsi="Times New Roman" w:eastAsia="宋体" w:cs="Times New Roman"/>
                      <w:kern w:val="2"/>
                      <w:sz w:val="21"/>
                      <w:szCs w:val="21"/>
                      <w:lang w:val="en-US" w:eastAsia="zh-CN" w:bidi="ar-SA"/>
                    </w:rPr>
                  </w:pPr>
                  <w:r>
                    <w:rPr>
                      <w:rFonts w:hint="eastAsia"/>
                      <w:lang w:val="en-US" w:eastAsia="zh-CN"/>
                    </w:rPr>
                    <w:t>颗粒物</w:t>
                  </w:r>
                </w:p>
              </w:tc>
              <w:tc>
                <w:tcPr>
                  <w:tcW w:w="1304" w:type="dxa"/>
                  <w:shd w:val="clear" w:color="auto" w:fill="auto"/>
                  <w:vAlign w:val="center"/>
                </w:tcPr>
                <w:p>
                  <w:pPr>
                    <w:pStyle w:val="40"/>
                    <w:bidi w:val="0"/>
                    <w:jc w:val="center"/>
                    <w:rPr>
                      <w:rFonts w:hint="eastAsia" w:ascii="Times New Roman" w:hAnsi="Times New Roman" w:eastAsia="宋体" w:cs="Times New Roman"/>
                      <w:kern w:val="2"/>
                      <w:sz w:val="21"/>
                      <w:szCs w:val="21"/>
                      <w:lang w:val="en-US" w:eastAsia="zh-CN" w:bidi="ar-SA"/>
                    </w:rPr>
                  </w:pPr>
                  <w:r>
                    <w:t>1次/</w:t>
                  </w:r>
                  <w:r>
                    <w:rPr>
                      <w:rFonts w:hint="eastAsia"/>
                      <w:lang w:val="en-US" w:eastAsia="zh-CN"/>
                    </w:rPr>
                    <w:t>季</w:t>
                  </w:r>
                </w:p>
              </w:tc>
              <w:tc>
                <w:tcPr>
                  <w:tcW w:w="3001" w:type="dxa"/>
                  <w:shd w:val="clear" w:color="auto" w:fill="auto"/>
                  <w:vAlign w:val="center"/>
                </w:tcPr>
                <w:p>
                  <w:pPr>
                    <w:pStyle w:val="40"/>
                    <w:bidi w:val="0"/>
                    <w:jc w:val="center"/>
                    <w:rPr>
                      <w:rFonts w:hint="default" w:ascii="Times New Roman" w:hAnsi="Times New Roman" w:eastAsia="宋体" w:cs="Times New Roman"/>
                      <w:kern w:val="2"/>
                      <w:sz w:val="21"/>
                      <w:szCs w:val="21"/>
                      <w:lang w:val="en-US" w:eastAsia="zh-CN" w:bidi="ar-SA"/>
                    </w:rPr>
                  </w:pPr>
                  <w:r>
                    <w:rPr>
                      <w:rFonts w:hint="default"/>
                    </w:rPr>
                    <w:t>《水泥工业大气污染物排放标准》（含2025年修改单）（GB4915-2013）</w:t>
                  </w:r>
                  <w:r>
                    <w:rPr>
                      <w:rFonts w:hint="default"/>
                      <w:lang w:eastAsia="zh-CN"/>
                    </w:rPr>
                    <w:t>中</w:t>
                  </w:r>
                  <w:r>
                    <w:rPr>
                      <w:rFonts w:hint="default"/>
                    </w:rPr>
                    <w:t>表</w:t>
                  </w:r>
                  <w:r>
                    <w:rPr>
                      <w:rFonts w:hint="default"/>
                      <w:lang w:val="en-US" w:eastAsia="zh-CN"/>
                    </w:rPr>
                    <w:t>3无组织排放标准要求</w:t>
                  </w:r>
                </w:p>
              </w:tc>
            </w:tr>
          </w:tbl>
          <w:p>
            <w:pPr>
              <w:pStyle w:val="2"/>
              <w:bidi w:val="0"/>
              <w:rPr>
                <w:rFonts w:hint="eastAsia"/>
                <w:lang w:val="en-US" w:eastAsia="zh-CN"/>
              </w:rPr>
            </w:pPr>
            <w:r>
              <w:rPr>
                <w:rFonts w:hint="eastAsia"/>
                <w:lang w:val="en-US" w:eastAsia="zh-CN"/>
              </w:rPr>
              <w:t>2.水环境影响和保护措施</w:t>
            </w:r>
          </w:p>
          <w:p>
            <w:pPr>
              <w:pStyle w:val="2"/>
              <w:bidi w:val="0"/>
              <w:rPr>
                <w:rFonts w:hint="eastAsia"/>
                <w:lang w:val="en-US" w:eastAsia="zh-CN"/>
              </w:rPr>
            </w:pPr>
            <w:r>
              <w:rPr>
                <w:rFonts w:hint="eastAsia"/>
                <w:lang w:val="en-US" w:eastAsia="zh-CN"/>
              </w:rPr>
              <w:t>2.1废水治理措施</w:t>
            </w:r>
          </w:p>
          <w:p>
            <w:pPr>
              <w:pStyle w:val="8"/>
              <w:bidi w:val="0"/>
              <w:rPr>
                <w:rFonts w:hint="eastAsia"/>
                <w:lang w:val="en-US" w:eastAsia="zh-CN"/>
              </w:rPr>
            </w:pPr>
            <w:r>
              <w:rPr>
                <w:rFonts w:hint="default"/>
                <w:lang w:val="en-US" w:eastAsia="zh-CN"/>
              </w:rPr>
              <w:t>本项目用水主要为员工生活用水和生产用水</w:t>
            </w:r>
            <w:r>
              <w:rPr>
                <w:rFonts w:hint="eastAsia"/>
                <w:lang w:val="en-US" w:eastAsia="zh-CN"/>
              </w:rPr>
              <w:t>。生活污水经化粪池预处理后拉运至若羌县城乡污水处理厂进行集中处理，搅拌设备清洗水经沉淀池沉淀后用于厂区洒水抑尘。本项目生活污水中主要污染物的产生及排放情况见下表。</w:t>
            </w:r>
          </w:p>
          <w:p>
            <w:pPr>
              <w:pStyle w:val="42"/>
              <w:bidi w:val="0"/>
              <w:rPr>
                <w:rFonts w:hint="default"/>
                <w:lang w:val="en-US" w:eastAsia="zh-CN"/>
              </w:rPr>
            </w:pPr>
            <w:bookmarkStart w:id="8" w:name="OLE_LINK7"/>
            <w:r>
              <w:rPr>
                <w:rFonts w:hint="default"/>
                <w:lang w:val="en-US" w:eastAsia="zh-CN"/>
              </w:rPr>
              <w:t>表4-</w:t>
            </w:r>
            <w:r>
              <w:rPr>
                <w:rFonts w:hint="eastAsia"/>
                <w:lang w:val="en-US" w:eastAsia="zh-CN"/>
              </w:rPr>
              <w:t>6</w:t>
            </w:r>
            <w:r>
              <w:rPr>
                <w:rFonts w:hint="default"/>
                <w:lang w:val="en-US" w:eastAsia="zh-CN"/>
              </w:rPr>
              <w:t xml:space="preserve">    项目生活污水产生和排放情况一览表</w:t>
            </w:r>
            <w:bookmarkEnd w:id="8"/>
          </w:p>
          <w:tbl>
            <w:tblPr>
              <w:tblStyle w:val="22"/>
              <w:tblW w:w="496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4"/>
              <w:gridCol w:w="646"/>
              <w:gridCol w:w="1148"/>
              <w:gridCol w:w="844"/>
              <w:gridCol w:w="1131"/>
              <w:gridCol w:w="1072"/>
              <w:gridCol w:w="21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7" w:hRule="atLeast"/>
              </w:trPr>
              <w:tc>
                <w:tcPr>
                  <w:tcW w:w="494" w:type="pct"/>
                  <w:vMerge w:val="restart"/>
                  <w:noWrap w:val="0"/>
                  <w:vAlign w:val="center"/>
                </w:tcPr>
                <w:p>
                  <w:pPr>
                    <w:pStyle w:val="40"/>
                    <w:bidi w:val="0"/>
                    <w:rPr>
                      <w:lang w:val="en-US" w:eastAsia="zh-CN"/>
                    </w:rPr>
                  </w:pPr>
                  <w:r>
                    <w:rPr>
                      <w:lang w:val="en-US" w:eastAsia="zh-CN"/>
                    </w:rPr>
                    <w:t>污染物</w:t>
                  </w:r>
                </w:p>
              </w:tc>
              <w:tc>
                <w:tcPr>
                  <w:tcW w:w="1703" w:type="pct"/>
                  <w:gridSpan w:val="3"/>
                  <w:noWrap w:val="0"/>
                  <w:vAlign w:val="center"/>
                </w:tcPr>
                <w:p>
                  <w:pPr>
                    <w:pStyle w:val="40"/>
                    <w:bidi w:val="0"/>
                    <w:rPr>
                      <w:rFonts w:hint="eastAsia"/>
                      <w:lang w:val="en-US" w:eastAsia="zh-CN"/>
                    </w:rPr>
                  </w:pPr>
                  <w:r>
                    <w:rPr>
                      <w:rFonts w:hint="eastAsia"/>
                      <w:lang w:val="en-US" w:eastAsia="zh-CN"/>
                    </w:rPr>
                    <w:t>污染物</w:t>
                  </w:r>
                  <w:r>
                    <w:rPr>
                      <w:lang w:val="en-US" w:eastAsia="zh-CN"/>
                    </w:rPr>
                    <w:t>产生情况</w:t>
                  </w:r>
                </w:p>
              </w:tc>
              <w:tc>
                <w:tcPr>
                  <w:tcW w:w="730" w:type="pct"/>
                  <w:tcBorders>
                    <w:right w:val="single" w:color="auto" w:sz="4" w:space="0"/>
                  </w:tcBorders>
                  <w:noWrap w:val="0"/>
                  <w:vAlign w:val="center"/>
                </w:tcPr>
                <w:p>
                  <w:pPr>
                    <w:pStyle w:val="40"/>
                    <w:bidi w:val="0"/>
                    <w:rPr>
                      <w:rFonts w:hint="eastAsia"/>
                      <w:lang w:val="en-US" w:eastAsia="zh-CN"/>
                    </w:rPr>
                  </w:pPr>
                  <w:r>
                    <w:rPr>
                      <w:lang w:val="en-US" w:eastAsia="zh-CN"/>
                    </w:rPr>
                    <w:t>治理措施</w:t>
                  </w:r>
                </w:p>
              </w:tc>
              <w:tc>
                <w:tcPr>
                  <w:tcW w:w="692" w:type="pct"/>
                  <w:vMerge w:val="restart"/>
                  <w:noWrap w:val="0"/>
                  <w:vAlign w:val="center"/>
                </w:tcPr>
                <w:p>
                  <w:pPr>
                    <w:pStyle w:val="40"/>
                    <w:bidi w:val="0"/>
                    <w:rPr>
                      <w:rFonts w:hint="eastAsia"/>
                      <w:lang w:val="en-US" w:eastAsia="zh-CN"/>
                    </w:rPr>
                  </w:pPr>
                  <w:r>
                    <w:rPr>
                      <w:lang w:val="en-US" w:eastAsia="zh-CN"/>
                    </w:rPr>
                    <w:t>排放标准</w:t>
                  </w:r>
                  <w:r>
                    <w:rPr>
                      <w:rFonts w:hint="eastAsia"/>
                      <w:lang w:val="en-US" w:eastAsia="zh-CN"/>
                    </w:rPr>
                    <w:t>（</w:t>
                  </w:r>
                  <w:r>
                    <w:rPr>
                      <w:lang w:val="en-US" w:eastAsia="zh-CN"/>
                    </w:rPr>
                    <w:t>mg/L</w:t>
                  </w:r>
                  <w:r>
                    <w:rPr>
                      <w:rFonts w:hint="eastAsia"/>
                      <w:lang w:val="en-US" w:eastAsia="zh-CN"/>
                    </w:rPr>
                    <w:t>）</w:t>
                  </w:r>
                </w:p>
              </w:tc>
              <w:tc>
                <w:tcPr>
                  <w:tcW w:w="1378" w:type="pct"/>
                  <w:vMerge w:val="restart"/>
                  <w:noWrap w:val="0"/>
                  <w:vAlign w:val="center"/>
                </w:tcPr>
                <w:p>
                  <w:pPr>
                    <w:pStyle w:val="40"/>
                    <w:bidi w:val="0"/>
                    <w:rPr>
                      <w:rFonts w:hint="eastAsia"/>
                      <w:lang w:val="en-US" w:eastAsia="zh-CN"/>
                    </w:rPr>
                  </w:pPr>
                  <w:r>
                    <w:rPr>
                      <w:rFonts w:hint="eastAsia"/>
                      <w:lang w:val="en-US" w:eastAsia="zh-CN"/>
                    </w:rPr>
                    <w:t>最终去向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494" w:type="pct"/>
                  <w:vMerge w:val="continue"/>
                  <w:noWrap w:val="0"/>
                  <w:vAlign w:val="center"/>
                </w:tcPr>
                <w:p>
                  <w:pPr>
                    <w:pStyle w:val="40"/>
                    <w:bidi w:val="0"/>
                    <w:rPr>
                      <w:lang w:val="en-US" w:eastAsia="zh-CN"/>
                    </w:rPr>
                  </w:pPr>
                </w:p>
              </w:tc>
              <w:tc>
                <w:tcPr>
                  <w:tcW w:w="417" w:type="pct"/>
                  <w:vMerge w:val="restart"/>
                  <w:noWrap w:val="0"/>
                  <w:vAlign w:val="center"/>
                </w:tcPr>
                <w:p>
                  <w:pPr>
                    <w:pStyle w:val="40"/>
                    <w:bidi w:val="0"/>
                    <w:rPr>
                      <w:lang w:val="en-US" w:eastAsia="zh-CN"/>
                    </w:rPr>
                  </w:pPr>
                  <w:r>
                    <w:rPr>
                      <w:lang w:val="en-US" w:eastAsia="zh-CN"/>
                    </w:rPr>
                    <w:t>核算方法</w:t>
                  </w:r>
                </w:p>
              </w:tc>
              <w:tc>
                <w:tcPr>
                  <w:tcW w:w="1285" w:type="pct"/>
                  <w:gridSpan w:val="2"/>
                  <w:noWrap w:val="0"/>
                  <w:vAlign w:val="center"/>
                </w:tcPr>
                <w:p>
                  <w:pPr>
                    <w:pStyle w:val="40"/>
                    <w:bidi w:val="0"/>
                    <w:rPr>
                      <w:lang w:val="en-US" w:eastAsia="zh-CN"/>
                    </w:rPr>
                  </w:pPr>
                  <w:r>
                    <w:rPr>
                      <w:lang w:val="en-US" w:eastAsia="zh-CN"/>
                    </w:rPr>
                    <w:t>生活污水</w:t>
                  </w:r>
                  <w:r>
                    <w:rPr>
                      <w:rFonts w:hint="eastAsia"/>
                      <w:lang w:val="en-US" w:eastAsia="zh-CN"/>
                    </w:rPr>
                    <w:t>34.56m</w:t>
                  </w:r>
                  <w:r>
                    <w:rPr>
                      <w:rFonts w:hint="eastAsia"/>
                      <w:vertAlign w:val="superscript"/>
                      <w:lang w:val="en-US" w:eastAsia="zh-CN"/>
                    </w:rPr>
                    <w:t>3</w:t>
                  </w:r>
                  <w:r>
                    <w:rPr>
                      <w:rFonts w:hint="default"/>
                      <w:lang w:val="en-US" w:eastAsia="zh-CN"/>
                    </w:rPr>
                    <w:t>/a</w:t>
                  </w:r>
                </w:p>
              </w:tc>
              <w:tc>
                <w:tcPr>
                  <w:tcW w:w="730" w:type="pct"/>
                  <w:vMerge w:val="restart"/>
                  <w:tcBorders>
                    <w:right w:val="single" w:color="auto" w:sz="4" w:space="0"/>
                  </w:tcBorders>
                  <w:noWrap w:val="0"/>
                  <w:vAlign w:val="center"/>
                </w:tcPr>
                <w:p>
                  <w:pPr>
                    <w:pStyle w:val="40"/>
                    <w:bidi w:val="0"/>
                    <w:rPr>
                      <w:lang w:val="en-US" w:eastAsia="zh-CN"/>
                    </w:rPr>
                  </w:pPr>
                  <w:r>
                    <w:rPr>
                      <w:lang w:val="en-US" w:eastAsia="zh-CN"/>
                    </w:rPr>
                    <w:t>工艺</w:t>
                  </w:r>
                </w:p>
              </w:tc>
              <w:tc>
                <w:tcPr>
                  <w:tcW w:w="692" w:type="pct"/>
                  <w:vMerge w:val="continue"/>
                  <w:noWrap w:val="0"/>
                  <w:vAlign w:val="center"/>
                </w:tcPr>
                <w:p>
                  <w:pPr>
                    <w:pStyle w:val="40"/>
                    <w:bidi w:val="0"/>
                    <w:rPr>
                      <w:lang w:val="en-US" w:eastAsia="zh-CN"/>
                    </w:rPr>
                  </w:pPr>
                </w:p>
              </w:tc>
              <w:tc>
                <w:tcPr>
                  <w:tcW w:w="1378" w:type="pct"/>
                  <w:vMerge w:val="continue"/>
                  <w:noWrap w:val="0"/>
                  <w:vAlign w:val="center"/>
                </w:tcPr>
                <w:p>
                  <w:pPr>
                    <w:pStyle w:val="40"/>
                    <w:bidi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494" w:type="pct"/>
                  <w:vMerge w:val="continue"/>
                  <w:noWrap w:val="0"/>
                  <w:vAlign w:val="center"/>
                </w:tcPr>
                <w:p>
                  <w:pPr>
                    <w:pStyle w:val="40"/>
                    <w:bidi w:val="0"/>
                    <w:rPr>
                      <w:lang w:val="en-US" w:eastAsia="zh-CN"/>
                    </w:rPr>
                  </w:pPr>
                </w:p>
              </w:tc>
              <w:tc>
                <w:tcPr>
                  <w:tcW w:w="417" w:type="pct"/>
                  <w:vMerge w:val="continue"/>
                  <w:noWrap w:val="0"/>
                  <w:vAlign w:val="center"/>
                </w:tcPr>
                <w:p>
                  <w:pPr>
                    <w:pStyle w:val="40"/>
                    <w:bidi w:val="0"/>
                    <w:rPr>
                      <w:lang w:val="en-US" w:eastAsia="zh-CN"/>
                    </w:rPr>
                  </w:pPr>
                </w:p>
              </w:tc>
              <w:tc>
                <w:tcPr>
                  <w:tcW w:w="741" w:type="pct"/>
                  <w:noWrap w:val="0"/>
                  <w:vAlign w:val="center"/>
                </w:tcPr>
                <w:p>
                  <w:pPr>
                    <w:pStyle w:val="40"/>
                    <w:bidi w:val="0"/>
                    <w:rPr>
                      <w:lang w:val="en-US" w:eastAsia="zh-CN"/>
                    </w:rPr>
                  </w:pPr>
                  <w:r>
                    <w:rPr>
                      <w:rFonts w:hint="eastAsia"/>
                      <w:lang w:val="en-US" w:eastAsia="zh-CN"/>
                    </w:rPr>
                    <w:t>产生</w:t>
                  </w:r>
                  <w:r>
                    <w:rPr>
                      <w:lang w:val="en-US" w:eastAsia="zh-CN"/>
                    </w:rPr>
                    <w:t>浓度</w:t>
                  </w:r>
                  <w:r>
                    <w:rPr>
                      <w:rFonts w:hint="eastAsia"/>
                      <w:lang w:val="en-US" w:eastAsia="zh-CN"/>
                    </w:rPr>
                    <w:t>mg/L</w:t>
                  </w:r>
                </w:p>
              </w:tc>
              <w:tc>
                <w:tcPr>
                  <w:tcW w:w="543" w:type="pct"/>
                  <w:noWrap w:val="0"/>
                  <w:vAlign w:val="center"/>
                </w:tcPr>
                <w:p>
                  <w:pPr>
                    <w:pStyle w:val="40"/>
                    <w:bidi w:val="0"/>
                    <w:rPr>
                      <w:lang w:val="en-US" w:eastAsia="zh-CN"/>
                    </w:rPr>
                  </w:pPr>
                  <w:r>
                    <w:rPr>
                      <w:rFonts w:hint="eastAsia"/>
                      <w:lang w:val="en-US" w:eastAsia="zh-CN"/>
                    </w:rPr>
                    <w:t>产生量t/a</w:t>
                  </w:r>
                </w:p>
              </w:tc>
              <w:tc>
                <w:tcPr>
                  <w:tcW w:w="730" w:type="pct"/>
                  <w:vMerge w:val="continue"/>
                  <w:noWrap w:val="0"/>
                  <w:vAlign w:val="center"/>
                </w:tcPr>
                <w:p>
                  <w:pPr>
                    <w:pStyle w:val="40"/>
                    <w:bidi w:val="0"/>
                    <w:rPr>
                      <w:rFonts w:hint="eastAsia"/>
                      <w:lang w:val="en-US" w:eastAsia="zh-CN"/>
                    </w:rPr>
                  </w:pPr>
                </w:p>
              </w:tc>
              <w:tc>
                <w:tcPr>
                  <w:tcW w:w="692" w:type="pct"/>
                  <w:vMerge w:val="continue"/>
                  <w:noWrap w:val="0"/>
                  <w:vAlign w:val="center"/>
                </w:tcPr>
                <w:p>
                  <w:pPr>
                    <w:pStyle w:val="40"/>
                    <w:bidi w:val="0"/>
                    <w:rPr>
                      <w:lang w:val="en-US" w:eastAsia="zh-CN"/>
                    </w:rPr>
                  </w:pPr>
                </w:p>
              </w:tc>
              <w:tc>
                <w:tcPr>
                  <w:tcW w:w="1378" w:type="pct"/>
                  <w:vMerge w:val="continue"/>
                  <w:noWrap w:val="0"/>
                  <w:vAlign w:val="center"/>
                </w:tcPr>
                <w:p>
                  <w:pPr>
                    <w:pStyle w:val="40"/>
                    <w:bidi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71" w:hRule="atLeast"/>
              </w:trPr>
              <w:tc>
                <w:tcPr>
                  <w:tcW w:w="494" w:type="pct"/>
                  <w:noWrap w:val="0"/>
                  <w:vAlign w:val="center"/>
                </w:tcPr>
                <w:p>
                  <w:pPr>
                    <w:pStyle w:val="40"/>
                    <w:bidi w:val="0"/>
                    <w:rPr>
                      <w:lang w:val="en-US" w:eastAsia="zh-CN"/>
                    </w:rPr>
                  </w:pPr>
                  <w:r>
                    <w:rPr>
                      <w:lang w:val="en-US" w:eastAsia="zh-CN"/>
                    </w:rPr>
                    <w:t>COD</w:t>
                  </w:r>
                </w:p>
              </w:tc>
              <w:tc>
                <w:tcPr>
                  <w:tcW w:w="417" w:type="pct"/>
                  <w:vMerge w:val="restart"/>
                  <w:tcBorders>
                    <w:top w:val="single" w:color="auto" w:sz="4" w:space="0"/>
                  </w:tcBorders>
                  <w:noWrap w:val="0"/>
                  <w:vAlign w:val="center"/>
                </w:tcPr>
                <w:p>
                  <w:pPr>
                    <w:pStyle w:val="40"/>
                    <w:bidi w:val="0"/>
                    <w:rPr>
                      <w:rFonts w:hint="eastAsia"/>
                      <w:lang w:val="en-US" w:eastAsia="zh-CN"/>
                    </w:rPr>
                  </w:pPr>
                  <w:r>
                    <w:rPr>
                      <w:rFonts w:hint="eastAsia"/>
                      <w:lang w:val="en-US" w:eastAsia="zh-CN"/>
                    </w:rPr>
                    <w:t>类比法</w:t>
                  </w:r>
                </w:p>
              </w:tc>
              <w:tc>
                <w:tcPr>
                  <w:tcW w:w="741" w:type="pct"/>
                  <w:noWrap w:val="0"/>
                  <w:vAlign w:val="center"/>
                </w:tcPr>
                <w:p>
                  <w:pPr>
                    <w:pStyle w:val="40"/>
                    <w:bidi w:val="0"/>
                    <w:rPr>
                      <w:lang w:val="en-US" w:eastAsia="zh-CN"/>
                    </w:rPr>
                  </w:pPr>
                  <w:r>
                    <w:rPr>
                      <w:rFonts w:hint="eastAsia"/>
                      <w:lang w:val="en-US" w:eastAsia="zh-CN"/>
                    </w:rPr>
                    <w:t>350</w:t>
                  </w:r>
                </w:p>
              </w:tc>
              <w:tc>
                <w:tcPr>
                  <w:tcW w:w="842" w:type="dxa"/>
                  <w:noWrap w:val="0"/>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0.012 </w:t>
                  </w:r>
                </w:p>
              </w:tc>
              <w:tc>
                <w:tcPr>
                  <w:tcW w:w="730" w:type="pct"/>
                  <w:vMerge w:val="restart"/>
                  <w:noWrap w:val="0"/>
                  <w:vAlign w:val="center"/>
                </w:tcPr>
                <w:p>
                  <w:pPr>
                    <w:pStyle w:val="40"/>
                    <w:bidi w:val="0"/>
                    <w:rPr>
                      <w:lang w:val="en-US" w:eastAsia="zh-CN"/>
                    </w:rPr>
                  </w:pPr>
                  <w:r>
                    <w:rPr>
                      <w:lang w:val="en-US" w:eastAsia="zh-CN"/>
                    </w:rPr>
                    <w:t>化粪池</w:t>
                  </w:r>
                  <w:r>
                    <w:rPr>
                      <w:rFonts w:hint="eastAsia"/>
                      <w:lang w:val="en-US" w:eastAsia="zh-CN"/>
                    </w:rPr>
                    <w:t>预</w:t>
                  </w:r>
                  <w:r>
                    <w:rPr>
                      <w:lang w:val="en-US" w:eastAsia="zh-CN"/>
                    </w:rPr>
                    <w:t>处理</w:t>
                  </w:r>
                </w:p>
              </w:tc>
              <w:tc>
                <w:tcPr>
                  <w:tcW w:w="692" w:type="pct"/>
                  <w:noWrap w:val="0"/>
                  <w:vAlign w:val="center"/>
                </w:tcPr>
                <w:p>
                  <w:pPr>
                    <w:pStyle w:val="40"/>
                    <w:bidi w:val="0"/>
                    <w:rPr>
                      <w:lang w:val="en-US" w:eastAsia="zh-CN"/>
                    </w:rPr>
                  </w:pPr>
                  <w:r>
                    <w:rPr>
                      <w:lang w:val="en-US" w:eastAsia="zh-CN"/>
                    </w:rPr>
                    <w:t>500</w:t>
                  </w:r>
                </w:p>
              </w:tc>
              <w:tc>
                <w:tcPr>
                  <w:tcW w:w="1378" w:type="pct"/>
                  <w:vMerge w:val="restart"/>
                  <w:noWrap w:val="0"/>
                  <w:vAlign w:val="center"/>
                </w:tcPr>
                <w:p>
                  <w:pPr>
                    <w:pStyle w:val="40"/>
                    <w:bidi w:val="0"/>
                    <w:rPr>
                      <w:lang w:val="en-US" w:eastAsia="zh-CN"/>
                    </w:rPr>
                  </w:pPr>
                  <w:r>
                    <w:rPr>
                      <w:rFonts w:hint="eastAsia"/>
                      <w:lang w:val="en-US" w:eastAsia="zh-CN"/>
                    </w:rPr>
                    <w:t>生活污水经化粪池预处理后拉运至若羌县城乡污水处理厂进行集中处理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0" w:hRule="atLeast"/>
              </w:trPr>
              <w:tc>
                <w:tcPr>
                  <w:tcW w:w="494" w:type="pct"/>
                  <w:noWrap w:val="0"/>
                  <w:vAlign w:val="center"/>
                </w:tcPr>
                <w:p>
                  <w:pPr>
                    <w:pStyle w:val="40"/>
                    <w:bidi w:val="0"/>
                    <w:rPr>
                      <w:rFonts w:hint="eastAsia"/>
                      <w:lang w:val="en-US" w:eastAsia="zh-CN"/>
                    </w:rPr>
                  </w:pPr>
                  <w:r>
                    <w:rPr>
                      <w:lang w:val="en-US" w:eastAsia="zh-CN"/>
                    </w:rPr>
                    <w:t>BOD</w:t>
                  </w:r>
                  <w:r>
                    <w:rPr>
                      <w:rFonts w:hint="eastAsia"/>
                      <w:vertAlign w:val="subscript"/>
                      <w:lang w:val="en-US" w:eastAsia="zh-CN"/>
                    </w:rPr>
                    <w:t>5</w:t>
                  </w:r>
                </w:p>
              </w:tc>
              <w:tc>
                <w:tcPr>
                  <w:tcW w:w="417" w:type="pct"/>
                  <w:vMerge w:val="continue"/>
                  <w:noWrap w:val="0"/>
                  <w:vAlign w:val="center"/>
                </w:tcPr>
                <w:p>
                  <w:pPr>
                    <w:pStyle w:val="40"/>
                    <w:bidi w:val="0"/>
                    <w:rPr>
                      <w:lang w:val="en-US" w:eastAsia="zh-CN"/>
                    </w:rPr>
                  </w:pPr>
                </w:p>
              </w:tc>
              <w:tc>
                <w:tcPr>
                  <w:tcW w:w="741" w:type="pct"/>
                  <w:noWrap w:val="0"/>
                  <w:vAlign w:val="center"/>
                </w:tcPr>
                <w:p>
                  <w:pPr>
                    <w:pStyle w:val="40"/>
                    <w:bidi w:val="0"/>
                    <w:rPr>
                      <w:lang w:val="en-US" w:eastAsia="zh-CN"/>
                    </w:rPr>
                  </w:pPr>
                  <w:r>
                    <w:rPr>
                      <w:lang w:val="en-US" w:eastAsia="zh-CN"/>
                    </w:rPr>
                    <w:t>250</w:t>
                  </w:r>
                </w:p>
              </w:tc>
              <w:tc>
                <w:tcPr>
                  <w:tcW w:w="842" w:type="dxa"/>
                  <w:noWrap w:val="0"/>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0.009 </w:t>
                  </w:r>
                </w:p>
              </w:tc>
              <w:tc>
                <w:tcPr>
                  <w:tcW w:w="730" w:type="pct"/>
                  <w:vMerge w:val="continue"/>
                  <w:noWrap w:val="0"/>
                  <w:vAlign w:val="center"/>
                </w:tcPr>
                <w:p>
                  <w:pPr>
                    <w:pStyle w:val="40"/>
                    <w:bidi w:val="0"/>
                    <w:rPr>
                      <w:lang w:val="en-US" w:eastAsia="zh-CN"/>
                    </w:rPr>
                  </w:pPr>
                </w:p>
              </w:tc>
              <w:tc>
                <w:tcPr>
                  <w:tcW w:w="692" w:type="pct"/>
                  <w:noWrap w:val="0"/>
                  <w:vAlign w:val="center"/>
                </w:tcPr>
                <w:p>
                  <w:pPr>
                    <w:pStyle w:val="40"/>
                    <w:bidi w:val="0"/>
                    <w:rPr>
                      <w:lang w:val="en-US" w:eastAsia="zh-CN"/>
                    </w:rPr>
                  </w:pPr>
                  <w:r>
                    <w:rPr>
                      <w:lang w:val="en-US" w:eastAsia="zh-CN"/>
                    </w:rPr>
                    <w:t>300</w:t>
                  </w:r>
                </w:p>
              </w:tc>
              <w:tc>
                <w:tcPr>
                  <w:tcW w:w="1378" w:type="pct"/>
                  <w:vMerge w:val="continue"/>
                  <w:noWrap w:val="0"/>
                  <w:vAlign w:val="center"/>
                </w:tcPr>
                <w:p>
                  <w:pPr>
                    <w:pStyle w:val="40"/>
                    <w:bidi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1" w:hRule="atLeast"/>
              </w:trPr>
              <w:tc>
                <w:tcPr>
                  <w:tcW w:w="494" w:type="pct"/>
                  <w:noWrap w:val="0"/>
                  <w:vAlign w:val="center"/>
                </w:tcPr>
                <w:p>
                  <w:pPr>
                    <w:pStyle w:val="40"/>
                    <w:bidi w:val="0"/>
                    <w:rPr>
                      <w:lang w:val="en-US" w:eastAsia="zh-CN"/>
                    </w:rPr>
                  </w:pPr>
                  <w:r>
                    <w:rPr>
                      <w:lang w:val="en-US" w:eastAsia="zh-CN"/>
                    </w:rPr>
                    <w:t>SS</w:t>
                  </w:r>
                </w:p>
              </w:tc>
              <w:tc>
                <w:tcPr>
                  <w:tcW w:w="417" w:type="pct"/>
                  <w:vMerge w:val="continue"/>
                  <w:noWrap w:val="0"/>
                  <w:vAlign w:val="center"/>
                </w:tcPr>
                <w:p>
                  <w:pPr>
                    <w:pStyle w:val="40"/>
                    <w:bidi w:val="0"/>
                    <w:rPr>
                      <w:lang w:val="en-US" w:eastAsia="zh-CN"/>
                    </w:rPr>
                  </w:pPr>
                </w:p>
              </w:tc>
              <w:tc>
                <w:tcPr>
                  <w:tcW w:w="741" w:type="pct"/>
                  <w:noWrap w:val="0"/>
                  <w:vAlign w:val="center"/>
                </w:tcPr>
                <w:p>
                  <w:pPr>
                    <w:pStyle w:val="40"/>
                    <w:bidi w:val="0"/>
                    <w:rPr>
                      <w:lang w:val="en-US" w:eastAsia="zh-CN"/>
                    </w:rPr>
                  </w:pPr>
                  <w:r>
                    <w:rPr>
                      <w:lang w:val="en-US" w:eastAsia="zh-CN"/>
                    </w:rPr>
                    <w:t>200</w:t>
                  </w:r>
                </w:p>
              </w:tc>
              <w:tc>
                <w:tcPr>
                  <w:tcW w:w="842" w:type="dxa"/>
                  <w:noWrap w:val="0"/>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730" w:type="pct"/>
                  <w:vMerge w:val="continue"/>
                  <w:noWrap w:val="0"/>
                  <w:vAlign w:val="center"/>
                </w:tcPr>
                <w:p>
                  <w:pPr>
                    <w:pStyle w:val="40"/>
                    <w:bidi w:val="0"/>
                    <w:rPr>
                      <w:lang w:val="en-US" w:eastAsia="zh-CN"/>
                    </w:rPr>
                  </w:pPr>
                </w:p>
              </w:tc>
              <w:tc>
                <w:tcPr>
                  <w:tcW w:w="692" w:type="pct"/>
                  <w:noWrap w:val="0"/>
                  <w:vAlign w:val="center"/>
                </w:tcPr>
                <w:p>
                  <w:pPr>
                    <w:pStyle w:val="40"/>
                    <w:bidi w:val="0"/>
                    <w:rPr>
                      <w:lang w:val="en-US" w:eastAsia="zh-CN"/>
                    </w:rPr>
                  </w:pPr>
                  <w:r>
                    <w:rPr>
                      <w:lang w:val="en-US" w:eastAsia="zh-CN"/>
                    </w:rPr>
                    <w:t>400</w:t>
                  </w:r>
                </w:p>
              </w:tc>
              <w:tc>
                <w:tcPr>
                  <w:tcW w:w="1378" w:type="pct"/>
                  <w:vMerge w:val="continue"/>
                  <w:noWrap w:val="0"/>
                  <w:vAlign w:val="center"/>
                </w:tcPr>
                <w:p>
                  <w:pPr>
                    <w:pStyle w:val="40"/>
                    <w:bidi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494" w:type="pct"/>
                  <w:noWrap w:val="0"/>
                  <w:vAlign w:val="center"/>
                </w:tcPr>
                <w:p>
                  <w:pPr>
                    <w:pStyle w:val="40"/>
                    <w:bidi w:val="0"/>
                    <w:rPr>
                      <w:lang w:val="en-US" w:eastAsia="zh-CN"/>
                    </w:rPr>
                  </w:pPr>
                  <w:r>
                    <w:rPr>
                      <w:lang w:val="en-US" w:eastAsia="zh-CN"/>
                    </w:rPr>
                    <w:t>氨氮</w:t>
                  </w:r>
                </w:p>
              </w:tc>
              <w:tc>
                <w:tcPr>
                  <w:tcW w:w="417" w:type="pct"/>
                  <w:vMerge w:val="continue"/>
                  <w:noWrap w:val="0"/>
                  <w:vAlign w:val="center"/>
                </w:tcPr>
                <w:p>
                  <w:pPr>
                    <w:pStyle w:val="40"/>
                    <w:bidi w:val="0"/>
                    <w:rPr>
                      <w:lang w:val="en-US" w:eastAsia="zh-CN"/>
                    </w:rPr>
                  </w:pPr>
                </w:p>
              </w:tc>
              <w:tc>
                <w:tcPr>
                  <w:tcW w:w="741" w:type="pct"/>
                  <w:noWrap w:val="0"/>
                  <w:vAlign w:val="center"/>
                </w:tcPr>
                <w:p>
                  <w:pPr>
                    <w:pStyle w:val="40"/>
                    <w:bidi w:val="0"/>
                    <w:rPr>
                      <w:lang w:val="en-US" w:eastAsia="zh-CN"/>
                    </w:rPr>
                  </w:pPr>
                  <w:r>
                    <w:rPr>
                      <w:rFonts w:hint="eastAsia"/>
                      <w:lang w:val="en-US" w:eastAsia="zh-CN"/>
                    </w:rPr>
                    <w:t>30</w:t>
                  </w:r>
                </w:p>
              </w:tc>
              <w:tc>
                <w:tcPr>
                  <w:tcW w:w="842" w:type="dxa"/>
                  <w:noWrap w:val="0"/>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730" w:type="pct"/>
                  <w:vMerge w:val="continue"/>
                  <w:noWrap w:val="0"/>
                  <w:vAlign w:val="center"/>
                </w:tcPr>
                <w:p>
                  <w:pPr>
                    <w:pStyle w:val="40"/>
                    <w:bidi w:val="0"/>
                    <w:rPr>
                      <w:lang w:val="en-US" w:eastAsia="zh-CN"/>
                    </w:rPr>
                  </w:pPr>
                </w:p>
              </w:tc>
              <w:tc>
                <w:tcPr>
                  <w:tcW w:w="692" w:type="pct"/>
                  <w:noWrap w:val="0"/>
                  <w:vAlign w:val="center"/>
                </w:tcPr>
                <w:p>
                  <w:pPr>
                    <w:pStyle w:val="40"/>
                    <w:bidi w:val="0"/>
                    <w:rPr>
                      <w:lang w:val="en-US" w:eastAsia="zh-CN"/>
                    </w:rPr>
                  </w:pPr>
                  <w:r>
                    <w:rPr>
                      <w:lang w:val="en-US" w:eastAsia="zh-CN"/>
                    </w:rPr>
                    <w:t>/</w:t>
                  </w:r>
                </w:p>
              </w:tc>
              <w:tc>
                <w:tcPr>
                  <w:tcW w:w="1378" w:type="pct"/>
                  <w:vMerge w:val="continue"/>
                  <w:noWrap w:val="0"/>
                  <w:vAlign w:val="center"/>
                </w:tcPr>
                <w:p>
                  <w:pPr>
                    <w:pStyle w:val="40"/>
                    <w:bidi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494" w:type="pct"/>
                  <w:noWrap w:val="0"/>
                  <w:vAlign w:val="center"/>
                </w:tcPr>
                <w:p>
                  <w:pPr>
                    <w:pStyle w:val="40"/>
                    <w:bidi w:val="0"/>
                    <w:rPr>
                      <w:rFonts w:hint="eastAsia"/>
                      <w:lang w:val="en-US" w:eastAsia="zh-CN"/>
                    </w:rPr>
                  </w:pPr>
                  <w:r>
                    <w:rPr>
                      <w:rFonts w:hint="eastAsia"/>
                      <w:lang w:val="en-US" w:eastAsia="zh-CN"/>
                    </w:rPr>
                    <w:t>动植物油</w:t>
                  </w:r>
                </w:p>
              </w:tc>
              <w:tc>
                <w:tcPr>
                  <w:tcW w:w="417" w:type="pct"/>
                  <w:vMerge w:val="continue"/>
                  <w:noWrap w:val="0"/>
                  <w:vAlign w:val="center"/>
                </w:tcPr>
                <w:p>
                  <w:pPr>
                    <w:pStyle w:val="40"/>
                    <w:bidi w:val="0"/>
                    <w:rPr>
                      <w:lang w:val="en-US" w:eastAsia="zh-CN"/>
                    </w:rPr>
                  </w:pPr>
                </w:p>
              </w:tc>
              <w:tc>
                <w:tcPr>
                  <w:tcW w:w="741" w:type="pct"/>
                  <w:noWrap w:val="0"/>
                  <w:vAlign w:val="center"/>
                </w:tcPr>
                <w:p>
                  <w:pPr>
                    <w:pStyle w:val="40"/>
                    <w:bidi w:val="0"/>
                    <w:rPr>
                      <w:rFonts w:hint="default"/>
                      <w:lang w:val="en-US" w:eastAsia="zh-CN"/>
                    </w:rPr>
                  </w:pPr>
                  <w:r>
                    <w:rPr>
                      <w:rFonts w:hint="eastAsia"/>
                      <w:lang w:val="en-US" w:eastAsia="zh-CN"/>
                    </w:rPr>
                    <w:t>100</w:t>
                  </w:r>
                </w:p>
              </w:tc>
              <w:tc>
                <w:tcPr>
                  <w:tcW w:w="842" w:type="dxa"/>
                  <w:noWrap w:val="0"/>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730" w:type="pct"/>
                  <w:vMerge w:val="continue"/>
                  <w:noWrap w:val="0"/>
                  <w:vAlign w:val="center"/>
                </w:tcPr>
                <w:p>
                  <w:pPr>
                    <w:pStyle w:val="40"/>
                    <w:bidi w:val="0"/>
                    <w:rPr>
                      <w:lang w:val="en-US" w:eastAsia="zh-CN"/>
                    </w:rPr>
                  </w:pPr>
                </w:p>
              </w:tc>
              <w:tc>
                <w:tcPr>
                  <w:tcW w:w="692" w:type="pct"/>
                  <w:noWrap w:val="0"/>
                  <w:vAlign w:val="center"/>
                </w:tcPr>
                <w:p>
                  <w:pPr>
                    <w:pStyle w:val="40"/>
                    <w:bidi w:val="0"/>
                    <w:rPr>
                      <w:rFonts w:hint="default"/>
                      <w:lang w:val="en-US" w:eastAsia="zh-CN"/>
                    </w:rPr>
                  </w:pPr>
                  <w:r>
                    <w:rPr>
                      <w:rFonts w:hint="eastAsia"/>
                      <w:lang w:val="en-US" w:eastAsia="zh-CN"/>
                    </w:rPr>
                    <w:t>100</w:t>
                  </w:r>
                </w:p>
              </w:tc>
              <w:tc>
                <w:tcPr>
                  <w:tcW w:w="1378" w:type="pct"/>
                  <w:vMerge w:val="continue"/>
                  <w:noWrap w:val="0"/>
                  <w:vAlign w:val="center"/>
                </w:tcPr>
                <w:p>
                  <w:pPr>
                    <w:pStyle w:val="40"/>
                    <w:bidi w:val="0"/>
                    <w:rPr>
                      <w:lang w:val="en-US" w:eastAsia="zh-CN"/>
                    </w:rPr>
                  </w:pPr>
                </w:p>
              </w:tc>
            </w:tr>
          </w:tbl>
          <w:p>
            <w:pPr>
              <w:pStyle w:val="2"/>
              <w:bidi w:val="0"/>
              <w:rPr>
                <w:rFonts w:hint="default"/>
                <w:lang w:val="en-US" w:eastAsia="zh-CN"/>
              </w:rPr>
            </w:pPr>
            <w:r>
              <w:rPr>
                <w:rFonts w:hint="default"/>
                <w:lang w:val="en-US" w:eastAsia="zh-CN"/>
              </w:rPr>
              <w:t>2.2废水污染防治措施可行性</w:t>
            </w:r>
          </w:p>
          <w:p>
            <w:pPr>
              <w:pStyle w:val="8"/>
              <w:keepNext w:val="0"/>
              <w:keepLines w:val="0"/>
              <w:pageBreakBefore w:val="0"/>
              <w:widowControl/>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生活污水经化粪池预处理后拉运至若羌县城乡污水处理厂进行集中处理。</w:t>
            </w:r>
          </w:p>
          <w:p>
            <w:pPr>
              <w:pStyle w:val="8"/>
              <w:keepNext w:val="0"/>
              <w:keepLines w:val="0"/>
              <w:pageBreakBefore w:val="0"/>
              <w:widowControl/>
              <w:kinsoku/>
              <w:wordWrap/>
              <w:overflowPunct/>
              <w:topLinePunct w:val="0"/>
              <w:autoSpaceDE/>
              <w:autoSpaceDN/>
              <w:bidi w:val="0"/>
              <w:adjustRightInd/>
              <w:snapToGrid w:val="0"/>
              <w:textAlignment w:val="auto"/>
              <w:rPr>
                <w:rFonts w:hint="eastAsia"/>
                <w:lang w:val="en-US" w:eastAsia="zh-CN"/>
              </w:rPr>
            </w:pPr>
            <w:r>
              <w:rPr>
                <w:rFonts w:hint="eastAsia"/>
                <w:lang w:val="en-US" w:eastAsia="zh-CN"/>
              </w:rPr>
              <w:t>若羌县城乡污水处理厂位于若羌县县城城北7.7公里（地理坐标：</w:t>
            </w:r>
            <w:r>
              <w:rPr>
                <w:rFonts w:hint="default" w:ascii="Times New Roman" w:hAnsi="Times New Roman" w:cs="Times New Roman"/>
                <w:lang w:val="en-US" w:eastAsia="zh-CN"/>
              </w:rPr>
              <w:t>E：88°10′19.33″，N：39°5′44.34″</w:t>
            </w:r>
            <w:r>
              <w:rPr>
                <w:rFonts w:hint="eastAsia"/>
                <w:lang w:val="en-US" w:eastAsia="zh-CN"/>
              </w:rPr>
              <w:t>，本项目区与若羌县城乡污水处理厂相距50km），处理能力为4000m</w:t>
            </w:r>
            <w:r>
              <w:rPr>
                <w:rFonts w:hint="eastAsia"/>
                <w:vertAlign w:val="superscript"/>
                <w:lang w:val="en-US" w:eastAsia="zh-CN"/>
              </w:rPr>
              <w:t>3</w:t>
            </w:r>
            <w:r>
              <w:rPr>
                <w:rFonts w:hint="eastAsia"/>
                <w:lang w:val="en-US" w:eastAsia="zh-CN"/>
              </w:rPr>
              <w:t>/d，污水处理工艺为：“粗格栅-曝气沉砂池-水量调节池-预混池-厌氧池-兼氧池好氧池-二沉池-滤布过滤器-紫外线消毒-水质监测”，经处理后的出水水质可达到《城镇污水处理厂污染物排放标准》(GB18918-2002)中的一级A标准要求，处理后尾水用于污水处理厂周边防护林灌溉。此污水处理厂于2017年5月28日取得巴州环境保护局（现巴州生态环境局）《关于若羌县城乡污水处理厂提升改造EPC项目环境影响报告表的批复》（巴环评价函〔2017〕144号），2018年5月14日通过了项目竣工环境保护验收工作，备案编号为巴环评价验备〔2018〕15号。</w:t>
            </w:r>
          </w:p>
          <w:p>
            <w:pPr>
              <w:pStyle w:val="8"/>
              <w:keepNext w:val="0"/>
              <w:keepLines w:val="0"/>
              <w:pageBreakBefore w:val="0"/>
              <w:widowControl/>
              <w:kinsoku/>
              <w:wordWrap/>
              <w:overflowPunct/>
              <w:topLinePunct w:val="0"/>
              <w:autoSpaceDE/>
              <w:autoSpaceDN/>
              <w:bidi w:val="0"/>
              <w:adjustRightInd/>
              <w:snapToGrid w:val="0"/>
              <w:textAlignment w:val="auto"/>
              <w:rPr>
                <w:rFonts w:hint="default"/>
                <w:lang w:val="en-US" w:eastAsia="zh-CN"/>
              </w:rPr>
            </w:pPr>
            <w:r>
              <w:rPr>
                <w:rFonts w:hint="eastAsia"/>
                <w:lang w:val="en-US" w:eastAsia="zh-CN"/>
              </w:rPr>
              <w:t>综上，本项目废水处理措施可行</w:t>
            </w:r>
            <w:r>
              <w:rPr>
                <w:rFonts w:hint="default"/>
                <w:lang w:val="en-US" w:eastAsia="zh-CN"/>
              </w:rPr>
              <w:t>。</w:t>
            </w:r>
          </w:p>
          <w:p>
            <w:pPr>
              <w:pStyle w:val="2"/>
              <w:bidi w:val="0"/>
              <w:rPr>
                <w:rFonts w:hint="eastAsia"/>
                <w:lang w:val="en-US" w:eastAsia="zh-CN"/>
              </w:rPr>
            </w:pPr>
            <w:r>
              <w:rPr>
                <w:rFonts w:hint="eastAsia"/>
                <w:lang w:val="en-US" w:eastAsia="zh-CN"/>
              </w:rPr>
              <w:t>2.3废水排放口基本情况</w:t>
            </w:r>
          </w:p>
          <w:p>
            <w:pPr>
              <w:pStyle w:val="42"/>
              <w:bidi w:val="0"/>
              <w:rPr>
                <w:rFonts w:hint="eastAsia"/>
                <w:lang w:val="en-US" w:eastAsia="zh-CN"/>
              </w:rPr>
            </w:pPr>
            <w:r>
              <w:rPr>
                <w:rFonts w:hint="eastAsia"/>
                <w:lang w:val="en-US" w:eastAsia="zh-CN"/>
              </w:rPr>
              <w:t>表4-7    废水排放口基本信息</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953"/>
              <w:gridCol w:w="1754"/>
              <w:gridCol w:w="1085"/>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732" w:type="pct"/>
                  <w:vMerge w:val="restart"/>
                  <w:vAlign w:val="center"/>
                </w:tcPr>
                <w:p>
                  <w:pPr>
                    <w:pStyle w:val="40"/>
                    <w:bidi w:val="0"/>
                    <w:rPr>
                      <w:rFonts w:hint="eastAsia"/>
                      <w:lang w:val="en-US" w:eastAsia="zh-CN"/>
                    </w:rPr>
                  </w:pPr>
                  <w:r>
                    <w:rPr>
                      <w:rFonts w:hint="eastAsia"/>
                      <w:lang w:val="en-US" w:eastAsia="zh-CN"/>
                    </w:rPr>
                    <w:t>废水类别</w:t>
                  </w:r>
                </w:p>
              </w:tc>
              <w:tc>
                <w:tcPr>
                  <w:tcW w:w="611" w:type="pct"/>
                  <w:vMerge w:val="restart"/>
                  <w:vAlign w:val="center"/>
                </w:tcPr>
                <w:p>
                  <w:pPr>
                    <w:pStyle w:val="40"/>
                    <w:bidi w:val="0"/>
                    <w:rPr>
                      <w:rFonts w:hint="eastAsia"/>
                      <w:lang w:val="en-US" w:eastAsia="zh-CN"/>
                    </w:rPr>
                  </w:pPr>
                  <w:r>
                    <w:rPr>
                      <w:rFonts w:hint="eastAsia"/>
                      <w:lang w:val="en-US" w:eastAsia="zh-CN"/>
                    </w:rPr>
                    <w:t>排放口编号</w:t>
                  </w:r>
                </w:p>
              </w:tc>
              <w:tc>
                <w:tcPr>
                  <w:tcW w:w="1821" w:type="pct"/>
                  <w:gridSpan w:val="2"/>
                  <w:vAlign w:val="center"/>
                </w:tcPr>
                <w:p>
                  <w:pPr>
                    <w:pStyle w:val="40"/>
                    <w:bidi w:val="0"/>
                    <w:rPr>
                      <w:rFonts w:hint="eastAsia"/>
                      <w:lang w:val="en-US" w:eastAsia="zh-CN"/>
                    </w:rPr>
                  </w:pPr>
                  <w:r>
                    <w:rPr>
                      <w:rFonts w:hint="eastAsia"/>
                      <w:lang w:val="en-US" w:eastAsia="zh-CN"/>
                    </w:rPr>
                    <w:t>排放口基本信息</w:t>
                  </w:r>
                </w:p>
              </w:tc>
              <w:tc>
                <w:tcPr>
                  <w:tcW w:w="1834" w:type="pct"/>
                  <w:vMerge w:val="restart"/>
                  <w:vAlign w:val="center"/>
                </w:tcPr>
                <w:p>
                  <w:pPr>
                    <w:pStyle w:val="40"/>
                    <w:bidi w:val="0"/>
                    <w:rPr>
                      <w:rFonts w:hint="eastAsia"/>
                      <w:lang w:val="en-US" w:eastAsia="zh-CN"/>
                    </w:rPr>
                  </w:pPr>
                  <w:r>
                    <w:rPr>
                      <w:rFonts w:hint="eastAsia"/>
                      <w:lang w:val="en-US" w:eastAsia="zh-CN"/>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32" w:type="pct"/>
                  <w:vMerge w:val="continue"/>
                  <w:vAlign w:val="center"/>
                </w:tcPr>
                <w:p>
                  <w:pPr>
                    <w:pStyle w:val="40"/>
                    <w:bidi w:val="0"/>
                    <w:rPr>
                      <w:rFonts w:hint="eastAsia"/>
                      <w:lang w:val="en-US" w:eastAsia="zh-CN"/>
                    </w:rPr>
                  </w:pPr>
                </w:p>
              </w:tc>
              <w:tc>
                <w:tcPr>
                  <w:tcW w:w="611" w:type="pct"/>
                  <w:vMerge w:val="continue"/>
                  <w:vAlign w:val="center"/>
                </w:tcPr>
                <w:p>
                  <w:pPr>
                    <w:pStyle w:val="40"/>
                    <w:bidi w:val="0"/>
                    <w:rPr>
                      <w:rFonts w:hint="eastAsia"/>
                      <w:lang w:val="en-US" w:eastAsia="zh-CN"/>
                    </w:rPr>
                  </w:pPr>
                </w:p>
              </w:tc>
              <w:tc>
                <w:tcPr>
                  <w:tcW w:w="1125" w:type="pct"/>
                  <w:vAlign w:val="center"/>
                </w:tcPr>
                <w:p>
                  <w:pPr>
                    <w:pStyle w:val="40"/>
                    <w:bidi w:val="0"/>
                    <w:rPr>
                      <w:rFonts w:hint="eastAsia"/>
                      <w:lang w:val="en-US" w:eastAsia="zh-CN"/>
                    </w:rPr>
                  </w:pPr>
                  <w:r>
                    <w:rPr>
                      <w:rFonts w:hint="eastAsia"/>
                      <w:lang w:val="en-US" w:eastAsia="zh-CN"/>
                    </w:rPr>
                    <w:t>坐标</w:t>
                  </w:r>
                </w:p>
              </w:tc>
              <w:tc>
                <w:tcPr>
                  <w:tcW w:w="696" w:type="pct"/>
                  <w:vAlign w:val="center"/>
                </w:tcPr>
                <w:p>
                  <w:pPr>
                    <w:pStyle w:val="40"/>
                    <w:bidi w:val="0"/>
                    <w:rPr>
                      <w:rFonts w:hint="eastAsia"/>
                      <w:lang w:val="en-US" w:eastAsia="zh-CN"/>
                    </w:rPr>
                  </w:pPr>
                  <w:r>
                    <w:rPr>
                      <w:rFonts w:hint="eastAsia"/>
                      <w:lang w:val="en-US" w:eastAsia="zh-CN"/>
                    </w:rPr>
                    <w:t>类型</w:t>
                  </w:r>
                </w:p>
              </w:tc>
              <w:tc>
                <w:tcPr>
                  <w:tcW w:w="1834" w:type="pct"/>
                  <w:vMerge w:val="continue"/>
                  <w:vAlign w:val="center"/>
                </w:tcPr>
                <w:p>
                  <w:pPr>
                    <w:pStyle w:val="4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 w:type="pct"/>
                  <w:vAlign w:val="center"/>
                </w:tcPr>
                <w:p>
                  <w:pPr>
                    <w:pStyle w:val="40"/>
                    <w:bidi w:val="0"/>
                    <w:rPr>
                      <w:rFonts w:hint="eastAsia"/>
                      <w:lang w:val="en-US" w:eastAsia="zh-CN"/>
                    </w:rPr>
                  </w:pPr>
                  <w:r>
                    <w:rPr>
                      <w:rFonts w:hint="eastAsia"/>
                      <w:lang w:val="en-US" w:eastAsia="zh-CN"/>
                    </w:rPr>
                    <w:t>生活污水</w:t>
                  </w:r>
                </w:p>
              </w:tc>
              <w:tc>
                <w:tcPr>
                  <w:tcW w:w="611" w:type="pct"/>
                  <w:vAlign w:val="center"/>
                </w:tcPr>
                <w:p>
                  <w:pPr>
                    <w:pStyle w:val="40"/>
                    <w:bidi w:val="0"/>
                    <w:rPr>
                      <w:rFonts w:hint="eastAsia"/>
                      <w:lang w:val="en-US" w:eastAsia="zh-CN"/>
                    </w:rPr>
                  </w:pPr>
                  <w:r>
                    <w:rPr>
                      <w:rFonts w:hint="eastAsia"/>
                      <w:lang w:val="en-US" w:eastAsia="zh-CN"/>
                    </w:rPr>
                    <w:t>DW001</w:t>
                  </w:r>
                </w:p>
              </w:tc>
              <w:tc>
                <w:tcPr>
                  <w:tcW w:w="1125" w:type="pct"/>
                  <w:vAlign w:val="center"/>
                </w:tcPr>
                <w:p>
                  <w:pPr>
                    <w:pStyle w:val="40"/>
                    <w:bidi w:val="0"/>
                    <w:rPr>
                      <w:rFonts w:hint="default" w:ascii="Times New Roman" w:hAnsi="Times New Roman" w:cs="Times New Roman"/>
                      <w:lang w:val="en-US" w:eastAsia="zh-CN"/>
                    </w:rPr>
                  </w:pPr>
                  <w:r>
                    <w:rPr>
                      <w:rFonts w:hint="default" w:ascii="Times New Roman" w:hAnsi="Times New Roman" w:cs="Times New Roman"/>
                      <w:lang w:val="en-US" w:eastAsia="zh-CN"/>
                    </w:rPr>
                    <w:t>E:88°14′32.773″,N:39°0′59.720″</w:t>
                  </w:r>
                </w:p>
              </w:tc>
              <w:tc>
                <w:tcPr>
                  <w:tcW w:w="696" w:type="pct"/>
                  <w:vAlign w:val="center"/>
                </w:tcPr>
                <w:p>
                  <w:pPr>
                    <w:pStyle w:val="40"/>
                    <w:bidi w:val="0"/>
                    <w:rPr>
                      <w:rFonts w:hint="eastAsia"/>
                      <w:lang w:val="en-US" w:eastAsia="zh-CN"/>
                    </w:rPr>
                  </w:pPr>
                  <w:r>
                    <w:rPr>
                      <w:rFonts w:hint="eastAsia"/>
                      <w:lang w:val="en-US" w:eastAsia="zh-CN"/>
                    </w:rPr>
                    <w:t>一般排放口</w:t>
                  </w:r>
                </w:p>
              </w:tc>
              <w:tc>
                <w:tcPr>
                  <w:tcW w:w="1834" w:type="pct"/>
                  <w:vAlign w:val="center"/>
                </w:tcPr>
                <w:p>
                  <w:pPr>
                    <w:pStyle w:val="40"/>
                    <w:bidi w:val="0"/>
                    <w:rPr>
                      <w:rFonts w:hint="eastAsia"/>
                      <w:lang w:val="en-US" w:eastAsia="zh-CN"/>
                    </w:rPr>
                  </w:pPr>
                  <w:r>
                    <w:rPr>
                      <w:rFonts w:hint="eastAsia"/>
                      <w:lang w:val="en-US" w:eastAsia="zh-CN"/>
                    </w:rPr>
                    <w:t>经化粪池预处理后拉运至若羌县城乡污水处理厂进行集中处理</w:t>
                  </w:r>
                </w:p>
              </w:tc>
            </w:tr>
          </w:tbl>
          <w:p>
            <w:pPr>
              <w:pStyle w:val="2"/>
              <w:bidi w:val="0"/>
              <w:rPr>
                <w:rFonts w:hint="eastAsia"/>
                <w:highlight w:val="none"/>
                <w:lang w:val="en-US" w:eastAsia="zh-CN"/>
              </w:rPr>
            </w:pPr>
            <w:r>
              <w:rPr>
                <w:rFonts w:hint="eastAsia"/>
                <w:highlight w:val="none"/>
                <w:lang w:val="en-US" w:eastAsia="zh-CN"/>
              </w:rPr>
              <w:t>2.4监测要求</w:t>
            </w:r>
          </w:p>
          <w:p>
            <w:pPr>
              <w:pStyle w:val="44"/>
              <w:bidi w:val="0"/>
              <w:rPr>
                <w:rFonts w:hint="default"/>
                <w:lang w:val="en-US" w:eastAsia="zh-CN"/>
              </w:rPr>
            </w:pPr>
            <w:r>
              <w:rPr>
                <w:rFonts w:hint="default"/>
                <w:lang w:val="en-US" w:eastAsia="zh-CN"/>
              </w:rPr>
              <w:t xml:space="preserve">参照《排污单位自行监测技术指南 总则》（HJ819-2017）、《排污单位自行监测技术指南 水泥工业》（HJ 1086-2020）以及《排污许可证申请与核发技术规范 </w:t>
            </w:r>
            <w:r>
              <w:rPr>
                <w:rFonts w:hint="eastAsia"/>
                <w:lang w:val="en-US" w:eastAsia="zh-CN"/>
              </w:rPr>
              <w:t>水泥工业</w:t>
            </w:r>
            <w:r>
              <w:rPr>
                <w:rFonts w:hint="default"/>
                <w:lang w:val="en-US" w:eastAsia="zh-CN"/>
              </w:rPr>
              <w:t>》（HJ</w:t>
            </w:r>
            <w:r>
              <w:rPr>
                <w:rFonts w:hint="eastAsia"/>
                <w:lang w:val="en-US" w:eastAsia="zh-CN"/>
              </w:rPr>
              <w:t>847-2017</w:t>
            </w:r>
            <w:r>
              <w:rPr>
                <w:rFonts w:hint="default"/>
                <w:lang w:val="en-US" w:eastAsia="zh-CN"/>
              </w:rPr>
              <w:t>）的相关要求，本项目监测计划详见下表。</w:t>
            </w:r>
          </w:p>
          <w:p>
            <w:pPr>
              <w:pStyle w:val="56"/>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表4-8    废水污染物监测计划一览表</w:t>
            </w:r>
          </w:p>
          <w:tbl>
            <w:tblPr>
              <w:tblStyle w:val="2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634"/>
              <w:gridCol w:w="1489"/>
              <w:gridCol w:w="969"/>
              <w:gridCol w:w="1200"/>
              <w:gridCol w:w="1073"/>
              <w:gridCol w:w="820"/>
              <w:gridCol w:w="521"/>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2" w:type="pct"/>
                  <w:vMerge w:val="restar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废水类别</w:t>
                  </w:r>
                </w:p>
              </w:tc>
              <w:tc>
                <w:tcPr>
                  <w:tcW w:w="407" w:type="pct"/>
                  <w:vMerge w:val="restar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排放口编号</w:t>
                  </w:r>
                </w:p>
              </w:tc>
              <w:tc>
                <w:tcPr>
                  <w:tcW w:w="1578" w:type="pct"/>
                  <w:gridSpan w:val="2"/>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排放口基本信息</w:t>
                  </w:r>
                </w:p>
              </w:tc>
              <w:tc>
                <w:tcPr>
                  <w:tcW w:w="770"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排放去向</w:t>
                  </w:r>
                </w:p>
              </w:tc>
              <w:tc>
                <w:tcPr>
                  <w:tcW w:w="689"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污染物种类</w:t>
                  </w:r>
                </w:p>
              </w:tc>
              <w:tc>
                <w:tcPr>
                  <w:tcW w:w="526"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监测点位</w:t>
                  </w:r>
                </w:p>
              </w:tc>
              <w:tc>
                <w:tcPr>
                  <w:tcW w:w="605" w:type="pct"/>
                  <w:gridSpan w:val="2"/>
                  <w:vAlign w:val="center"/>
                </w:tcPr>
                <w:p>
                  <w:pPr>
                    <w:pStyle w:val="5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最低监测频次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422" w:type="pct"/>
                  <w:vMerge w:val="continue"/>
                  <w:vAlign w:val="center"/>
                </w:tcPr>
                <w:p>
                  <w:pPr>
                    <w:pStyle w:val="57"/>
                    <w:keepNext w:val="0"/>
                    <w:keepLines w:val="0"/>
                    <w:suppressLineNumbers w:val="0"/>
                    <w:bidi w:val="0"/>
                    <w:spacing w:before="0" w:beforeAutospacing="0" w:after="0" w:afterAutospacing="0"/>
                    <w:ind w:left="0" w:right="0"/>
                    <w:rPr>
                      <w:rFonts w:hint="default"/>
                      <w:lang w:val="en-US" w:eastAsia="zh-CN"/>
                    </w:rPr>
                  </w:pPr>
                </w:p>
              </w:tc>
              <w:tc>
                <w:tcPr>
                  <w:tcW w:w="407" w:type="pct"/>
                  <w:vMerge w:val="continue"/>
                  <w:vAlign w:val="center"/>
                </w:tcPr>
                <w:p>
                  <w:pPr>
                    <w:pStyle w:val="57"/>
                    <w:keepNext w:val="0"/>
                    <w:keepLines w:val="0"/>
                    <w:suppressLineNumbers w:val="0"/>
                    <w:bidi w:val="0"/>
                    <w:spacing w:before="0" w:beforeAutospacing="0" w:after="0" w:afterAutospacing="0"/>
                    <w:ind w:left="0" w:right="0"/>
                    <w:rPr>
                      <w:rFonts w:hint="default"/>
                      <w:lang w:val="en-US" w:eastAsia="zh-CN"/>
                    </w:rPr>
                  </w:pPr>
                </w:p>
              </w:tc>
              <w:tc>
                <w:tcPr>
                  <w:tcW w:w="956"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坐标</w:t>
                  </w:r>
                </w:p>
              </w:tc>
              <w:tc>
                <w:tcPr>
                  <w:tcW w:w="622"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类型</w:t>
                  </w:r>
                </w:p>
              </w:tc>
              <w:tc>
                <w:tcPr>
                  <w:tcW w:w="770" w:type="pct"/>
                  <w:vMerge w:val="restar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生活污水经化粪池预处理后拉运至若羌县城乡污水处理厂进行集中处理</w:t>
                  </w:r>
                </w:p>
              </w:tc>
              <w:tc>
                <w:tcPr>
                  <w:tcW w:w="689" w:type="pct"/>
                  <w:vMerge w:val="restar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pH值、化学需氧量、氨氮、悬浮物、五日生化需氧量、总磷</w:t>
                  </w:r>
                </w:p>
              </w:tc>
              <w:tc>
                <w:tcPr>
                  <w:tcW w:w="526" w:type="pct"/>
                  <w:vMerge w:val="restar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生活污水单独排放口</w:t>
                  </w:r>
                </w:p>
              </w:tc>
              <w:tc>
                <w:tcPr>
                  <w:tcW w:w="334"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直接排放</w:t>
                  </w:r>
                </w:p>
              </w:tc>
              <w:tc>
                <w:tcPr>
                  <w:tcW w:w="270"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间接排放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422"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生活污水</w:t>
                  </w:r>
                </w:p>
              </w:tc>
              <w:tc>
                <w:tcPr>
                  <w:tcW w:w="407"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DW001</w:t>
                  </w:r>
                </w:p>
              </w:tc>
              <w:tc>
                <w:tcPr>
                  <w:tcW w:w="956"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E:88°44′50.357″,N:38°59′20.168″</w:t>
                  </w:r>
                </w:p>
              </w:tc>
              <w:tc>
                <w:tcPr>
                  <w:tcW w:w="622"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一般排放口</w:t>
                  </w:r>
                </w:p>
              </w:tc>
              <w:tc>
                <w:tcPr>
                  <w:tcW w:w="770" w:type="pct"/>
                  <w:vMerge w:val="continue"/>
                  <w:vAlign w:val="center"/>
                </w:tcPr>
                <w:p>
                  <w:pPr>
                    <w:pStyle w:val="57"/>
                    <w:keepNext w:val="0"/>
                    <w:keepLines w:val="0"/>
                    <w:suppressLineNumbers w:val="0"/>
                    <w:bidi w:val="0"/>
                    <w:spacing w:before="0" w:beforeAutospacing="0" w:after="0" w:afterAutospacing="0"/>
                    <w:ind w:left="0" w:right="0"/>
                    <w:rPr>
                      <w:rFonts w:hint="default"/>
                      <w:lang w:val="en-US" w:eastAsia="zh-CN"/>
                    </w:rPr>
                  </w:pPr>
                </w:p>
              </w:tc>
              <w:tc>
                <w:tcPr>
                  <w:tcW w:w="689" w:type="pct"/>
                  <w:vMerge w:val="continue"/>
                  <w:vAlign w:val="center"/>
                </w:tcPr>
                <w:p>
                  <w:pPr>
                    <w:pStyle w:val="57"/>
                    <w:keepNext w:val="0"/>
                    <w:keepLines w:val="0"/>
                    <w:suppressLineNumbers w:val="0"/>
                    <w:bidi w:val="0"/>
                    <w:spacing w:before="0" w:beforeAutospacing="0" w:after="0" w:afterAutospacing="0"/>
                    <w:ind w:left="0" w:right="0"/>
                    <w:rPr>
                      <w:rFonts w:hint="default"/>
                      <w:lang w:val="en-US" w:eastAsia="zh-CN"/>
                    </w:rPr>
                  </w:pPr>
                </w:p>
              </w:tc>
              <w:tc>
                <w:tcPr>
                  <w:tcW w:w="526" w:type="pct"/>
                  <w:vMerge w:val="continue"/>
                  <w:vAlign w:val="center"/>
                </w:tcPr>
                <w:p>
                  <w:pPr>
                    <w:pStyle w:val="57"/>
                    <w:keepNext w:val="0"/>
                    <w:keepLines w:val="0"/>
                    <w:suppressLineNumbers w:val="0"/>
                    <w:bidi w:val="0"/>
                    <w:spacing w:before="0" w:beforeAutospacing="0" w:after="0" w:afterAutospacing="0"/>
                    <w:ind w:left="0" w:right="0"/>
                    <w:rPr>
                      <w:rFonts w:hint="default"/>
                      <w:lang w:val="en-US" w:eastAsia="zh-CN"/>
                    </w:rPr>
                  </w:pPr>
                </w:p>
              </w:tc>
              <w:tc>
                <w:tcPr>
                  <w:tcW w:w="334"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半年</w:t>
                  </w:r>
                </w:p>
              </w:tc>
              <w:tc>
                <w:tcPr>
                  <w:tcW w:w="270" w:type="pct"/>
                  <w:vAlign w:val="center"/>
                </w:tcPr>
                <w:p>
                  <w:pPr>
                    <w:pStyle w:val="5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r>
          </w:tbl>
          <w:p>
            <w:pPr>
              <w:pStyle w:val="2"/>
              <w:bidi w:val="0"/>
              <w:rPr>
                <w:rFonts w:hint="default"/>
                <w:lang w:val="en-US" w:eastAsia="zh-CN"/>
              </w:rPr>
            </w:pPr>
            <w:r>
              <w:rPr>
                <w:rFonts w:hint="default"/>
                <w:lang w:val="en-US" w:eastAsia="zh-CN"/>
              </w:rPr>
              <w:t>3.声环境影响和保护措施</w:t>
            </w:r>
          </w:p>
          <w:p>
            <w:pPr>
              <w:pStyle w:val="2"/>
              <w:bidi w:val="0"/>
              <w:rPr>
                <w:rFonts w:hint="default"/>
                <w:lang w:val="en-US" w:eastAsia="zh-CN"/>
              </w:rPr>
            </w:pPr>
            <w:r>
              <w:rPr>
                <w:rFonts w:hint="default"/>
                <w:lang w:val="en-US" w:eastAsia="zh-CN"/>
              </w:rPr>
              <w:t>3.1预测模型</w:t>
            </w:r>
          </w:p>
          <w:p>
            <w:pPr>
              <w:pStyle w:val="8"/>
              <w:bidi w:val="0"/>
              <w:rPr>
                <w:rFonts w:hint="default"/>
                <w:lang w:val="en-US" w:eastAsia="zh-CN"/>
              </w:rPr>
            </w:pPr>
            <w:r>
              <w:rPr>
                <w:rFonts w:hint="default"/>
                <w:lang w:val="en-US" w:eastAsia="zh-CN"/>
              </w:rPr>
              <w:t>根据项目建设内容及《环境影响评价技术导则 声环境》（HJ2.4-2021）的要求，项目环评采用的模型为《环境影响评价技术导则 声环境》（HJ2.4.2021）附录A（规范性附录）户外声传播的衰减和附录B（规范性附录）中</w:t>
            </w:r>
            <w:r>
              <w:rPr>
                <w:rFonts w:hint="eastAsia"/>
                <w:lang w:val="en-US" w:eastAsia="zh-CN"/>
              </w:rPr>
              <w:t>“</w:t>
            </w:r>
            <w:r>
              <w:rPr>
                <w:rFonts w:hint="default"/>
                <w:lang w:val="en-US" w:eastAsia="zh-CN"/>
              </w:rPr>
              <w:t>B.1工业噪声预测计算模型</w:t>
            </w:r>
            <w:r>
              <w:rPr>
                <w:rFonts w:hint="eastAsia"/>
                <w:lang w:val="en-US" w:eastAsia="zh-CN"/>
              </w:rPr>
              <w:t>”</w:t>
            </w:r>
            <w:r>
              <w:rPr>
                <w:rFonts w:hint="default"/>
                <w:lang w:val="en-US" w:eastAsia="zh-CN"/>
              </w:rPr>
              <w:t>。</w:t>
            </w:r>
          </w:p>
          <w:p>
            <w:pPr>
              <w:pStyle w:val="2"/>
              <w:bidi w:val="0"/>
              <w:rPr>
                <w:rFonts w:hint="default"/>
                <w:lang w:val="en-US" w:eastAsia="zh-CN"/>
              </w:rPr>
            </w:pPr>
            <w:r>
              <w:rPr>
                <w:rFonts w:hint="default"/>
                <w:lang w:val="en-US" w:eastAsia="zh-CN"/>
              </w:rPr>
              <w:t>3.2预测参数</w:t>
            </w:r>
          </w:p>
          <w:p>
            <w:pPr>
              <w:pStyle w:val="8"/>
              <w:bidi w:val="0"/>
              <w:rPr>
                <w:rFonts w:hint="default"/>
                <w:lang w:val="en-US" w:eastAsia="zh-CN"/>
              </w:rPr>
            </w:pPr>
            <w:r>
              <w:rPr>
                <w:rFonts w:hint="default"/>
                <w:lang w:val="en-US" w:eastAsia="zh-CN"/>
              </w:rPr>
              <w:t>噪声</w:t>
            </w:r>
            <w:r>
              <w:rPr>
                <w:rFonts w:hint="eastAsia"/>
                <w:lang w:val="en-US" w:eastAsia="zh-CN"/>
              </w:rPr>
              <w:t>源</w:t>
            </w:r>
            <w:r>
              <w:rPr>
                <w:rFonts w:hint="default"/>
                <w:lang w:val="en-US" w:eastAsia="zh-CN"/>
              </w:rPr>
              <w:t>主要</w:t>
            </w:r>
            <w:r>
              <w:rPr>
                <w:rFonts w:hint="eastAsia"/>
                <w:lang w:val="en-US" w:eastAsia="zh-CN"/>
              </w:rPr>
              <w:t>为</w:t>
            </w:r>
            <w:r>
              <w:rPr>
                <w:rFonts w:hint="default"/>
                <w:lang w:val="en-US" w:eastAsia="zh-CN"/>
              </w:rPr>
              <w:t>搅拌机、</w:t>
            </w:r>
            <w:r>
              <w:rPr>
                <w:rFonts w:hint="eastAsia"/>
                <w:lang w:val="en-US" w:eastAsia="zh-CN"/>
              </w:rPr>
              <w:t>泵车、皮卡车</w:t>
            </w:r>
            <w:r>
              <w:rPr>
                <w:rFonts w:hint="default"/>
                <w:lang w:val="en-US" w:eastAsia="zh-CN"/>
              </w:rPr>
              <w:t>等，噪声值一般</w:t>
            </w:r>
            <w:r>
              <w:rPr>
                <w:rFonts w:hint="default"/>
                <w:highlight w:val="none"/>
                <w:lang w:val="en-US" w:eastAsia="zh-CN"/>
              </w:rPr>
              <w:t>为</w:t>
            </w:r>
            <w:r>
              <w:rPr>
                <w:rFonts w:hint="eastAsia"/>
                <w:highlight w:val="none"/>
                <w:lang w:val="en-US" w:eastAsia="zh-CN"/>
              </w:rPr>
              <w:t>60</w:t>
            </w:r>
            <w:r>
              <w:rPr>
                <w:rFonts w:hint="default"/>
                <w:highlight w:val="none"/>
                <w:lang w:val="en-US" w:eastAsia="zh-CN"/>
              </w:rPr>
              <w:t>～</w:t>
            </w:r>
            <w:r>
              <w:rPr>
                <w:rFonts w:hint="eastAsia"/>
                <w:highlight w:val="none"/>
                <w:lang w:val="en-US" w:eastAsia="zh-CN"/>
              </w:rPr>
              <w:t>75</w:t>
            </w:r>
            <w:r>
              <w:rPr>
                <w:rFonts w:hint="default"/>
                <w:highlight w:val="none"/>
                <w:lang w:val="en-US" w:eastAsia="zh-CN"/>
              </w:rPr>
              <w:t>dB（A</w:t>
            </w:r>
            <w:r>
              <w:rPr>
                <w:rFonts w:hint="default"/>
                <w:lang w:val="en-US" w:eastAsia="zh-CN"/>
              </w:rPr>
              <w:t>）。设备正常运行过程中产生的噪声污染是各机械设备单台噪声值的叠加值，具体污染工序中生产设备直接噪声影响值分析及单台噪声值见下表。各生产设备噪声值详见下表。</w:t>
            </w:r>
          </w:p>
          <w:p>
            <w:pPr>
              <w:pStyle w:val="29"/>
              <w:bidi w:val="0"/>
              <w:rPr>
                <w:rFonts w:hint="default"/>
                <w:lang w:val="en-US" w:eastAsia="zh-CN"/>
              </w:rPr>
            </w:pPr>
            <w:r>
              <w:rPr>
                <w:rFonts w:hint="default"/>
                <w:lang w:val="en-US" w:eastAsia="zh-CN"/>
              </w:rPr>
              <w:t>表4-</w:t>
            </w:r>
            <w:r>
              <w:rPr>
                <w:rFonts w:hint="eastAsia"/>
                <w:lang w:val="en-US" w:eastAsia="zh-CN"/>
              </w:rPr>
              <w:t>9</w:t>
            </w:r>
            <w:r>
              <w:rPr>
                <w:rFonts w:hint="default"/>
                <w:lang w:val="en-US" w:eastAsia="zh-CN"/>
              </w:rPr>
              <w:t xml:space="preserve">    项目主要设备噪声源强（室外）</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4"/>
              <w:gridCol w:w="1054"/>
              <w:gridCol w:w="730"/>
              <w:gridCol w:w="755"/>
              <w:gridCol w:w="801"/>
              <w:gridCol w:w="1704"/>
              <w:gridCol w:w="1269"/>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420" w:type="pct"/>
                  <w:vMerge w:val="restart"/>
                  <w:shd w:val="clear" w:color="auto" w:fill="auto"/>
                  <w:vAlign w:val="center"/>
                </w:tcPr>
                <w:p>
                  <w:pPr>
                    <w:pStyle w:val="40"/>
                    <w:bidi w:val="0"/>
                  </w:pPr>
                  <w:r>
                    <w:t>序号</w:t>
                  </w:r>
                </w:p>
              </w:tc>
              <w:tc>
                <w:tcPr>
                  <w:tcW w:w="676" w:type="pct"/>
                  <w:vMerge w:val="restart"/>
                  <w:shd w:val="clear" w:color="auto" w:fill="auto"/>
                  <w:vAlign w:val="center"/>
                </w:tcPr>
                <w:p>
                  <w:pPr>
                    <w:pStyle w:val="40"/>
                    <w:bidi w:val="0"/>
                  </w:pPr>
                  <w:r>
                    <w:t>声源名称</w:t>
                  </w:r>
                </w:p>
              </w:tc>
              <w:tc>
                <w:tcPr>
                  <w:tcW w:w="1466" w:type="pct"/>
                  <w:gridSpan w:val="3"/>
                  <w:shd w:val="clear" w:color="auto" w:fill="auto"/>
                  <w:vAlign w:val="center"/>
                </w:tcPr>
                <w:p>
                  <w:pPr>
                    <w:pStyle w:val="40"/>
                    <w:bidi w:val="0"/>
                  </w:pPr>
                  <w:r>
                    <w:t>空间相对位置/m</w:t>
                  </w:r>
                </w:p>
              </w:tc>
              <w:tc>
                <w:tcPr>
                  <w:tcW w:w="1093" w:type="pct"/>
                  <w:shd w:val="clear" w:color="auto" w:fill="auto"/>
                  <w:vAlign w:val="center"/>
                </w:tcPr>
                <w:p>
                  <w:pPr>
                    <w:pStyle w:val="40"/>
                    <w:bidi w:val="0"/>
                    <w:rPr>
                      <w:lang w:eastAsia="zh-CN"/>
                    </w:rPr>
                  </w:pPr>
                  <w:r>
                    <w:rPr>
                      <w:lang w:eastAsia="zh-CN"/>
                    </w:rPr>
                    <w:t>声源源强</w:t>
                  </w:r>
                </w:p>
              </w:tc>
              <w:tc>
                <w:tcPr>
                  <w:tcW w:w="814" w:type="pct"/>
                  <w:vMerge w:val="restart"/>
                  <w:shd w:val="clear" w:color="auto" w:fill="auto"/>
                  <w:vAlign w:val="center"/>
                </w:tcPr>
                <w:p>
                  <w:pPr>
                    <w:pStyle w:val="40"/>
                    <w:bidi w:val="0"/>
                  </w:pPr>
                  <w:r>
                    <w:t>声源控制措施</w:t>
                  </w:r>
                </w:p>
              </w:tc>
              <w:tc>
                <w:tcPr>
                  <w:tcW w:w="529" w:type="pct"/>
                  <w:vMerge w:val="restart"/>
                  <w:shd w:val="clear" w:color="auto" w:fill="auto"/>
                  <w:vAlign w:val="center"/>
                </w:tcPr>
                <w:p>
                  <w:pPr>
                    <w:pStyle w:val="40"/>
                    <w:bidi w:val="0"/>
                  </w:pPr>
                  <w: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20" w:type="pct"/>
                  <w:vMerge w:val="continue"/>
                  <w:shd w:val="clear" w:color="auto" w:fill="auto"/>
                  <w:vAlign w:val="center"/>
                </w:tcPr>
                <w:p>
                  <w:pPr>
                    <w:pStyle w:val="40"/>
                    <w:bidi w:val="0"/>
                  </w:pPr>
                </w:p>
              </w:tc>
              <w:tc>
                <w:tcPr>
                  <w:tcW w:w="676" w:type="pct"/>
                  <w:vMerge w:val="continue"/>
                  <w:shd w:val="clear" w:color="auto" w:fill="auto"/>
                  <w:vAlign w:val="center"/>
                </w:tcPr>
                <w:p>
                  <w:pPr>
                    <w:pStyle w:val="40"/>
                    <w:bidi w:val="0"/>
                  </w:pPr>
                </w:p>
              </w:tc>
              <w:tc>
                <w:tcPr>
                  <w:tcW w:w="468" w:type="pct"/>
                  <w:shd w:val="clear" w:color="auto" w:fill="auto"/>
                  <w:vAlign w:val="center"/>
                </w:tcPr>
                <w:p>
                  <w:pPr>
                    <w:pStyle w:val="40"/>
                    <w:bidi w:val="0"/>
                  </w:pPr>
                  <w:r>
                    <w:t>X</w:t>
                  </w:r>
                </w:p>
              </w:tc>
              <w:tc>
                <w:tcPr>
                  <w:tcW w:w="484" w:type="pct"/>
                  <w:shd w:val="clear" w:color="auto" w:fill="auto"/>
                  <w:vAlign w:val="center"/>
                </w:tcPr>
                <w:p>
                  <w:pPr>
                    <w:pStyle w:val="40"/>
                    <w:bidi w:val="0"/>
                  </w:pPr>
                  <w:r>
                    <w:t>Y</w:t>
                  </w:r>
                </w:p>
              </w:tc>
              <w:tc>
                <w:tcPr>
                  <w:tcW w:w="513" w:type="pct"/>
                  <w:shd w:val="clear" w:color="auto" w:fill="auto"/>
                  <w:vAlign w:val="center"/>
                </w:tcPr>
                <w:p>
                  <w:pPr>
                    <w:pStyle w:val="40"/>
                    <w:bidi w:val="0"/>
                  </w:pPr>
                  <w:r>
                    <w:t>Z</w:t>
                  </w:r>
                </w:p>
              </w:tc>
              <w:tc>
                <w:tcPr>
                  <w:tcW w:w="1093" w:type="pct"/>
                  <w:shd w:val="clear" w:color="auto" w:fill="auto"/>
                  <w:vAlign w:val="center"/>
                </w:tcPr>
                <w:p>
                  <w:pPr>
                    <w:pStyle w:val="40"/>
                    <w:bidi w:val="0"/>
                  </w:pPr>
                  <w:r>
                    <w:t>声功率级/dB(A)</w:t>
                  </w:r>
                </w:p>
              </w:tc>
              <w:tc>
                <w:tcPr>
                  <w:tcW w:w="814" w:type="pct"/>
                  <w:vMerge w:val="continue"/>
                  <w:shd w:val="clear" w:color="auto" w:fill="auto"/>
                  <w:vAlign w:val="center"/>
                </w:tcPr>
                <w:p>
                  <w:pPr>
                    <w:pStyle w:val="40"/>
                    <w:bidi w:val="0"/>
                  </w:pPr>
                </w:p>
              </w:tc>
              <w:tc>
                <w:tcPr>
                  <w:tcW w:w="529" w:type="pct"/>
                  <w:vMerge w:val="continue"/>
                  <w:shd w:val="clear" w:color="auto" w:fill="auto"/>
                  <w:vAlign w:val="center"/>
                </w:tcPr>
                <w:p>
                  <w:pPr>
                    <w:pStyle w:val="4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420" w:type="pct"/>
                  <w:shd w:val="clear" w:color="auto" w:fill="auto"/>
                  <w:vAlign w:val="center"/>
                </w:tcPr>
                <w:p>
                  <w:pPr>
                    <w:pStyle w:val="40"/>
                    <w:bidi w:val="0"/>
                  </w:pPr>
                  <w:r>
                    <w:t>1</w:t>
                  </w:r>
                </w:p>
              </w:tc>
              <w:tc>
                <w:tcPr>
                  <w:tcW w:w="676" w:type="pct"/>
                  <w:shd w:val="clear" w:color="auto" w:fill="auto"/>
                  <w:vAlign w:val="center"/>
                </w:tcPr>
                <w:p>
                  <w:pPr>
                    <w:pStyle w:val="40"/>
                    <w:bidi w:val="0"/>
                  </w:pPr>
                  <w:r>
                    <w:t>供水水泵</w:t>
                  </w:r>
                </w:p>
              </w:tc>
              <w:tc>
                <w:tcPr>
                  <w:tcW w:w="468" w:type="pct"/>
                  <w:shd w:val="clear" w:color="auto" w:fill="auto"/>
                  <w:vAlign w:val="center"/>
                </w:tcPr>
                <w:p>
                  <w:pPr>
                    <w:pStyle w:val="40"/>
                    <w:bidi w:val="0"/>
                  </w:pPr>
                  <w:r>
                    <w:t>8</w:t>
                  </w:r>
                </w:p>
              </w:tc>
              <w:tc>
                <w:tcPr>
                  <w:tcW w:w="484" w:type="pct"/>
                  <w:shd w:val="clear" w:color="auto" w:fill="auto"/>
                  <w:vAlign w:val="center"/>
                </w:tcPr>
                <w:p>
                  <w:pPr>
                    <w:pStyle w:val="40"/>
                    <w:bidi w:val="0"/>
                  </w:pPr>
                  <w:r>
                    <w:t>-6.9</w:t>
                  </w:r>
                </w:p>
              </w:tc>
              <w:tc>
                <w:tcPr>
                  <w:tcW w:w="513" w:type="pct"/>
                  <w:shd w:val="clear" w:color="auto" w:fill="auto"/>
                  <w:vAlign w:val="center"/>
                </w:tcPr>
                <w:p>
                  <w:pPr>
                    <w:pStyle w:val="40"/>
                    <w:bidi w:val="0"/>
                  </w:pPr>
                  <w:r>
                    <w:t>1.2</w:t>
                  </w:r>
                </w:p>
              </w:tc>
              <w:tc>
                <w:tcPr>
                  <w:tcW w:w="1093" w:type="pct"/>
                  <w:shd w:val="clear" w:color="auto" w:fill="auto"/>
                  <w:vAlign w:val="center"/>
                </w:tcPr>
                <w:p>
                  <w:pPr>
                    <w:pStyle w:val="40"/>
                    <w:bidi w:val="0"/>
                  </w:pPr>
                  <w:r>
                    <w:t>60</w:t>
                  </w:r>
                </w:p>
              </w:tc>
              <w:tc>
                <w:tcPr>
                  <w:tcW w:w="814" w:type="pct"/>
                  <w:vMerge w:val="restart"/>
                  <w:shd w:val="clear" w:color="auto" w:fill="auto"/>
                  <w:vAlign w:val="center"/>
                </w:tcPr>
                <w:p>
                  <w:pPr>
                    <w:pStyle w:val="40"/>
                    <w:bidi w:val="0"/>
                  </w:pPr>
                  <w:r>
                    <w:rPr>
                      <w:rFonts w:hint="default"/>
                    </w:rPr>
                    <w:t>低噪声源设备、并采取减振等措施</w:t>
                  </w:r>
                </w:p>
              </w:tc>
              <w:tc>
                <w:tcPr>
                  <w:tcW w:w="529" w:type="pct"/>
                  <w:vMerge w:val="restart"/>
                  <w:shd w:val="clear" w:color="auto" w:fill="auto"/>
                  <w:vAlign w:val="center"/>
                </w:tcPr>
                <w:p>
                  <w:pPr>
                    <w:pStyle w:val="40"/>
                    <w:bidi w:val="0"/>
                    <w:rPr>
                      <w:rFonts w:hint="eastAsia" w:eastAsia="宋体"/>
                      <w:lang w:eastAsia="zh-CN"/>
                    </w:rPr>
                  </w:pPr>
                  <w:r>
                    <w:t>10</w:t>
                  </w:r>
                  <w:r>
                    <w:rPr>
                      <w:rFonts w:hint="eastAsia"/>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420" w:type="pct"/>
                  <w:shd w:val="clear" w:color="auto" w:fill="auto"/>
                  <w:vAlign w:val="center"/>
                </w:tcPr>
                <w:p>
                  <w:pPr>
                    <w:pStyle w:val="40"/>
                    <w:bidi w:val="0"/>
                  </w:pPr>
                  <w:r>
                    <w:t>2</w:t>
                  </w:r>
                </w:p>
              </w:tc>
              <w:tc>
                <w:tcPr>
                  <w:tcW w:w="676" w:type="pct"/>
                  <w:shd w:val="clear" w:color="auto" w:fill="auto"/>
                  <w:vAlign w:val="center"/>
                </w:tcPr>
                <w:p>
                  <w:pPr>
                    <w:pStyle w:val="40"/>
                    <w:bidi w:val="0"/>
                  </w:pPr>
                  <w:r>
                    <w:t>搅拌车</w:t>
                  </w:r>
                </w:p>
              </w:tc>
              <w:tc>
                <w:tcPr>
                  <w:tcW w:w="468" w:type="pct"/>
                  <w:shd w:val="clear" w:color="auto" w:fill="auto"/>
                  <w:vAlign w:val="center"/>
                </w:tcPr>
                <w:p>
                  <w:pPr>
                    <w:pStyle w:val="40"/>
                    <w:bidi w:val="0"/>
                  </w:pPr>
                  <w:r>
                    <w:t>3.4</w:t>
                  </w:r>
                </w:p>
              </w:tc>
              <w:tc>
                <w:tcPr>
                  <w:tcW w:w="484" w:type="pct"/>
                  <w:shd w:val="clear" w:color="auto" w:fill="auto"/>
                  <w:vAlign w:val="center"/>
                </w:tcPr>
                <w:p>
                  <w:pPr>
                    <w:pStyle w:val="40"/>
                    <w:bidi w:val="0"/>
                  </w:pPr>
                  <w:r>
                    <w:t>-6.9</w:t>
                  </w:r>
                </w:p>
              </w:tc>
              <w:tc>
                <w:tcPr>
                  <w:tcW w:w="513" w:type="pct"/>
                  <w:shd w:val="clear" w:color="auto" w:fill="auto"/>
                  <w:vAlign w:val="center"/>
                </w:tcPr>
                <w:p>
                  <w:pPr>
                    <w:pStyle w:val="40"/>
                    <w:bidi w:val="0"/>
                  </w:pPr>
                  <w:r>
                    <w:t>1.2</w:t>
                  </w:r>
                </w:p>
              </w:tc>
              <w:tc>
                <w:tcPr>
                  <w:tcW w:w="1093" w:type="pct"/>
                  <w:shd w:val="clear" w:color="auto" w:fill="auto"/>
                  <w:vAlign w:val="center"/>
                </w:tcPr>
                <w:p>
                  <w:pPr>
                    <w:pStyle w:val="40"/>
                    <w:bidi w:val="0"/>
                  </w:pPr>
                  <w:r>
                    <w:t>65</w:t>
                  </w:r>
                </w:p>
              </w:tc>
              <w:tc>
                <w:tcPr>
                  <w:tcW w:w="814" w:type="pct"/>
                  <w:vMerge w:val="continue"/>
                  <w:shd w:val="clear" w:color="auto" w:fill="auto"/>
                  <w:vAlign w:val="center"/>
                </w:tcPr>
                <w:p>
                  <w:pPr>
                    <w:pStyle w:val="40"/>
                    <w:bidi w:val="0"/>
                  </w:pPr>
                </w:p>
              </w:tc>
              <w:tc>
                <w:tcPr>
                  <w:tcW w:w="529" w:type="pct"/>
                  <w:vMerge w:val="continue"/>
                  <w:shd w:val="clear" w:color="auto" w:fill="auto"/>
                  <w:vAlign w:val="center"/>
                </w:tcPr>
                <w:p>
                  <w:pPr>
                    <w:pStyle w:val="4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420" w:type="pct"/>
                  <w:shd w:val="clear" w:color="auto" w:fill="auto"/>
                  <w:vAlign w:val="center"/>
                </w:tcPr>
                <w:p>
                  <w:pPr>
                    <w:pStyle w:val="40"/>
                    <w:bidi w:val="0"/>
                  </w:pPr>
                  <w:r>
                    <w:t>3</w:t>
                  </w:r>
                </w:p>
              </w:tc>
              <w:tc>
                <w:tcPr>
                  <w:tcW w:w="676" w:type="pct"/>
                  <w:shd w:val="clear" w:color="auto" w:fill="auto"/>
                  <w:vAlign w:val="center"/>
                </w:tcPr>
                <w:p>
                  <w:pPr>
                    <w:pStyle w:val="40"/>
                    <w:bidi w:val="0"/>
                  </w:pPr>
                  <w:r>
                    <w:t>装载机</w:t>
                  </w:r>
                </w:p>
              </w:tc>
              <w:tc>
                <w:tcPr>
                  <w:tcW w:w="468" w:type="pct"/>
                  <w:shd w:val="clear" w:color="auto" w:fill="auto"/>
                  <w:vAlign w:val="center"/>
                </w:tcPr>
                <w:p>
                  <w:pPr>
                    <w:pStyle w:val="40"/>
                    <w:bidi w:val="0"/>
                  </w:pPr>
                  <w:r>
                    <w:t>15</w:t>
                  </w:r>
                </w:p>
              </w:tc>
              <w:tc>
                <w:tcPr>
                  <w:tcW w:w="484" w:type="pct"/>
                  <w:shd w:val="clear" w:color="auto" w:fill="auto"/>
                  <w:vAlign w:val="center"/>
                </w:tcPr>
                <w:p>
                  <w:pPr>
                    <w:pStyle w:val="40"/>
                    <w:bidi w:val="0"/>
                  </w:pPr>
                  <w:r>
                    <w:t>-19</w:t>
                  </w:r>
                </w:p>
              </w:tc>
              <w:tc>
                <w:tcPr>
                  <w:tcW w:w="513" w:type="pct"/>
                  <w:shd w:val="clear" w:color="auto" w:fill="auto"/>
                  <w:vAlign w:val="center"/>
                </w:tcPr>
                <w:p>
                  <w:pPr>
                    <w:pStyle w:val="40"/>
                    <w:bidi w:val="0"/>
                  </w:pPr>
                  <w:r>
                    <w:t>1.2</w:t>
                  </w:r>
                </w:p>
              </w:tc>
              <w:tc>
                <w:tcPr>
                  <w:tcW w:w="1093" w:type="pct"/>
                  <w:shd w:val="clear" w:color="auto" w:fill="auto"/>
                  <w:vAlign w:val="center"/>
                </w:tcPr>
                <w:p>
                  <w:pPr>
                    <w:pStyle w:val="40"/>
                    <w:bidi w:val="0"/>
                  </w:pPr>
                  <w:r>
                    <w:t>68</w:t>
                  </w:r>
                </w:p>
              </w:tc>
              <w:tc>
                <w:tcPr>
                  <w:tcW w:w="814" w:type="pct"/>
                  <w:vMerge w:val="continue"/>
                  <w:shd w:val="clear" w:color="auto" w:fill="auto"/>
                  <w:vAlign w:val="center"/>
                </w:tcPr>
                <w:p>
                  <w:pPr>
                    <w:pStyle w:val="40"/>
                    <w:bidi w:val="0"/>
                  </w:pPr>
                </w:p>
              </w:tc>
              <w:tc>
                <w:tcPr>
                  <w:tcW w:w="529" w:type="pct"/>
                  <w:vMerge w:val="continue"/>
                  <w:shd w:val="clear" w:color="auto" w:fill="auto"/>
                  <w:vAlign w:val="center"/>
                </w:tcPr>
                <w:p>
                  <w:pPr>
                    <w:pStyle w:val="4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420" w:type="pct"/>
                  <w:shd w:val="clear" w:color="auto" w:fill="auto"/>
                  <w:vAlign w:val="center"/>
                </w:tcPr>
                <w:p>
                  <w:pPr>
                    <w:pStyle w:val="40"/>
                    <w:bidi w:val="0"/>
                  </w:pPr>
                  <w:r>
                    <w:t>4</w:t>
                  </w:r>
                </w:p>
              </w:tc>
              <w:tc>
                <w:tcPr>
                  <w:tcW w:w="676" w:type="pct"/>
                  <w:shd w:val="clear" w:color="auto" w:fill="auto"/>
                  <w:vAlign w:val="center"/>
                </w:tcPr>
                <w:p>
                  <w:pPr>
                    <w:pStyle w:val="40"/>
                    <w:bidi w:val="0"/>
                  </w:pPr>
                  <w:r>
                    <w:t>搅拌机</w:t>
                  </w:r>
                </w:p>
              </w:tc>
              <w:tc>
                <w:tcPr>
                  <w:tcW w:w="468" w:type="pct"/>
                  <w:shd w:val="clear" w:color="auto" w:fill="auto"/>
                  <w:vAlign w:val="center"/>
                </w:tcPr>
                <w:p>
                  <w:pPr>
                    <w:pStyle w:val="40"/>
                    <w:bidi w:val="0"/>
                  </w:pPr>
                  <w:r>
                    <w:t>15.9</w:t>
                  </w:r>
                </w:p>
              </w:tc>
              <w:tc>
                <w:tcPr>
                  <w:tcW w:w="484" w:type="pct"/>
                  <w:shd w:val="clear" w:color="auto" w:fill="auto"/>
                  <w:vAlign w:val="center"/>
                </w:tcPr>
                <w:p>
                  <w:pPr>
                    <w:pStyle w:val="40"/>
                    <w:bidi w:val="0"/>
                  </w:pPr>
                  <w:r>
                    <w:t>-9.2</w:t>
                  </w:r>
                </w:p>
              </w:tc>
              <w:tc>
                <w:tcPr>
                  <w:tcW w:w="513" w:type="pct"/>
                  <w:shd w:val="clear" w:color="auto" w:fill="auto"/>
                  <w:vAlign w:val="center"/>
                </w:tcPr>
                <w:p>
                  <w:pPr>
                    <w:pStyle w:val="40"/>
                    <w:bidi w:val="0"/>
                  </w:pPr>
                  <w:r>
                    <w:t>1.2</w:t>
                  </w:r>
                </w:p>
              </w:tc>
              <w:tc>
                <w:tcPr>
                  <w:tcW w:w="1093" w:type="pct"/>
                  <w:shd w:val="clear" w:color="auto" w:fill="auto"/>
                  <w:vAlign w:val="center"/>
                </w:tcPr>
                <w:p>
                  <w:pPr>
                    <w:pStyle w:val="40"/>
                    <w:bidi w:val="0"/>
                  </w:pPr>
                  <w:r>
                    <w:t>75</w:t>
                  </w:r>
                </w:p>
              </w:tc>
              <w:tc>
                <w:tcPr>
                  <w:tcW w:w="814" w:type="pct"/>
                  <w:vMerge w:val="continue"/>
                  <w:shd w:val="clear" w:color="auto" w:fill="auto"/>
                  <w:vAlign w:val="center"/>
                </w:tcPr>
                <w:p>
                  <w:pPr>
                    <w:pStyle w:val="40"/>
                    <w:bidi w:val="0"/>
                  </w:pPr>
                </w:p>
              </w:tc>
              <w:tc>
                <w:tcPr>
                  <w:tcW w:w="529" w:type="pct"/>
                  <w:vMerge w:val="continue"/>
                  <w:shd w:val="clear" w:color="auto" w:fill="auto"/>
                  <w:vAlign w:val="center"/>
                </w:tcPr>
                <w:p>
                  <w:pPr>
                    <w:pStyle w:val="4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420" w:type="pct"/>
                  <w:shd w:val="clear" w:color="auto" w:fill="auto"/>
                  <w:vAlign w:val="center"/>
                </w:tcPr>
                <w:p>
                  <w:pPr>
                    <w:pStyle w:val="40"/>
                    <w:bidi w:val="0"/>
                  </w:pPr>
                  <w:r>
                    <w:t>5</w:t>
                  </w:r>
                </w:p>
              </w:tc>
              <w:tc>
                <w:tcPr>
                  <w:tcW w:w="676" w:type="pct"/>
                  <w:shd w:val="clear" w:color="auto" w:fill="auto"/>
                  <w:vAlign w:val="center"/>
                </w:tcPr>
                <w:p>
                  <w:pPr>
                    <w:pStyle w:val="40"/>
                    <w:bidi w:val="0"/>
                  </w:pPr>
                  <w:r>
                    <w:t>皮卡车</w:t>
                  </w:r>
                </w:p>
              </w:tc>
              <w:tc>
                <w:tcPr>
                  <w:tcW w:w="468" w:type="pct"/>
                  <w:shd w:val="clear" w:color="auto" w:fill="auto"/>
                  <w:vAlign w:val="center"/>
                </w:tcPr>
                <w:p>
                  <w:pPr>
                    <w:pStyle w:val="40"/>
                    <w:bidi w:val="0"/>
                  </w:pPr>
                  <w:r>
                    <w:t>9.9</w:t>
                  </w:r>
                </w:p>
              </w:tc>
              <w:tc>
                <w:tcPr>
                  <w:tcW w:w="484" w:type="pct"/>
                  <w:shd w:val="clear" w:color="auto" w:fill="auto"/>
                  <w:vAlign w:val="center"/>
                </w:tcPr>
                <w:p>
                  <w:pPr>
                    <w:pStyle w:val="40"/>
                    <w:bidi w:val="0"/>
                  </w:pPr>
                  <w:r>
                    <w:t>-19</w:t>
                  </w:r>
                </w:p>
              </w:tc>
              <w:tc>
                <w:tcPr>
                  <w:tcW w:w="513" w:type="pct"/>
                  <w:shd w:val="clear" w:color="auto" w:fill="auto"/>
                  <w:vAlign w:val="center"/>
                </w:tcPr>
                <w:p>
                  <w:pPr>
                    <w:pStyle w:val="40"/>
                    <w:bidi w:val="0"/>
                  </w:pPr>
                  <w:r>
                    <w:t>1.2</w:t>
                  </w:r>
                </w:p>
              </w:tc>
              <w:tc>
                <w:tcPr>
                  <w:tcW w:w="1093" w:type="pct"/>
                  <w:shd w:val="clear" w:color="auto" w:fill="auto"/>
                  <w:vAlign w:val="center"/>
                </w:tcPr>
                <w:p>
                  <w:pPr>
                    <w:pStyle w:val="40"/>
                    <w:bidi w:val="0"/>
                  </w:pPr>
                  <w:r>
                    <w:t>65</w:t>
                  </w:r>
                </w:p>
              </w:tc>
              <w:tc>
                <w:tcPr>
                  <w:tcW w:w="814" w:type="pct"/>
                  <w:vMerge w:val="continue"/>
                  <w:shd w:val="clear" w:color="auto" w:fill="auto"/>
                  <w:vAlign w:val="center"/>
                </w:tcPr>
                <w:p>
                  <w:pPr>
                    <w:pStyle w:val="40"/>
                    <w:bidi w:val="0"/>
                  </w:pPr>
                </w:p>
              </w:tc>
              <w:tc>
                <w:tcPr>
                  <w:tcW w:w="529" w:type="pct"/>
                  <w:vMerge w:val="continue"/>
                  <w:shd w:val="clear" w:color="auto" w:fill="auto"/>
                  <w:vAlign w:val="center"/>
                </w:tcPr>
                <w:p>
                  <w:pPr>
                    <w:pStyle w:val="4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420" w:type="pct"/>
                  <w:shd w:val="clear" w:color="auto" w:fill="auto"/>
                  <w:vAlign w:val="center"/>
                </w:tcPr>
                <w:p>
                  <w:pPr>
                    <w:pStyle w:val="40"/>
                    <w:bidi w:val="0"/>
                  </w:pPr>
                  <w:r>
                    <w:t>6</w:t>
                  </w:r>
                </w:p>
              </w:tc>
              <w:tc>
                <w:tcPr>
                  <w:tcW w:w="676" w:type="pct"/>
                  <w:shd w:val="clear" w:color="auto" w:fill="auto"/>
                  <w:vAlign w:val="center"/>
                </w:tcPr>
                <w:p>
                  <w:pPr>
                    <w:pStyle w:val="40"/>
                    <w:bidi w:val="0"/>
                  </w:pPr>
                  <w:r>
                    <w:t>泵车</w:t>
                  </w:r>
                </w:p>
              </w:tc>
              <w:tc>
                <w:tcPr>
                  <w:tcW w:w="468" w:type="pct"/>
                  <w:shd w:val="clear" w:color="auto" w:fill="auto"/>
                  <w:vAlign w:val="center"/>
                </w:tcPr>
                <w:p>
                  <w:pPr>
                    <w:pStyle w:val="40"/>
                    <w:bidi w:val="0"/>
                  </w:pPr>
                  <w:r>
                    <w:t>13.1</w:t>
                  </w:r>
                </w:p>
              </w:tc>
              <w:tc>
                <w:tcPr>
                  <w:tcW w:w="484" w:type="pct"/>
                  <w:shd w:val="clear" w:color="auto" w:fill="auto"/>
                  <w:vAlign w:val="center"/>
                </w:tcPr>
                <w:p>
                  <w:pPr>
                    <w:pStyle w:val="40"/>
                    <w:bidi w:val="0"/>
                  </w:pPr>
                  <w:r>
                    <w:t>-13.4</w:t>
                  </w:r>
                </w:p>
              </w:tc>
              <w:tc>
                <w:tcPr>
                  <w:tcW w:w="513" w:type="pct"/>
                  <w:shd w:val="clear" w:color="auto" w:fill="auto"/>
                  <w:vAlign w:val="center"/>
                </w:tcPr>
                <w:p>
                  <w:pPr>
                    <w:pStyle w:val="40"/>
                    <w:bidi w:val="0"/>
                  </w:pPr>
                  <w:r>
                    <w:t>1.2</w:t>
                  </w:r>
                </w:p>
              </w:tc>
              <w:tc>
                <w:tcPr>
                  <w:tcW w:w="1093" w:type="pct"/>
                  <w:shd w:val="clear" w:color="auto" w:fill="auto"/>
                  <w:vAlign w:val="center"/>
                </w:tcPr>
                <w:p>
                  <w:pPr>
                    <w:pStyle w:val="40"/>
                    <w:bidi w:val="0"/>
                  </w:pPr>
                  <w:r>
                    <w:t>72</w:t>
                  </w:r>
                </w:p>
              </w:tc>
              <w:tc>
                <w:tcPr>
                  <w:tcW w:w="814" w:type="pct"/>
                  <w:vMerge w:val="continue"/>
                  <w:shd w:val="clear" w:color="auto" w:fill="auto"/>
                  <w:vAlign w:val="center"/>
                </w:tcPr>
                <w:p>
                  <w:pPr>
                    <w:pStyle w:val="40"/>
                    <w:bidi w:val="0"/>
                  </w:pPr>
                </w:p>
              </w:tc>
              <w:tc>
                <w:tcPr>
                  <w:tcW w:w="529" w:type="pct"/>
                  <w:vMerge w:val="continue"/>
                  <w:shd w:val="clear" w:color="auto" w:fill="auto"/>
                  <w:vAlign w:val="center"/>
                </w:tcPr>
                <w:p>
                  <w:pPr>
                    <w:pStyle w:val="40"/>
                    <w:bidi w:val="0"/>
                  </w:pPr>
                </w:p>
              </w:tc>
            </w:tr>
          </w:tbl>
          <w:p>
            <w:pPr>
              <w:pStyle w:val="2"/>
              <w:bidi w:val="0"/>
              <w:rPr>
                <w:rFonts w:hint="default"/>
                <w:lang w:val="en-US" w:eastAsia="zh-CN"/>
              </w:rPr>
            </w:pPr>
            <w:r>
              <w:rPr>
                <w:rFonts w:hint="eastAsia"/>
                <w:lang w:val="en-US" w:eastAsia="zh-CN"/>
              </w:rPr>
              <w:t>3.3预测结果</w:t>
            </w:r>
          </w:p>
          <w:p>
            <w:pPr>
              <w:pStyle w:val="8"/>
              <w:bidi w:val="0"/>
              <w:rPr>
                <w:rFonts w:hint="default"/>
                <w:lang w:val="en-US" w:eastAsia="zh-CN"/>
              </w:rPr>
            </w:pPr>
            <w:r>
              <w:rPr>
                <w:rFonts w:hint="default"/>
                <w:lang w:val="en-US" w:eastAsia="zh-CN"/>
              </w:rPr>
              <w:t>通过预测模型计算，项目厂界噪声预测结果与达标分析详见下表。</w:t>
            </w:r>
          </w:p>
          <w:p>
            <w:pPr>
              <w:pStyle w:val="42"/>
              <w:bidi w:val="0"/>
              <w:rPr>
                <w:rFonts w:hint="default"/>
                <w:lang w:val="en-US" w:eastAsia="zh-CN"/>
              </w:rPr>
            </w:pPr>
            <w:r>
              <w:rPr>
                <w:rFonts w:hint="default"/>
                <w:lang w:val="en-US" w:eastAsia="zh-CN"/>
              </w:rPr>
              <w:t>表4-</w:t>
            </w:r>
            <w:r>
              <w:rPr>
                <w:rFonts w:hint="eastAsia"/>
                <w:lang w:val="en-US" w:eastAsia="zh-CN"/>
              </w:rPr>
              <w:t>10</w:t>
            </w:r>
            <w:r>
              <w:rPr>
                <w:rFonts w:hint="default"/>
                <w:lang w:val="en-US" w:eastAsia="zh-CN"/>
              </w:rPr>
              <w:t xml:space="preserve">    厂界噪声预测结果与达标分析表</w:t>
            </w:r>
            <w:r>
              <w:rPr>
                <w:rFonts w:hint="eastAsia"/>
                <w:lang w:val="en-US" w:eastAsia="zh-CN"/>
              </w:rPr>
              <w:t xml:space="preserve">   （dB(A)）</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794"/>
              <w:gridCol w:w="815"/>
              <w:gridCol w:w="826"/>
              <w:gridCol w:w="973"/>
              <w:gridCol w:w="1154"/>
              <w:gridCol w:w="1102"/>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jc w:val="center"/>
              </w:trPr>
              <w:tc>
                <w:tcPr>
                  <w:tcW w:w="699" w:type="pct"/>
                  <w:vMerge w:val="restart"/>
                  <w:noWrap w:val="0"/>
                  <w:vAlign w:val="center"/>
                </w:tcPr>
                <w:p>
                  <w:pPr>
                    <w:pStyle w:val="40"/>
                    <w:bidi w:val="0"/>
                    <w:rPr>
                      <w:rFonts w:hint="default"/>
                      <w:lang w:val="en-US" w:eastAsia="zh-CN"/>
                    </w:rPr>
                  </w:pPr>
                  <w:r>
                    <w:rPr>
                      <w:rFonts w:hint="default"/>
                      <w:lang w:val="en-US" w:eastAsia="zh-CN"/>
                    </w:rPr>
                    <w:t>预测方位</w:t>
                  </w:r>
                </w:p>
              </w:tc>
              <w:tc>
                <w:tcPr>
                  <w:tcW w:w="1562" w:type="pct"/>
                  <w:gridSpan w:val="3"/>
                  <w:noWrap w:val="0"/>
                  <w:vAlign w:val="center"/>
                </w:tcPr>
                <w:p>
                  <w:pPr>
                    <w:pStyle w:val="40"/>
                    <w:bidi w:val="0"/>
                    <w:rPr>
                      <w:rFonts w:hint="default"/>
                      <w:lang w:val="en-US" w:eastAsia="zh-CN"/>
                    </w:rPr>
                  </w:pPr>
                  <w:r>
                    <w:rPr>
                      <w:rFonts w:hint="default"/>
                      <w:lang w:val="en-US" w:eastAsia="zh-CN"/>
                    </w:rPr>
                    <w:t>最大值点空间相对位置/m</w:t>
                  </w:r>
                </w:p>
              </w:tc>
              <w:tc>
                <w:tcPr>
                  <w:tcW w:w="624" w:type="pct"/>
                  <w:vMerge w:val="restart"/>
                  <w:noWrap w:val="0"/>
                  <w:vAlign w:val="center"/>
                </w:tcPr>
                <w:p>
                  <w:pPr>
                    <w:pStyle w:val="40"/>
                    <w:bidi w:val="0"/>
                    <w:rPr>
                      <w:rFonts w:hint="default"/>
                      <w:lang w:val="en-US" w:eastAsia="zh-CN"/>
                    </w:rPr>
                  </w:pPr>
                  <w:r>
                    <w:rPr>
                      <w:rFonts w:hint="default"/>
                      <w:lang w:val="en-US" w:eastAsia="zh-CN"/>
                    </w:rPr>
                    <w:t>时段</w:t>
                  </w:r>
                </w:p>
              </w:tc>
              <w:tc>
                <w:tcPr>
                  <w:tcW w:w="740" w:type="pct"/>
                  <w:vMerge w:val="restart"/>
                  <w:noWrap w:val="0"/>
                  <w:vAlign w:val="center"/>
                </w:tcPr>
                <w:p>
                  <w:pPr>
                    <w:pStyle w:val="40"/>
                    <w:bidi w:val="0"/>
                    <w:rPr>
                      <w:rFonts w:hint="default"/>
                      <w:lang w:val="en-US" w:eastAsia="zh-CN"/>
                    </w:rPr>
                  </w:pPr>
                  <w:r>
                    <w:rPr>
                      <w:rFonts w:hint="default"/>
                      <w:lang w:val="en-US" w:eastAsia="zh-CN"/>
                    </w:rPr>
                    <w:t>贡献值</w:t>
                  </w:r>
                </w:p>
              </w:tc>
              <w:tc>
                <w:tcPr>
                  <w:tcW w:w="707" w:type="pct"/>
                  <w:vMerge w:val="restart"/>
                  <w:noWrap w:val="0"/>
                  <w:vAlign w:val="center"/>
                </w:tcPr>
                <w:p>
                  <w:pPr>
                    <w:pStyle w:val="40"/>
                    <w:bidi w:val="0"/>
                    <w:rPr>
                      <w:rFonts w:hint="default"/>
                      <w:lang w:val="en-US" w:eastAsia="zh-CN"/>
                    </w:rPr>
                  </w:pPr>
                  <w:r>
                    <w:rPr>
                      <w:rFonts w:hint="default"/>
                      <w:lang w:val="en-US" w:eastAsia="zh-CN"/>
                    </w:rPr>
                    <w:t>标准限值</w:t>
                  </w:r>
                  <w:r>
                    <w:t>dB(A)</w:t>
                  </w:r>
                </w:p>
              </w:tc>
              <w:tc>
                <w:tcPr>
                  <w:tcW w:w="666" w:type="pct"/>
                  <w:vMerge w:val="restart"/>
                  <w:noWrap w:val="0"/>
                  <w:vAlign w:val="center"/>
                </w:tcPr>
                <w:p>
                  <w:pPr>
                    <w:pStyle w:val="40"/>
                    <w:bidi w:val="0"/>
                    <w:rPr>
                      <w:rFonts w:hint="default"/>
                      <w:lang w:val="en-US" w:eastAsia="zh-CN"/>
                    </w:rPr>
                  </w:pPr>
                  <w:r>
                    <w:rPr>
                      <w:rFonts w:hint="default"/>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699" w:type="pct"/>
                  <w:vMerge w:val="continue"/>
                  <w:noWrap w:val="0"/>
                  <w:vAlign w:val="center"/>
                </w:tcPr>
                <w:p>
                  <w:pPr>
                    <w:pStyle w:val="40"/>
                    <w:bidi w:val="0"/>
                    <w:rPr>
                      <w:rFonts w:hint="default"/>
                      <w:lang w:val="en-US" w:eastAsia="zh-CN"/>
                    </w:rPr>
                  </w:pPr>
                </w:p>
              </w:tc>
              <w:tc>
                <w:tcPr>
                  <w:tcW w:w="509" w:type="pct"/>
                  <w:noWrap w:val="0"/>
                  <w:vAlign w:val="center"/>
                </w:tcPr>
                <w:p>
                  <w:pPr>
                    <w:pStyle w:val="40"/>
                    <w:bidi w:val="0"/>
                    <w:rPr>
                      <w:rFonts w:hint="default"/>
                      <w:lang w:val="en-US" w:eastAsia="zh-CN"/>
                    </w:rPr>
                  </w:pPr>
                  <w:r>
                    <w:rPr>
                      <w:rFonts w:hint="default"/>
                      <w:lang w:val="en-US" w:eastAsia="zh-CN"/>
                    </w:rPr>
                    <w:t>X</w:t>
                  </w:r>
                </w:p>
              </w:tc>
              <w:tc>
                <w:tcPr>
                  <w:tcW w:w="523" w:type="pct"/>
                  <w:noWrap w:val="0"/>
                  <w:vAlign w:val="center"/>
                </w:tcPr>
                <w:p>
                  <w:pPr>
                    <w:pStyle w:val="40"/>
                    <w:bidi w:val="0"/>
                    <w:rPr>
                      <w:rFonts w:hint="default"/>
                      <w:lang w:val="en-US" w:eastAsia="zh-CN"/>
                    </w:rPr>
                  </w:pPr>
                  <w:r>
                    <w:rPr>
                      <w:rFonts w:hint="default"/>
                      <w:lang w:val="en-US" w:eastAsia="zh-CN"/>
                    </w:rPr>
                    <w:t>Y</w:t>
                  </w:r>
                </w:p>
              </w:tc>
              <w:tc>
                <w:tcPr>
                  <w:tcW w:w="529" w:type="pct"/>
                  <w:noWrap w:val="0"/>
                  <w:vAlign w:val="center"/>
                </w:tcPr>
                <w:p>
                  <w:pPr>
                    <w:pStyle w:val="40"/>
                    <w:bidi w:val="0"/>
                    <w:rPr>
                      <w:rFonts w:hint="default"/>
                      <w:lang w:val="en-US" w:eastAsia="zh-CN"/>
                    </w:rPr>
                  </w:pPr>
                  <w:r>
                    <w:rPr>
                      <w:rFonts w:hint="default"/>
                      <w:lang w:val="en-US" w:eastAsia="zh-CN"/>
                    </w:rPr>
                    <w:t>Z</w:t>
                  </w:r>
                </w:p>
              </w:tc>
              <w:tc>
                <w:tcPr>
                  <w:tcW w:w="624" w:type="pct"/>
                  <w:vMerge w:val="continue"/>
                  <w:noWrap w:val="0"/>
                  <w:vAlign w:val="center"/>
                </w:tcPr>
                <w:p>
                  <w:pPr>
                    <w:pStyle w:val="40"/>
                    <w:bidi w:val="0"/>
                    <w:rPr>
                      <w:rFonts w:hint="default"/>
                      <w:lang w:val="en-US" w:eastAsia="zh-CN"/>
                    </w:rPr>
                  </w:pPr>
                </w:p>
              </w:tc>
              <w:tc>
                <w:tcPr>
                  <w:tcW w:w="740" w:type="pct"/>
                  <w:vMerge w:val="continue"/>
                  <w:noWrap w:val="0"/>
                  <w:vAlign w:val="center"/>
                </w:tcPr>
                <w:p>
                  <w:pPr>
                    <w:pStyle w:val="40"/>
                    <w:bidi w:val="0"/>
                    <w:rPr>
                      <w:rFonts w:hint="default"/>
                      <w:lang w:val="en-US" w:eastAsia="zh-CN"/>
                    </w:rPr>
                  </w:pPr>
                </w:p>
              </w:tc>
              <w:tc>
                <w:tcPr>
                  <w:tcW w:w="707" w:type="pct"/>
                  <w:vMerge w:val="continue"/>
                  <w:noWrap w:val="0"/>
                  <w:vAlign w:val="center"/>
                </w:tcPr>
                <w:p>
                  <w:pPr>
                    <w:pStyle w:val="40"/>
                    <w:bidi w:val="0"/>
                    <w:rPr>
                      <w:rFonts w:hint="default"/>
                      <w:lang w:val="en-US" w:eastAsia="zh-CN"/>
                    </w:rPr>
                  </w:pPr>
                </w:p>
              </w:tc>
              <w:tc>
                <w:tcPr>
                  <w:tcW w:w="666" w:type="pct"/>
                  <w:vMerge w:val="continue"/>
                  <w:noWrap w:val="0"/>
                  <w:vAlign w:val="center"/>
                </w:tcPr>
                <w:p>
                  <w:pPr>
                    <w:pStyle w:val="40"/>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exact"/>
                <w:jc w:val="center"/>
              </w:trPr>
              <w:tc>
                <w:tcPr>
                  <w:tcW w:w="699" w:type="pct"/>
                  <w:noWrap w:val="0"/>
                  <w:vAlign w:val="center"/>
                </w:tcPr>
                <w:p>
                  <w:pPr>
                    <w:pStyle w:val="40"/>
                    <w:bidi w:val="0"/>
                    <w:rPr>
                      <w:rFonts w:hint="default"/>
                      <w:lang w:val="en-US" w:eastAsia="zh-CN"/>
                    </w:rPr>
                  </w:pPr>
                  <w:r>
                    <w:rPr>
                      <w:rFonts w:hint="default"/>
                      <w:lang w:val="en-US" w:eastAsia="zh-CN"/>
                    </w:rPr>
                    <w:t>东侧</w:t>
                  </w:r>
                </w:p>
              </w:tc>
              <w:tc>
                <w:tcPr>
                  <w:tcW w:w="509" w:type="pct"/>
                  <w:noWrap w:val="0"/>
                  <w:vAlign w:val="center"/>
                </w:tcPr>
                <w:p>
                  <w:pPr>
                    <w:pStyle w:val="40"/>
                    <w:bidi w:val="0"/>
                    <w:rPr>
                      <w:rFonts w:hint="default"/>
                      <w:lang w:val="en-US" w:eastAsia="zh-CN"/>
                    </w:rPr>
                  </w:pPr>
                  <w:r>
                    <w:t>25</w:t>
                  </w:r>
                </w:p>
              </w:tc>
              <w:tc>
                <w:tcPr>
                  <w:tcW w:w="523" w:type="pct"/>
                  <w:noWrap w:val="0"/>
                  <w:vAlign w:val="center"/>
                </w:tcPr>
                <w:p>
                  <w:pPr>
                    <w:pStyle w:val="40"/>
                    <w:bidi w:val="0"/>
                    <w:rPr>
                      <w:rFonts w:hint="default"/>
                      <w:lang w:val="en-US" w:eastAsia="zh-CN"/>
                    </w:rPr>
                  </w:pPr>
                  <w:r>
                    <w:t>-11.1</w:t>
                  </w:r>
                </w:p>
              </w:tc>
              <w:tc>
                <w:tcPr>
                  <w:tcW w:w="529" w:type="pct"/>
                  <w:noWrap w:val="0"/>
                  <w:vAlign w:val="center"/>
                </w:tcPr>
                <w:p>
                  <w:pPr>
                    <w:pStyle w:val="40"/>
                    <w:bidi w:val="0"/>
                    <w:rPr>
                      <w:rFonts w:hint="default"/>
                      <w:lang w:val="en-US" w:eastAsia="zh-CN"/>
                    </w:rPr>
                  </w:pPr>
                  <w:r>
                    <w:t>1.2</w:t>
                  </w:r>
                </w:p>
              </w:tc>
              <w:tc>
                <w:tcPr>
                  <w:tcW w:w="624" w:type="pct"/>
                  <w:noWrap w:val="0"/>
                  <w:vAlign w:val="center"/>
                </w:tcPr>
                <w:p>
                  <w:pPr>
                    <w:pStyle w:val="40"/>
                    <w:bidi w:val="0"/>
                    <w:rPr>
                      <w:rFonts w:hint="default"/>
                      <w:lang w:val="en-US" w:eastAsia="zh-CN"/>
                    </w:rPr>
                  </w:pPr>
                  <w:r>
                    <w:t>昼间</w:t>
                  </w:r>
                </w:p>
              </w:tc>
              <w:tc>
                <w:tcPr>
                  <w:tcW w:w="740" w:type="pct"/>
                  <w:noWrap w:val="0"/>
                  <w:vAlign w:val="center"/>
                </w:tcPr>
                <w:p>
                  <w:pPr>
                    <w:pStyle w:val="40"/>
                    <w:bidi w:val="0"/>
                    <w:rPr>
                      <w:rFonts w:hint="default"/>
                      <w:lang w:val="en-US" w:eastAsia="zh-CN"/>
                    </w:rPr>
                  </w:pPr>
                  <w:r>
                    <w:t>56.3</w:t>
                  </w:r>
                </w:p>
              </w:tc>
              <w:tc>
                <w:tcPr>
                  <w:tcW w:w="707" w:type="pct"/>
                  <w:noWrap w:val="0"/>
                  <w:vAlign w:val="center"/>
                </w:tcPr>
                <w:p>
                  <w:pPr>
                    <w:pStyle w:val="40"/>
                    <w:bidi w:val="0"/>
                  </w:pPr>
                  <w:r>
                    <w:t>60</w:t>
                  </w:r>
                </w:p>
              </w:tc>
              <w:tc>
                <w:tcPr>
                  <w:tcW w:w="666" w:type="pct"/>
                  <w:noWrap w:val="0"/>
                  <w:vAlign w:val="center"/>
                </w:tcPr>
                <w:p>
                  <w:pPr>
                    <w:pStyle w:val="40"/>
                    <w:bidi w:val="0"/>
                    <w:rPr>
                      <w:rFonts w:hint="default"/>
                      <w:lang w:val="en-US" w:eastAsia="zh-CN"/>
                    </w:rP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exact"/>
                <w:jc w:val="center"/>
              </w:trPr>
              <w:tc>
                <w:tcPr>
                  <w:tcW w:w="699" w:type="pct"/>
                  <w:noWrap w:val="0"/>
                  <w:vAlign w:val="center"/>
                </w:tcPr>
                <w:p>
                  <w:pPr>
                    <w:pStyle w:val="40"/>
                    <w:bidi w:val="0"/>
                    <w:rPr>
                      <w:rFonts w:hint="default"/>
                      <w:lang w:val="en-US" w:eastAsia="zh-CN"/>
                    </w:rPr>
                  </w:pPr>
                  <w:r>
                    <w:rPr>
                      <w:rFonts w:hint="default"/>
                      <w:lang w:val="en-US" w:eastAsia="zh-CN"/>
                    </w:rPr>
                    <w:t>南侧</w:t>
                  </w:r>
                </w:p>
              </w:tc>
              <w:tc>
                <w:tcPr>
                  <w:tcW w:w="509" w:type="pct"/>
                  <w:noWrap w:val="0"/>
                  <w:vAlign w:val="center"/>
                </w:tcPr>
                <w:p>
                  <w:pPr>
                    <w:pStyle w:val="40"/>
                    <w:bidi w:val="0"/>
                    <w:rPr>
                      <w:rFonts w:hint="default"/>
                      <w:lang w:val="en-US" w:eastAsia="zh-CN"/>
                    </w:rPr>
                  </w:pPr>
                  <w:r>
                    <w:t>11.4</w:t>
                  </w:r>
                </w:p>
              </w:tc>
              <w:tc>
                <w:tcPr>
                  <w:tcW w:w="523" w:type="pct"/>
                  <w:noWrap w:val="0"/>
                  <w:vAlign w:val="center"/>
                </w:tcPr>
                <w:p>
                  <w:pPr>
                    <w:pStyle w:val="40"/>
                    <w:bidi w:val="0"/>
                    <w:rPr>
                      <w:rFonts w:hint="default"/>
                      <w:lang w:val="en-US" w:eastAsia="zh-CN"/>
                    </w:rPr>
                  </w:pPr>
                  <w:r>
                    <w:t>-30.3</w:t>
                  </w:r>
                </w:p>
              </w:tc>
              <w:tc>
                <w:tcPr>
                  <w:tcW w:w="529" w:type="pct"/>
                  <w:noWrap w:val="0"/>
                  <w:vAlign w:val="center"/>
                </w:tcPr>
                <w:p>
                  <w:pPr>
                    <w:pStyle w:val="40"/>
                    <w:bidi w:val="0"/>
                    <w:rPr>
                      <w:rFonts w:hint="default"/>
                      <w:lang w:val="en-US" w:eastAsia="zh-CN"/>
                    </w:rPr>
                  </w:pPr>
                  <w:r>
                    <w:t>1.2</w:t>
                  </w:r>
                </w:p>
              </w:tc>
              <w:tc>
                <w:tcPr>
                  <w:tcW w:w="624" w:type="pct"/>
                  <w:noWrap w:val="0"/>
                  <w:vAlign w:val="center"/>
                </w:tcPr>
                <w:p>
                  <w:pPr>
                    <w:pStyle w:val="40"/>
                    <w:bidi w:val="0"/>
                    <w:rPr>
                      <w:rFonts w:hint="default"/>
                      <w:lang w:val="en-US" w:eastAsia="zh-CN"/>
                    </w:rPr>
                  </w:pPr>
                  <w:r>
                    <w:t>昼间</w:t>
                  </w:r>
                </w:p>
              </w:tc>
              <w:tc>
                <w:tcPr>
                  <w:tcW w:w="740" w:type="pct"/>
                  <w:noWrap w:val="0"/>
                  <w:vAlign w:val="center"/>
                </w:tcPr>
                <w:p>
                  <w:pPr>
                    <w:pStyle w:val="40"/>
                    <w:bidi w:val="0"/>
                    <w:rPr>
                      <w:rFonts w:hint="default"/>
                      <w:lang w:val="en-US" w:eastAsia="zh-CN"/>
                    </w:rPr>
                  </w:pPr>
                  <w:r>
                    <w:t>51</w:t>
                  </w:r>
                </w:p>
              </w:tc>
              <w:tc>
                <w:tcPr>
                  <w:tcW w:w="707" w:type="pct"/>
                  <w:noWrap w:val="0"/>
                  <w:vAlign w:val="center"/>
                </w:tcPr>
                <w:p>
                  <w:pPr>
                    <w:pStyle w:val="40"/>
                    <w:bidi w:val="0"/>
                  </w:pPr>
                  <w:r>
                    <w:t>60</w:t>
                  </w:r>
                </w:p>
              </w:tc>
              <w:tc>
                <w:tcPr>
                  <w:tcW w:w="666" w:type="pct"/>
                  <w:noWrap w:val="0"/>
                  <w:vAlign w:val="center"/>
                </w:tcPr>
                <w:p>
                  <w:pPr>
                    <w:pStyle w:val="40"/>
                    <w:bidi w:val="0"/>
                    <w:rPr>
                      <w:rFonts w:hint="default"/>
                      <w:lang w:val="en-US" w:eastAsia="zh-CN"/>
                    </w:rP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exact"/>
                <w:jc w:val="center"/>
              </w:trPr>
              <w:tc>
                <w:tcPr>
                  <w:tcW w:w="699" w:type="pct"/>
                  <w:noWrap w:val="0"/>
                  <w:vAlign w:val="center"/>
                </w:tcPr>
                <w:p>
                  <w:pPr>
                    <w:pStyle w:val="40"/>
                    <w:bidi w:val="0"/>
                    <w:rPr>
                      <w:rFonts w:hint="default"/>
                      <w:lang w:val="en-US" w:eastAsia="zh-CN"/>
                    </w:rPr>
                  </w:pPr>
                  <w:r>
                    <w:rPr>
                      <w:rFonts w:hint="default"/>
                      <w:lang w:val="en-US" w:eastAsia="zh-CN"/>
                    </w:rPr>
                    <w:t>西侧</w:t>
                  </w:r>
                </w:p>
              </w:tc>
              <w:tc>
                <w:tcPr>
                  <w:tcW w:w="509" w:type="pct"/>
                  <w:noWrap w:val="0"/>
                  <w:vAlign w:val="center"/>
                </w:tcPr>
                <w:p>
                  <w:pPr>
                    <w:pStyle w:val="40"/>
                    <w:bidi w:val="0"/>
                    <w:rPr>
                      <w:rFonts w:hint="default"/>
                      <w:lang w:val="en-US" w:eastAsia="zh-CN"/>
                    </w:rPr>
                  </w:pPr>
                  <w:r>
                    <w:t>-0.1</w:t>
                  </w:r>
                </w:p>
              </w:tc>
              <w:tc>
                <w:tcPr>
                  <w:tcW w:w="523" w:type="pct"/>
                  <w:noWrap w:val="0"/>
                  <w:vAlign w:val="center"/>
                </w:tcPr>
                <w:p>
                  <w:pPr>
                    <w:pStyle w:val="40"/>
                    <w:bidi w:val="0"/>
                    <w:rPr>
                      <w:rFonts w:hint="default"/>
                      <w:lang w:val="en-US" w:eastAsia="zh-CN"/>
                    </w:rPr>
                  </w:pPr>
                  <w:r>
                    <w:t>-0.1</w:t>
                  </w:r>
                </w:p>
              </w:tc>
              <w:tc>
                <w:tcPr>
                  <w:tcW w:w="529" w:type="pct"/>
                  <w:noWrap w:val="0"/>
                  <w:vAlign w:val="center"/>
                </w:tcPr>
                <w:p>
                  <w:pPr>
                    <w:pStyle w:val="40"/>
                    <w:bidi w:val="0"/>
                    <w:rPr>
                      <w:rFonts w:hint="default"/>
                      <w:lang w:val="en-US" w:eastAsia="zh-CN"/>
                    </w:rPr>
                  </w:pPr>
                  <w:r>
                    <w:t>1.2</w:t>
                  </w:r>
                </w:p>
              </w:tc>
              <w:tc>
                <w:tcPr>
                  <w:tcW w:w="624" w:type="pct"/>
                  <w:noWrap w:val="0"/>
                  <w:vAlign w:val="center"/>
                </w:tcPr>
                <w:p>
                  <w:pPr>
                    <w:pStyle w:val="40"/>
                    <w:bidi w:val="0"/>
                    <w:rPr>
                      <w:rFonts w:hint="default"/>
                      <w:lang w:val="en-US" w:eastAsia="zh-CN"/>
                    </w:rPr>
                  </w:pPr>
                  <w:r>
                    <w:t>昼间</w:t>
                  </w:r>
                </w:p>
              </w:tc>
              <w:tc>
                <w:tcPr>
                  <w:tcW w:w="740" w:type="pct"/>
                  <w:noWrap w:val="0"/>
                  <w:vAlign w:val="center"/>
                </w:tcPr>
                <w:p>
                  <w:pPr>
                    <w:pStyle w:val="40"/>
                    <w:bidi w:val="0"/>
                    <w:rPr>
                      <w:rFonts w:hint="default"/>
                      <w:lang w:val="en-US" w:eastAsia="zh-CN"/>
                    </w:rPr>
                  </w:pPr>
                  <w:r>
                    <w:t>51.6</w:t>
                  </w:r>
                </w:p>
              </w:tc>
              <w:tc>
                <w:tcPr>
                  <w:tcW w:w="707" w:type="pct"/>
                  <w:noWrap w:val="0"/>
                  <w:vAlign w:val="center"/>
                </w:tcPr>
                <w:p>
                  <w:pPr>
                    <w:pStyle w:val="40"/>
                    <w:bidi w:val="0"/>
                  </w:pPr>
                  <w:r>
                    <w:t>60</w:t>
                  </w:r>
                </w:p>
              </w:tc>
              <w:tc>
                <w:tcPr>
                  <w:tcW w:w="666" w:type="pct"/>
                  <w:noWrap w:val="0"/>
                  <w:vAlign w:val="center"/>
                </w:tcPr>
                <w:p>
                  <w:pPr>
                    <w:pStyle w:val="40"/>
                    <w:bidi w:val="0"/>
                    <w:rPr>
                      <w:rFonts w:hint="default"/>
                      <w:lang w:val="en-US" w:eastAsia="zh-CN"/>
                    </w:rP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exact"/>
                <w:jc w:val="center"/>
              </w:trPr>
              <w:tc>
                <w:tcPr>
                  <w:tcW w:w="699" w:type="pct"/>
                  <w:noWrap w:val="0"/>
                  <w:vAlign w:val="center"/>
                </w:tcPr>
                <w:p>
                  <w:pPr>
                    <w:pStyle w:val="40"/>
                    <w:bidi w:val="0"/>
                    <w:rPr>
                      <w:rFonts w:hint="default"/>
                      <w:lang w:val="en-US" w:eastAsia="zh-CN"/>
                    </w:rPr>
                  </w:pPr>
                  <w:r>
                    <w:rPr>
                      <w:rFonts w:hint="default"/>
                      <w:lang w:val="en-US" w:eastAsia="zh-CN"/>
                    </w:rPr>
                    <w:t>北侧</w:t>
                  </w:r>
                </w:p>
              </w:tc>
              <w:tc>
                <w:tcPr>
                  <w:tcW w:w="509" w:type="pct"/>
                  <w:noWrap w:val="0"/>
                  <w:vAlign w:val="center"/>
                </w:tcPr>
                <w:p>
                  <w:pPr>
                    <w:pStyle w:val="40"/>
                    <w:bidi w:val="0"/>
                    <w:rPr>
                      <w:rFonts w:hint="default"/>
                      <w:lang w:val="en-US" w:eastAsia="zh-CN"/>
                    </w:rPr>
                  </w:pPr>
                  <w:r>
                    <w:t>0</w:t>
                  </w:r>
                </w:p>
              </w:tc>
              <w:tc>
                <w:tcPr>
                  <w:tcW w:w="523" w:type="pct"/>
                  <w:noWrap w:val="0"/>
                  <w:vAlign w:val="center"/>
                </w:tcPr>
                <w:p>
                  <w:pPr>
                    <w:pStyle w:val="40"/>
                    <w:bidi w:val="0"/>
                    <w:rPr>
                      <w:rFonts w:hint="default"/>
                      <w:lang w:val="en-US" w:eastAsia="zh-CN"/>
                    </w:rPr>
                  </w:pPr>
                  <w:r>
                    <w:t>0</w:t>
                  </w:r>
                </w:p>
              </w:tc>
              <w:tc>
                <w:tcPr>
                  <w:tcW w:w="529" w:type="pct"/>
                  <w:noWrap w:val="0"/>
                  <w:vAlign w:val="center"/>
                </w:tcPr>
                <w:p>
                  <w:pPr>
                    <w:pStyle w:val="40"/>
                    <w:bidi w:val="0"/>
                    <w:rPr>
                      <w:rFonts w:hint="default"/>
                      <w:lang w:val="en-US" w:eastAsia="zh-CN"/>
                    </w:rPr>
                  </w:pPr>
                  <w:r>
                    <w:t>1.2</w:t>
                  </w:r>
                </w:p>
              </w:tc>
              <w:tc>
                <w:tcPr>
                  <w:tcW w:w="624" w:type="pct"/>
                  <w:noWrap w:val="0"/>
                  <w:vAlign w:val="center"/>
                </w:tcPr>
                <w:p>
                  <w:pPr>
                    <w:pStyle w:val="40"/>
                    <w:bidi w:val="0"/>
                    <w:rPr>
                      <w:rFonts w:hint="default"/>
                      <w:lang w:val="en-US" w:eastAsia="zh-CN"/>
                    </w:rPr>
                  </w:pPr>
                  <w:r>
                    <w:t>昼间</w:t>
                  </w:r>
                </w:p>
              </w:tc>
              <w:tc>
                <w:tcPr>
                  <w:tcW w:w="740" w:type="pct"/>
                  <w:noWrap w:val="0"/>
                  <w:vAlign w:val="center"/>
                </w:tcPr>
                <w:p>
                  <w:pPr>
                    <w:pStyle w:val="40"/>
                    <w:bidi w:val="0"/>
                    <w:rPr>
                      <w:rFonts w:hint="default"/>
                      <w:lang w:val="en-US" w:eastAsia="zh-CN"/>
                    </w:rPr>
                  </w:pPr>
                  <w:r>
                    <w:t>51.5</w:t>
                  </w:r>
                </w:p>
              </w:tc>
              <w:tc>
                <w:tcPr>
                  <w:tcW w:w="707" w:type="pct"/>
                  <w:noWrap w:val="0"/>
                  <w:vAlign w:val="center"/>
                </w:tcPr>
                <w:p>
                  <w:pPr>
                    <w:pStyle w:val="40"/>
                    <w:bidi w:val="0"/>
                  </w:pPr>
                  <w:r>
                    <w:t>60</w:t>
                  </w:r>
                </w:p>
              </w:tc>
              <w:tc>
                <w:tcPr>
                  <w:tcW w:w="666" w:type="pct"/>
                  <w:noWrap w:val="0"/>
                  <w:vAlign w:val="center"/>
                </w:tcPr>
                <w:p>
                  <w:pPr>
                    <w:pStyle w:val="40"/>
                    <w:bidi w:val="0"/>
                    <w:rPr>
                      <w:rFonts w:hint="default"/>
                      <w:lang w:val="en-US" w:eastAsia="zh-CN"/>
                    </w:rPr>
                  </w:pPr>
                  <w:r>
                    <w:t>达标</w:t>
                  </w:r>
                </w:p>
              </w:tc>
            </w:tr>
          </w:tbl>
          <w:p>
            <w:pPr>
              <w:pStyle w:val="8"/>
              <w:bidi w:val="0"/>
              <w:rPr>
                <w:rFonts w:hint="default"/>
                <w:lang w:val="en-US" w:eastAsia="zh-CN"/>
              </w:rPr>
            </w:pPr>
            <w:r>
              <w:rPr>
                <w:rFonts w:hint="default"/>
                <w:lang w:val="en-US" w:eastAsia="zh-CN"/>
              </w:rPr>
              <w:t>由上表可知，正常工况下，项目厂界噪声满足《工业企业厂界环境噪声排放标准》</w:t>
            </w:r>
            <w:bookmarkStart w:id="9" w:name="PO_3"/>
            <w:r>
              <w:rPr>
                <w:rFonts w:hint="eastAsia"/>
                <w:lang w:val="en-US" w:eastAsia="zh-CN"/>
              </w:rPr>
              <w:t>（</w:t>
            </w:r>
            <w:r>
              <w:rPr>
                <w:rFonts w:hint="default"/>
                <w:lang w:val="en-US" w:eastAsia="zh-CN"/>
              </w:rPr>
              <w:t>GB12348</w:t>
            </w:r>
            <w:r>
              <w:rPr>
                <w:rFonts w:hint="eastAsia"/>
                <w:lang w:val="en-US" w:eastAsia="zh-CN"/>
              </w:rPr>
              <w:t>-</w:t>
            </w:r>
            <w:r>
              <w:rPr>
                <w:rFonts w:hint="default"/>
                <w:lang w:val="en-US" w:eastAsia="zh-CN"/>
              </w:rPr>
              <w:t>2008</w:t>
            </w:r>
            <w:r>
              <w:rPr>
                <w:rFonts w:hint="eastAsia"/>
                <w:lang w:val="en-US" w:eastAsia="zh-CN"/>
              </w:rPr>
              <w:t>）</w:t>
            </w:r>
            <w:bookmarkEnd w:id="9"/>
            <w:r>
              <w:rPr>
                <w:rFonts w:hint="eastAsia"/>
                <w:lang w:val="en-US" w:eastAsia="zh-CN"/>
              </w:rPr>
              <w:t>2</w:t>
            </w:r>
            <w:r>
              <w:rPr>
                <w:rFonts w:hint="default"/>
                <w:lang w:val="en-US" w:eastAsia="zh-CN"/>
              </w:rPr>
              <w:t>类标准（夜间不生产）。</w:t>
            </w:r>
          </w:p>
          <w:p>
            <w:pPr>
              <w:pStyle w:val="2"/>
              <w:bidi w:val="0"/>
              <w:rPr>
                <w:rFonts w:hint="eastAsia"/>
                <w:lang w:val="en-US" w:eastAsia="zh-CN"/>
              </w:rPr>
            </w:pPr>
            <w:r>
              <w:rPr>
                <w:rFonts w:hint="eastAsia"/>
                <w:lang w:val="en-US" w:eastAsia="zh-CN"/>
              </w:rPr>
              <w:t>3.4监测要求</w:t>
            </w:r>
          </w:p>
          <w:p>
            <w:pPr>
              <w:pStyle w:val="8"/>
              <w:bidi w:val="0"/>
              <w:rPr>
                <w:rFonts w:hint="default"/>
                <w:lang w:val="en-US" w:eastAsia="zh-CN"/>
              </w:rPr>
            </w:pPr>
            <w:r>
              <w:rPr>
                <w:rFonts w:hint="default"/>
                <w:lang w:val="en-US" w:eastAsia="zh-CN"/>
              </w:rPr>
              <w:t>参照《排污单位自行监测技术指南 总则》（HJ819-2017）的相关要求，本项目噪声监测计划详见下表。</w:t>
            </w:r>
          </w:p>
          <w:p>
            <w:pPr>
              <w:pStyle w:val="42"/>
              <w:bidi w:val="0"/>
              <w:rPr>
                <w:rFonts w:hint="default"/>
                <w:lang w:val="en-US" w:eastAsia="zh-CN"/>
              </w:rPr>
            </w:pPr>
            <w:r>
              <w:rPr>
                <w:rFonts w:hint="default"/>
                <w:lang w:val="en-US" w:eastAsia="zh-CN"/>
              </w:rPr>
              <w:t>表</w:t>
            </w:r>
            <w:r>
              <w:rPr>
                <w:rFonts w:hint="eastAsia"/>
                <w:highlight w:val="none"/>
                <w:lang w:val="en-US" w:eastAsia="zh-CN"/>
              </w:rPr>
              <w:t>4-11</w:t>
            </w:r>
            <w:r>
              <w:rPr>
                <w:rFonts w:hint="default"/>
                <w:highlight w:val="none"/>
                <w:lang w:val="en-US" w:eastAsia="zh-CN"/>
              </w:rPr>
              <w:t xml:space="preserve"> </w:t>
            </w:r>
            <w:r>
              <w:rPr>
                <w:rFonts w:hint="default"/>
                <w:lang w:val="en-US" w:eastAsia="zh-CN"/>
              </w:rPr>
              <w:t xml:space="preserve">   噪声环境监测计划</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547"/>
              <w:gridCol w:w="1278"/>
              <w:gridCol w:w="1462"/>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9" w:type="pct"/>
                  <w:shd w:val="clear" w:color="auto" w:fill="auto"/>
                  <w:noWrap w:val="0"/>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项目</w:t>
                  </w:r>
                </w:p>
              </w:tc>
              <w:tc>
                <w:tcPr>
                  <w:tcW w:w="992"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指标</w:t>
                  </w:r>
                </w:p>
              </w:tc>
              <w:tc>
                <w:tcPr>
                  <w:tcW w:w="820"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lang w:val="en-US" w:eastAsia="zh-CN"/>
                    </w:rPr>
                    <w:t>点位</w:t>
                  </w:r>
                </w:p>
              </w:tc>
              <w:tc>
                <w:tcPr>
                  <w:tcW w:w="938" w:type="pct"/>
                  <w:noWrap w:val="0"/>
                  <w:vAlign w:val="center"/>
                </w:tcPr>
                <w:p>
                  <w:pPr>
                    <w:pStyle w:val="40"/>
                    <w:bidi w:val="0"/>
                    <w:rPr>
                      <w:rFonts w:hint="default"/>
                    </w:rPr>
                  </w:pPr>
                  <w:r>
                    <w:rPr>
                      <w:rFonts w:hint="default"/>
                    </w:rPr>
                    <w:t>监测频次</w:t>
                  </w:r>
                </w:p>
              </w:tc>
              <w:tc>
                <w:tcPr>
                  <w:tcW w:w="1779" w:type="pct"/>
                  <w:noWrap w:val="0"/>
                  <w:vAlign w:val="center"/>
                </w:tcPr>
                <w:p>
                  <w:pPr>
                    <w:pStyle w:val="40"/>
                    <w:bidi w:val="0"/>
                    <w:rPr>
                      <w:rFonts w:hint="default"/>
                    </w:rPr>
                  </w:pPr>
                  <w:r>
                    <w:rPr>
                      <w:rFonts w:hint="default"/>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9" w:type="pct"/>
                  <w:shd w:val="clear" w:color="auto" w:fill="auto"/>
                  <w:noWrap w:val="0"/>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噪声</w:t>
                  </w:r>
                </w:p>
              </w:tc>
              <w:tc>
                <w:tcPr>
                  <w:tcW w:w="992" w:type="pct"/>
                  <w:shd w:val="clear" w:color="auto" w:fill="auto"/>
                  <w:noWrap w:val="0"/>
                  <w:vAlign w:val="center"/>
                </w:tcPr>
                <w:p>
                  <w:pPr>
                    <w:pStyle w:val="40"/>
                    <w:bidi w:val="0"/>
                    <w:rPr>
                      <w:rFonts w:hint="eastAsia" w:ascii="Times New Roman" w:hAnsi="Times New Roman" w:eastAsia="宋体" w:cs="Times New Roman"/>
                      <w:kern w:val="2"/>
                      <w:sz w:val="21"/>
                      <w:szCs w:val="21"/>
                      <w:lang w:val="en-US" w:eastAsia="zh-CN" w:bidi="ar-SA"/>
                    </w:rPr>
                  </w:pPr>
                  <w:r>
                    <w:rPr>
                      <w:rFonts w:hint="eastAsia"/>
                    </w:rPr>
                    <w:t>连续等效A声级</w:t>
                  </w:r>
                </w:p>
              </w:tc>
              <w:tc>
                <w:tcPr>
                  <w:tcW w:w="820" w:type="pct"/>
                  <w:shd w:val="clear" w:color="auto" w:fill="auto"/>
                  <w:noWrap w:val="0"/>
                  <w:vAlign w:val="center"/>
                </w:tcPr>
                <w:p>
                  <w:pPr>
                    <w:pStyle w:val="40"/>
                    <w:bidi w:val="0"/>
                    <w:rPr>
                      <w:rFonts w:hint="default" w:ascii="Times New Roman" w:hAnsi="Times New Roman" w:eastAsia="宋体" w:cs="Times New Roman"/>
                      <w:kern w:val="2"/>
                      <w:sz w:val="21"/>
                      <w:szCs w:val="21"/>
                      <w:lang w:val="en-US" w:eastAsia="zh-CN" w:bidi="ar-SA"/>
                    </w:rPr>
                  </w:pPr>
                  <w:r>
                    <w:rPr>
                      <w:rFonts w:hint="eastAsia"/>
                      <w:lang w:val="en-US" w:eastAsia="zh-CN"/>
                    </w:rPr>
                    <w:t>四周</w:t>
                  </w:r>
                  <w:r>
                    <w:rPr>
                      <w:rFonts w:hint="eastAsia"/>
                    </w:rPr>
                    <w:t>厂界外1米</w:t>
                  </w:r>
                </w:p>
              </w:tc>
              <w:tc>
                <w:tcPr>
                  <w:tcW w:w="938" w:type="pct"/>
                  <w:noWrap w:val="0"/>
                  <w:vAlign w:val="center"/>
                </w:tcPr>
                <w:p>
                  <w:pPr>
                    <w:pStyle w:val="40"/>
                    <w:bidi w:val="0"/>
                    <w:rPr>
                      <w:rFonts w:hint="default"/>
                    </w:rPr>
                  </w:pPr>
                  <w:r>
                    <w:rPr>
                      <w:rFonts w:hint="default"/>
                    </w:rPr>
                    <w:t>1次/</w:t>
                  </w:r>
                  <w:r>
                    <w:rPr>
                      <w:rFonts w:hint="eastAsia"/>
                    </w:rPr>
                    <w:t>季度</w:t>
                  </w:r>
                </w:p>
              </w:tc>
              <w:tc>
                <w:tcPr>
                  <w:tcW w:w="1779" w:type="pct"/>
                  <w:noWrap w:val="0"/>
                  <w:vAlign w:val="center"/>
                </w:tcPr>
                <w:p>
                  <w:pPr>
                    <w:pStyle w:val="40"/>
                    <w:bidi w:val="0"/>
                    <w:rPr>
                      <w:rFonts w:hint="default"/>
                    </w:rPr>
                  </w:pPr>
                  <w:r>
                    <w:rPr>
                      <w:rFonts w:hint="default"/>
                    </w:rPr>
                    <w:t>《工业企业厂界环境噪声排放标准》（GB12348-2008）中</w:t>
                  </w:r>
                  <w:r>
                    <w:rPr>
                      <w:rFonts w:hint="eastAsia"/>
                      <w:lang w:val="en-US" w:eastAsia="zh-CN"/>
                    </w:rPr>
                    <w:t>2</w:t>
                  </w:r>
                  <w:r>
                    <w:rPr>
                      <w:rFonts w:hint="default"/>
                    </w:rPr>
                    <w:t>类标准</w:t>
                  </w:r>
                </w:p>
              </w:tc>
            </w:tr>
          </w:tbl>
          <w:p>
            <w:pPr>
              <w:pStyle w:val="2"/>
              <w:bidi w:val="0"/>
              <w:rPr>
                <w:rFonts w:hint="default"/>
                <w:lang w:val="en-US" w:eastAsia="zh-CN"/>
              </w:rPr>
            </w:pPr>
            <w:r>
              <w:rPr>
                <w:rFonts w:hint="default"/>
                <w:lang w:val="en-US" w:eastAsia="zh-CN"/>
              </w:rPr>
              <w:t>4.固体废物环境影响和保护措施</w:t>
            </w:r>
          </w:p>
          <w:p>
            <w:pPr>
              <w:pStyle w:val="2"/>
              <w:bidi w:val="0"/>
              <w:rPr>
                <w:rFonts w:hint="default"/>
                <w:lang w:val="en-US" w:eastAsia="zh-CN"/>
              </w:rPr>
            </w:pPr>
            <w:r>
              <w:rPr>
                <w:rFonts w:hint="default"/>
                <w:lang w:val="en-US" w:eastAsia="zh-CN"/>
              </w:rPr>
              <w:t>4.1固体废物产生及处置情况</w:t>
            </w:r>
          </w:p>
          <w:p>
            <w:pPr>
              <w:pStyle w:val="8"/>
              <w:bidi w:val="0"/>
              <w:rPr>
                <w:rFonts w:hint="default"/>
                <w:lang w:val="en-US" w:eastAsia="zh-CN"/>
              </w:rPr>
            </w:pPr>
            <w:r>
              <w:rPr>
                <w:rFonts w:hint="default"/>
                <w:lang w:val="en-US" w:eastAsia="zh-CN"/>
              </w:rPr>
              <w:t>本项目固体废弃物主要来源有除尘系统收集的粉尘</w:t>
            </w:r>
            <w:r>
              <w:rPr>
                <w:rFonts w:hint="eastAsia"/>
                <w:lang w:val="en-US" w:eastAsia="zh-CN"/>
              </w:rPr>
              <w:t>、生产过程中产生的废布袋，</w:t>
            </w:r>
            <w:r>
              <w:rPr>
                <w:rFonts w:hint="default"/>
                <w:lang w:val="en-US" w:eastAsia="zh-CN"/>
              </w:rPr>
              <w:t>员工生活垃圾等。</w:t>
            </w:r>
          </w:p>
          <w:p>
            <w:pPr>
              <w:pStyle w:val="8"/>
              <w:bidi w:val="0"/>
              <w:rPr>
                <w:rFonts w:hint="default"/>
                <w:lang w:val="en-US" w:eastAsia="zh-CN"/>
              </w:rPr>
            </w:pPr>
            <w:r>
              <w:rPr>
                <w:rFonts w:hint="default"/>
                <w:lang w:val="en-US" w:eastAsia="zh-CN"/>
              </w:rPr>
              <w:t>（1）一般固废</w:t>
            </w:r>
          </w:p>
          <w:p>
            <w:pPr>
              <w:pStyle w:val="8"/>
              <w:bidi w:val="0"/>
              <w:rPr>
                <w:rFonts w:hint="default"/>
                <w:lang w:val="en-US" w:eastAsia="zh-CN"/>
              </w:rPr>
            </w:pPr>
            <w:r>
              <w:rPr>
                <w:rFonts w:hint="default"/>
                <w:lang w:val="en-US" w:eastAsia="zh-CN"/>
              </w:rPr>
              <w:t>①除尘器收集的粉尘</w:t>
            </w:r>
          </w:p>
          <w:p>
            <w:pPr>
              <w:pStyle w:val="8"/>
              <w:bidi w:val="0"/>
              <w:rPr>
                <w:rFonts w:hint="default"/>
                <w:lang w:val="en-US" w:eastAsia="zh-CN"/>
              </w:rPr>
            </w:pPr>
            <w:r>
              <w:rPr>
                <w:rFonts w:hint="default"/>
                <w:lang w:val="en-US" w:eastAsia="zh-CN"/>
              </w:rPr>
              <w:t>项目各布袋除尘器收集的粉尘量约为</w:t>
            </w:r>
            <w:r>
              <w:rPr>
                <w:rFonts w:hint="eastAsia"/>
                <w:lang w:val="en-US" w:eastAsia="zh-CN"/>
              </w:rPr>
              <w:t>17.767</w:t>
            </w:r>
            <w:r>
              <w:rPr>
                <w:rFonts w:hint="default"/>
                <w:highlight w:val="none"/>
                <w:lang w:val="en-US" w:eastAsia="zh-CN"/>
              </w:rPr>
              <w:t>t/a，</w:t>
            </w:r>
            <w:r>
              <w:rPr>
                <w:rFonts w:hint="default"/>
                <w:lang w:val="en-US" w:eastAsia="zh-CN"/>
              </w:rPr>
              <w:t>除尘器收集的粉尘全部回用于生产，不外排。</w:t>
            </w:r>
          </w:p>
          <w:p>
            <w:pPr>
              <w:pStyle w:val="8"/>
              <w:bidi w:val="0"/>
              <w:rPr>
                <w:rFonts w:hint="default"/>
                <w:lang w:val="en-US" w:eastAsia="zh-CN"/>
              </w:rPr>
            </w:pPr>
            <w:r>
              <w:rPr>
                <w:rFonts w:hint="default"/>
                <w:lang w:val="en-US" w:eastAsia="zh-CN"/>
              </w:rPr>
              <w:t>②废布袋</w:t>
            </w:r>
          </w:p>
          <w:p>
            <w:pPr>
              <w:pStyle w:val="8"/>
              <w:bidi w:val="0"/>
              <w:rPr>
                <w:rFonts w:hint="default"/>
                <w:lang w:val="en-US" w:eastAsia="zh-CN"/>
              </w:rPr>
            </w:pPr>
            <w:r>
              <w:rPr>
                <w:rFonts w:hint="default"/>
                <w:lang w:val="en-US" w:eastAsia="zh-CN"/>
              </w:rPr>
              <w:t>本项目使用布袋除尘器为末端治理设施，布袋除尘器中的布袋需定期更换，废布袋产生量约为</w:t>
            </w:r>
            <w:r>
              <w:rPr>
                <w:rFonts w:hint="eastAsia"/>
                <w:lang w:val="en-US" w:eastAsia="zh-CN"/>
              </w:rPr>
              <w:t>0.02</w:t>
            </w:r>
            <w:r>
              <w:rPr>
                <w:rFonts w:hint="default"/>
                <w:lang w:val="en-US" w:eastAsia="zh-CN"/>
              </w:rPr>
              <w:t>t/a，集中收集后定期由设备厂家进行回收</w:t>
            </w:r>
            <w:r>
              <w:rPr>
                <w:rFonts w:hint="eastAsia"/>
                <w:lang w:val="en-US" w:eastAsia="zh-CN"/>
              </w:rPr>
              <w:t>处理</w:t>
            </w:r>
            <w:r>
              <w:rPr>
                <w:rFonts w:hint="default"/>
                <w:lang w:val="en-US" w:eastAsia="zh-CN"/>
              </w:rPr>
              <w:t>。</w:t>
            </w:r>
          </w:p>
          <w:p>
            <w:pPr>
              <w:pStyle w:val="8"/>
              <w:numPr>
                <w:ilvl w:val="0"/>
                <w:numId w:val="0"/>
              </w:numPr>
              <w:bidi w:val="0"/>
              <w:ind w:leftChars="200" w:right="0" w:rightChars="0"/>
              <w:rPr>
                <w:rFonts w:hint="eastAsia"/>
                <w:lang w:val="en-US" w:eastAsia="zh-CN"/>
              </w:rPr>
            </w:pPr>
            <w:r>
              <w:rPr>
                <w:rFonts w:hint="eastAsia"/>
                <w:lang w:val="en-US" w:eastAsia="zh-CN"/>
              </w:rPr>
              <w:t>（2）生活垃圾</w:t>
            </w:r>
          </w:p>
          <w:p>
            <w:pPr>
              <w:pStyle w:val="8"/>
              <w:bidi w:val="0"/>
              <w:rPr>
                <w:rFonts w:hint="default"/>
                <w:lang w:val="en-US" w:eastAsia="zh-CN"/>
              </w:rPr>
            </w:pPr>
            <w:r>
              <w:rPr>
                <w:rFonts w:hint="default"/>
                <w:lang w:val="en-US" w:eastAsia="zh-CN"/>
              </w:rPr>
              <w:t>本项目职工人数</w:t>
            </w:r>
            <w:r>
              <w:rPr>
                <w:rFonts w:hint="eastAsia"/>
                <w:lang w:val="en-US" w:eastAsia="zh-CN"/>
              </w:rPr>
              <w:t>6</w:t>
            </w:r>
            <w:r>
              <w:rPr>
                <w:rFonts w:hint="default"/>
                <w:lang w:val="en-US" w:eastAsia="zh-CN"/>
              </w:rPr>
              <w:t>人，生活垃圾按每人每天产生0.5kg/d计，则产生量为</w:t>
            </w:r>
            <w:r>
              <w:rPr>
                <w:rFonts w:hint="eastAsia"/>
                <w:lang w:val="en-US" w:eastAsia="zh-CN"/>
              </w:rPr>
              <w:t>0.27</w:t>
            </w:r>
            <w:r>
              <w:rPr>
                <w:rFonts w:hint="default"/>
                <w:lang w:val="en-US" w:eastAsia="zh-CN"/>
              </w:rPr>
              <w:t>t/a，生活垃圾集中收集后交由环卫部门统一清运至垃圾处理站处理。</w:t>
            </w:r>
          </w:p>
          <w:p>
            <w:pPr>
              <w:pStyle w:val="8"/>
              <w:bidi w:val="0"/>
              <w:rPr>
                <w:rFonts w:hint="eastAsia"/>
                <w:lang w:val="en-US" w:eastAsia="zh-CN"/>
              </w:rPr>
            </w:pPr>
            <w:r>
              <w:rPr>
                <w:rFonts w:hint="eastAsia"/>
                <w:lang w:val="en-US" w:eastAsia="zh-CN"/>
              </w:rPr>
              <w:t>（3）危险废物</w:t>
            </w:r>
          </w:p>
          <w:p>
            <w:pPr>
              <w:pStyle w:val="8"/>
              <w:bidi w:val="0"/>
              <w:rPr>
                <w:rFonts w:hint="default"/>
                <w:lang w:val="en-US" w:eastAsia="zh-CN"/>
              </w:rPr>
            </w:pPr>
            <w:r>
              <w:rPr>
                <w:rFonts w:hint="default"/>
                <w:lang w:val="en-US" w:eastAsia="zh-CN"/>
              </w:rPr>
              <w:t>①废润滑油及废润滑油桶</w:t>
            </w:r>
          </w:p>
          <w:p>
            <w:pPr>
              <w:pStyle w:val="8"/>
              <w:bidi w:val="0"/>
              <w:rPr>
                <w:rFonts w:hint="default"/>
                <w:lang w:val="en-US" w:eastAsia="zh-CN"/>
              </w:rPr>
            </w:pPr>
            <w:r>
              <w:rPr>
                <w:rFonts w:hint="default"/>
                <w:lang w:val="en-US" w:eastAsia="zh-CN"/>
              </w:rPr>
              <w:t>本</w:t>
            </w:r>
            <w:r>
              <w:rPr>
                <w:rFonts w:hint="eastAsia"/>
                <w:lang w:val="en-US" w:eastAsia="zh-CN"/>
              </w:rPr>
              <w:t>项目</w:t>
            </w:r>
            <w:r>
              <w:rPr>
                <w:rFonts w:hint="default"/>
                <w:lang w:val="en-US" w:eastAsia="zh-CN"/>
              </w:rPr>
              <w:t>设备运行维护过程中会产生少量废润滑油（HW08 900-214-08），产生量约为0.</w:t>
            </w:r>
            <w:r>
              <w:rPr>
                <w:rFonts w:hint="eastAsia"/>
                <w:lang w:val="en-US" w:eastAsia="zh-CN"/>
              </w:rPr>
              <w:t>1</w:t>
            </w:r>
            <w:r>
              <w:rPr>
                <w:rFonts w:hint="default"/>
                <w:lang w:val="en-US" w:eastAsia="zh-CN"/>
              </w:rPr>
              <w:t>t/a，废润滑油桶（HW08 900-249-08）产生量约为0.01t/a。经收集后暂存于危废贮存点内，定期交由有资质单位进行无害化处置。</w:t>
            </w:r>
          </w:p>
          <w:p>
            <w:pPr>
              <w:pStyle w:val="8"/>
              <w:bidi w:val="0"/>
              <w:rPr>
                <w:rFonts w:hint="default"/>
                <w:lang w:val="en-US" w:eastAsia="zh-CN"/>
              </w:rPr>
            </w:pPr>
            <w:r>
              <w:rPr>
                <w:rFonts w:hint="default"/>
                <w:lang w:val="en-US" w:eastAsia="zh-CN"/>
              </w:rPr>
              <w:t>本项目固废产生明细见下表。</w:t>
            </w:r>
          </w:p>
          <w:p>
            <w:pPr>
              <w:pStyle w:val="42"/>
              <w:bidi w:val="0"/>
              <w:rPr>
                <w:rFonts w:hint="default"/>
                <w:lang w:val="en-US" w:eastAsia="zh-CN"/>
              </w:rPr>
            </w:pPr>
            <w:r>
              <w:rPr>
                <w:rFonts w:hint="default"/>
                <w:highlight w:val="none"/>
                <w:lang w:val="en-US" w:eastAsia="zh-CN"/>
              </w:rPr>
              <w:t>表4-</w:t>
            </w:r>
            <w:r>
              <w:rPr>
                <w:rFonts w:hint="eastAsia"/>
                <w:highlight w:val="none"/>
                <w:lang w:val="en-US" w:eastAsia="zh-CN"/>
              </w:rPr>
              <w:t>12</w:t>
            </w:r>
            <w:r>
              <w:rPr>
                <w:rFonts w:hint="default"/>
                <w:highlight w:val="none"/>
                <w:lang w:val="en-US" w:eastAsia="zh-CN"/>
              </w:rPr>
              <w:t xml:space="preserve"> </w:t>
            </w:r>
            <w:r>
              <w:rPr>
                <w:rFonts w:hint="default"/>
                <w:lang w:val="en-US" w:eastAsia="zh-CN"/>
              </w:rPr>
              <w:t xml:space="preserve">   项目固体废物产生情况明细</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133"/>
              <w:gridCol w:w="776"/>
              <w:gridCol w:w="1475"/>
              <w:gridCol w:w="995"/>
              <w:gridCol w:w="931"/>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pct"/>
                  <w:noWrap w:val="0"/>
                  <w:vAlign w:val="center"/>
                </w:tcPr>
                <w:p>
                  <w:pPr>
                    <w:pStyle w:val="40"/>
                    <w:bidi w:val="0"/>
                    <w:rPr>
                      <w:rFonts w:hint="default"/>
                      <w:highlight w:val="none"/>
                      <w:lang w:val="en-US" w:eastAsia="zh-CN"/>
                    </w:rPr>
                  </w:pPr>
                  <w:r>
                    <w:rPr>
                      <w:rFonts w:hint="default"/>
                      <w:highlight w:val="none"/>
                      <w:lang w:val="en-US" w:eastAsia="zh-CN"/>
                    </w:rPr>
                    <w:t>废物属性</w:t>
                  </w:r>
                </w:p>
              </w:tc>
              <w:tc>
                <w:tcPr>
                  <w:tcW w:w="727" w:type="pct"/>
                  <w:noWrap w:val="0"/>
                  <w:vAlign w:val="center"/>
                </w:tcPr>
                <w:p>
                  <w:pPr>
                    <w:pStyle w:val="40"/>
                    <w:bidi w:val="0"/>
                    <w:rPr>
                      <w:rFonts w:hint="default"/>
                      <w:highlight w:val="none"/>
                      <w:lang w:val="en-US" w:eastAsia="zh-CN"/>
                    </w:rPr>
                  </w:pPr>
                  <w:r>
                    <w:rPr>
                      <w:rFonts w:hint="default"/>
                      <w:highlight w:val="none"/>
                      <w:lang w:val="en-US" w:eastAsia="zh-CN"/>
                    </w:rPr>
                    <w:t>名称</w:t>
                  </w:r>
                </w:p>
              </w:tc>
              <w:tc>
                <w:tcPr>
                  <w:tcW w:w="498" w:type="pct"/>
                  <w:noWrap w:val="0"/>
                  <w:vAlign w:val="center"/>
                </w:tcPr>
                <w:p>
                  <w:pPr>
                    <w:pStyle w:val="40"/>
                    <w:bidi w:val="0"/>
                    <w:rPr>
                      <w:rFonts w:hint="default"/>
                      <w:highlight w:val="none"/>
                      <w:lang w:val="en-US" w:eastAsia="zh-CN"/>
                    </w:rPr>
                  </w:pPr>
                  <w:r>
                    <w:rPr>
                      <w:rFonts w:hint="default"/>
                      <w:highlight w:val="none"/>
                      <w:lang w:val="en-US" w:eastAsia="zh-CN"/>
                    </w:rPr>
                    <w:t>废物类别</w:t>
                  </w:r>
                </w:p>
              </w:tc>
              <w:tc>
                <w:tcPr>
                  <w:tcW w:w="946" w:type="pct"/>
                  <w:noWrap w:val="0"/>
                  <w:vAlign w:val="center"/>
                </w:tcPr>
                <w:p>
                  <w:pPr>
                    <w:pStyle w:val="40"/>
                    <w:bidi w:val="0"/>
                    <w:rPr>
                      <w:rFonts w:hint="default"/>
                      <w:highlight w:val="none"/>
                      <w:lang w:val="en-US" w:eastAsia="zh-CN"/>
                    </w:rPr>
                  </w:pPr>
                  <w:r>
                    <w:rPr>
                      <w:rFonts w:hint="default"/>
                      <w:highlight w:val="none"/>
                      <w:lang w:val="en-US" w:eastAsia="zh-CN"/>
                    </w:rPr>
                    <w:t>废物代码</w:t>
                  </w:r>
                </w:p>
              </w:tc>
              <w:tc>
                <w:tcPr>
                  <w:tcW w:w="638" w:type="pct"/>
                  <w:noWrap w:val="0"/>
                  <w:vAlign w:val="center"/>
                </w:tcPr>
                <w:p>
                  <w:pPr>
                    <w:pStyle w:val="40"/>
                    <w:bidi w:val="0"/>
                    <w:rPr>
                      <w:rFonts w:hint="default"/>
                      <w:highlight w:val="none"/>
                      <w:lang w:val="en-US" w:eastAsia="zh-CN"/>
                    </w:rPr>
                  </w:pPr>
                  <w:r>
                    <w:rPr>
                      <w:rFonts w:hint="default"/>
                      <w:highlight w:val="none"/>
                      <w:lang w:val="en-US" w:eastAsia="zh-CN"/>
                    </w:rPr>
                    <w:t>产生量（t/a）</w:t>
                  </w:r>
                </w:p>
              </w:tc>
              <w:tc>
                <w:tcPr>
                  <w:tcW w:w="597" w:type="pct"/>
                  <w:noWrap w:val="0"/>
                  <w:vAlign w:val="center"/>
                </w:tcPr>
                <w:p>
                  <w:pPr>
                    <w:pStyle w:val="40"/>
                    <w:bidi w:val="0"/>
                    <w:rPr>
                      <w:rFonts w:hint="default"/>
                      <w:highlight w:val="none"/>
                      <w:lang w:val="en-US" w:eastAsia="zh-CN"/>
                    </w:rPr>
                  </w:pPr>
                  <w:r>
                    <w:rPr>
                      <w:rFonts w:hint="default"/>
                      <w:highlight w:val="none"/>
                      <w:lang w:val="en-US" w:eastAsia="zh-CN"/>
                    </w:rPr>
                    <w:t>危险特性</w:t>
                  </w:r>
                </w:p>
              </w:tc>
              <w:tc>
                <w:tcPr>
                  <w:tcW w:w="1106" w:type="pct"/>
                  <w:noWrap w:val="0"/>
                  <w:vAlign w:val="center"/>
                </w:tcPr>
                <w:p>
                  <w:pPr>
                    <w:pStyle w:val="40"/>
                    <w:bidi w:val="0"/>
                    <w:rPr>
                      <w:rFonts w:hint="default"/>
                      <w:highlight w:val="none"/>
                      <w:lang w:val="en-US" w:eastAsia="zh-CN"/>
                    </w:rPr>
                  </w:pPr>
                  <w:r>
                    <w:rPr>
                      <w:rFonts w:hint="default"/>
                      <w:highlight w:val="none"/>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 w:hRule="atLeast"/>
                <w:jc w:val="center"/>
              </w:trPr>
              <w:tc>
                <w:tcPr>
                  <w:tcW w:w="485" w:type="pct"/>
                  <w:vMerge w:val="restart"/>
                  <w:noWrap w:val="0"/>
                  <w:vAlign w:val="center"/>
                </w:tcPr>
                <w:p>
                  <w:pPr>
                    <w:pStyle w:val="40"/>
                    <w:bidi w:val="0"/>
                    <w:rPr>
                      <w:rFonts w:hint="default"/>
                      <w:highlight w:val="none"/>
                      <w:lang w:val="en-US" w:eastAsia="zh-CN"/>
                    </w:rPr>
                  </w:pPr>
                  <w:r>
                    <w:rPr>
                      <w:rFonts w:hint="default"/>
                      <w:highlight w:val="none"/>
                      <w:lang w:val="en-US" w:eastAsia="zh-CN"/>
                    </w:rPr>
                    <w:t>一般固废</w:t>
                  </w:r>
                </w:p>
              </w:tc>
              <w:tc>
                <w:tcPr>
                  <w:tcW w:w="727" w:type="pct"/>
                  <w:noWrap w:val="0"/>
                  <w:vAlign w:val="center"/>
                </w:tcPr>
                <w:p>
                  <w:pPr>
                    <w:pStyle w:val="40"/>
                    <w:bidi w:val="0"/>
                    <w:rPr>
                      <w:rFonts w:hint="default"/>
                      <w:highlight w:val="none"/>
                      <w:lang w:val="en-US" w:eastAsia="zh-CN"/>
                    </w:rPr>
                  </w:pPr>
                  <w:r>
                    <w:rPr>
                      <w:rFonts w:hint="default"/>
                      <w:highlight w:val="none"/>
                      <w:lang w:val="en-US" w:eastAsia="zh-CN"/>
                    </w:rPr>
                    <w:t>除尘器收集的粉尘</w:t>
                  </w:r>
                </w:p>
              </w:tc>
              <w:tc>
                <w:tcPr>
                  <w:tcW w:w="498" w:type="pct"/>
                  <w:tcBorders>
                    <w:bottom w:val="single" w:color="000000" w:sz="8" w:space="0"/>
                  </w:tcBorders>
                  <w:noWrap w:val="0"/>
                  <w:vAlign w:val="center"/>
                </w:tcPr>
                <w:p>
                  <w:pPr>
                    <w:pStyle w:val="40"/>
                    <w:bidi w:val="0"/>
                    <w:rPr>
                      <w:rFonts w:hint="default"/>
                      <w:highlight w:val="none"/>
                      <w:lang w:val="en-US" w:eastAsia="zh-CN"/>
                    </w:rPr>
                  </w:pPr>
                  <w:r>
                    <w:rPr>
                      <w:rFonts w:hint="default"/>
                      <w:highlight w:val="none"/>
                      <w:lang w:val="en-US" w:eastAsia="zh-CN"/>
                    </w:rPr>
                    <w:t>SW17</w:t>
                  </w:r>
                </w:p>
              </w:tc>
              <w:tc>
                <w:tcPr>
                  <w:tcW w:w="946" w:type="pct"/>
                  <w:tcBorders>
                    <w:bottom w:val="single" w:color="000000" w:sz="8" w:space="0"/>
                  </w:tcBorders>
                  <w:noWrap w:val="0"/>
                  <w:vAlign w:val="center"/>
                </w:tcPr>
                <w:p>
                  <w:pPr>
                    <w:pStyle w:val="40"/>
                    <w:bidi w:val="0"/>
                    <w:rPr>
                      <w:rFonts w:hint="default"/>
                      <w:highlight w:val="none"/>
                      <w:lang w:val="en-US" w:eastAsia="zh-CN"/>
                    </w:rPr>
                  </w:pPr>
                  <w:r>
                    <w:rPr>
                      <w:rFonts w:hint="default"/>
                      <w:highlight w:val="none"/>
                      <w:lang w:val="en-US" w:eastAsia="zh-CN"/>
                    </w:rPr>
                    <w:t>900-099-S17</w:t>
                  </w:r>
                </w:p>
              </w:tc>
              <w:tc>
                <w:tcPr>
                  <w:tcW w:w="638" w:type="pct"/>
                  <w:noWrap w:val="0"/>
                  <w:vAlign w:val="center"/>
                </w:tcPr>
                <w:p>
                  <w:pPr>
                    <w:pStyle w:val="40"/>
                    <w:bidi w:val="0"/>
                    <w:rPr>
                      <w:rFonts w:hint="default"/>
                      <w:highlight w:val="none"/>
                      <w:lang w:val="en-US" w:eastAsia="zh-CN"/>
                    </w:rPr>
                  </w:pPr>
                  <w:r>
                    <w:rPr>
                      <w:rFonts w:hint="eastAsia"/>
                      <w:highlight w:val="none"/>
                      <w:lang w:val="en-US" w:eastAsia="zh-CN"/>
                    </w:rPr>
                    <w:t>17.767</w:t>
                  </w:r>
                </w:p>
              </w:tc>
              <w:tc>
                <w:tcPr>
                  <w:tcW w:w="597" w:type="pct"/>
                  <w:noWrap w:val="0"/>
                  <w:vAlign w:val="center"/>
                </w:tcPr>
                <w:p>
                  <w:pPr>
                    <w:pStyle w:val="40"/>
                    <w:bidi w:val="0"/>
                    <w:rPr>
                      <w:rFonts w:hint="default"/>
                      <w:highlight w:val="none"/>
                      <w:lang w:val="en-US" w:eastAsia="zh-CN"/>
                    </w:rPr>
                  </w:pPr>
                  <w:r>
                    <w:rPr>
                      <w:rFonts w:hint="default"/>
                      <w:highlight w:val="none"/>
                      <w:lang w:val="en-US" w:eastAsia="zh-CN"/>
                    </w:rPr>
                    <w:t>/</w:t>
                  </w:r>
                </w:p>
              </w:tc>
              <w:tc>
                <w:tcPr>
                  <w:tcW w:w="1106" w:type="pct"/>
                  <w:noWrap w:val="0"/>
                  <w:vAlign w:val="center"/>
                </w:tcPr>
                <w:p>
                  <w:pPr>
                    <w:pStyle w:val="40"/>
                    <w:bidi w:val="0"/>
                    <w:rPr>
                      <w:rFonts w:hint="default"/>
                      <w:highlight w:val="none"/>
                      <w:lang w:val="en-US" w:eastAsia="zh-CN"/>
                    </w:rPr>
                  </w:pPr>
                  <w:r>
                    <w:rPr>
                      <w:rFonts w:hint="eastAsia"/>
                      <w:highlight w:val="none"/>
                      <w:lang w:val="en-US" w:eastAsia="zh-CN"/>
                    </w:rPr>
                    <w:t>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jc w:val="center"/>
              </w:trPr>
              <w:tc>
                <w:tcPr>
                  <w:tcW w:w="485" w:type="pct"/>
                  <w:vMerge w:val="continue"/>
                  <w:noWrap w:val="0"/>
                  <w:vAlign w:val="center"/>
                </w:tcPr>
                <w:p>
                  <w:pPr>
                    <w:pStyle w:val="40"/>
                    <w:bidi w:val="0"/>
                    <w:rPr>
                      <w:rFonts w:hint="default"/>
                      <w:highlight w:val="none"/>
                      <w:lang w:val="en-US" w:eastAsia="zh-CN"/>
                    </w:rPr>
                  </w:pPr>
                </w:p>
              </w:tc>
              <w:tc>
                <w:tcPr>
                  <w:tcW w:w="727" w:type="pct"/>
                  <w:noWrap w:val="0"/>
                  <w:vAlign w:val="center"/>
                </w:tcPr>
                <w:p>
                  <w:pPr>
                    <w:pStyle w:val="40"/>
                    <w:bidi w:val="0"/>
                    <w:rPr>
                      <w:rFonts w:hint="default"/>
                      <w:highlight w:val="none"/>
                      <w:lang w:val="en-US" w:eastAsia="zh-CN"/>
                    </w:rPr>
                  </w:pPr>
                  <w:r>
                    <w:rPr>
                      <w:rFonts w:hint="default"/>
                      <w:highlight w:val="none"/>
                      <w:lang w:val="en-US" w:eastAsia="zh-CN"/>
                    </w:rPr>
                    <w:t>废布袋</w:t>
                  </w:r>
                </w:p>
              </w:tc>
              <w:tc>
                <w:tcPr>
                  <w:tcW w:w="498" w:type="pct"/>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eastAsia" w:cs="Times New Roman"/>
                      <w:highlight w:val="none"/>
                      <w:lang w:val="en-US" w:eastAsia="zh-CN"/>
                    </w:rPr>
                    <w:t>SW59</w:t>
                  </w:r>
                </w:p>
              </w:tc>
              <w:tc>
                <w:tcPr>
                  <w:tcW w:w="946" w:type="pct"/>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eastAsia" w:cs="Times New Roman"/>
                      <w:highlight w:val="none"/>
                      <w:lang w:val="en-US" w:eastAsia="zh-CN"/>
                    </w:rPr>
                    <w:t>900-099-S59</w:t>
                  </w:r>
                </w:p>
              </w:tc>
              <w:tc>
                <w:tcPr>
                  <w:tcW w:w="638" w:type="pct"/>
                  <w:noWrap w:val="0"/>
                  <w:vAlign w:val="center"/>
                </w:tcPr>
                <w:p>
                  <w:pPr>
                    <w:pStyle w:val="40"/>
                    <w:bidi w:val="0"/>
                    <w:rPr>
                      <w:rFonts w:hint="default"/>
                      <w:highlight w:val="none"/>
                      <w:lang w:val="en-US" w:eastAsia="zh-CN"/>
                    </w:rPr>
                  </w:pPr>
                  <w:r>
                    <w:rPr>
                      <w:rFonts w:hint="eastAsia"/>
                      <w:highlight w:val="none"/>
                      <w:lang w:val="en-US" w:eastAsia="zh-CN"/>
                    </w:rPr>
                    <w:t>0.02</w:t>
                  </w:r>
                </w:p>
              </w:tc>
              <w:tc>
                <w:tcPr>
                  <w:tcW w:w="597" w:type="pct"/>
                  <w:noWrap w:val="0"/>
                  <w:vAlign w:val="center"/>
                </w:tcPr>
                <w:p>
                  <w:pPr>
                    <w:pStyle w:val="40"/>
                    <w:bidi w:val="0"/>
                    <w:rPr>
                      <w:rFonts w:hint="default"/>
                      <w:highlight w:val="none"/>
                      <w:lang w:val="en-US" w:eastAsia="zh-CN"/>
                    </w:rPr>
                  </w:pPr>
                  <w:r>
                    <w:rPr>
                      <w:rFonts w:hint="eastAsia"/>
                      <w:highlight w:val="none"/>
                      <w:lang w:val="en-US" w:eastAsia="zh-CN"/>
                    </w:rPr>
                    <w:t>/</w:t>
                  </w:r>
                </w:p>
              </w:tc>
              <w:tc>
                <w:tcPr>
                  <w:tcW w:w="1106" w:type="pct"/>
                  <w:noWrap w:val="0"/>
                  <w:vAlign w:val="center"/>
                </w:tcPr>
                <w:p>
                  <w:pPr>
                    <w:pStyle w:val="40"/>
                    <w:bidi w:val="0"/>
                    <w:rPr>
                      <w:rFonts w:hint="default"/>
                      <w:highlight w:val="none"/>
                      <w:lang w:val="en-US" w:eastAsia="zh-CN"/>
                    </w:rPr>
                  </w:pPr>
                  <w:r>
                    <w:rPr>
                      <w:rFonts w:hint="default"/>
                      <w:highlight w:val="none"/>
                      <w:lang w:val="en-US" w:eastAsia="zh-CN"/>
                    </w:rPr>
                    <w:t>定期由设备厂家进行回收处理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85" w:type="pct"/>
                  <w:noWrap w:val="0"/>
                  <w:vAlign w:val="center"/>
                </w:tcPr>
                <w:p>
                  <w:pPr>
                    <w:pStyle w:val="40"/>
                    <w:bidi w:val="0"/>
                    <w:rPr>
                      <w:rFonts w:hint="default"/>
                      <w:highlight w:val="none"/>
                      <w:lang w:val="en-US" w:eastAsia="zh-CN"/>
                    </w:rPr>
                  </w:pPr>
                  <w:r>
                    <w:rPr>
                      <w:rFonts w:hint="default"/>
                      <w:highlight w:val="none"/>
                      <w:lang w:val="en-US" w:eastAsia="zh-CN"/>
                    </w:rPr>
                    <w:t>生活垃圾</w:t>
                  </w:r>
                </w:p>
              </w:tc>
              <w:tc>
                <w:tcPr>
                  <w:tcW w:w="727" w:type="pct"/>
                  <w:noWrap w:val="0"/>
                  <w:vAlign w:val="center"/>
                </w:tcPr>
                <w:p>
                  <w:pPr>
                    <w:pStyle w:val="40"/>
                    <w:bidi w:val="0"/>
                    <w:rPr>
                      <w:rFonts w:hint="default"/>
                      <w:highlight w:val="none"/>
                      <w:lang w:val="en-US" w:eastAsia="zh-CN"/>
                    </w:rPr>
                  </w:pPr>
                  <w:r>
                    <w:rPr>
                      <w:rFonts w:hint="default"/>
                      <w:highlight w:val="none"/>
                      <w:lang w:val="en-US" w:eastAsia="zh-CN"/>
                    </w:rPr>
                    <w:t>生活垃圾</w:t>
                  </w:r>
                </w:p>
              </w:tc>
              <w:tc>
                <w:tcPr>
                  <w:tcW w:w="498" w:type="pct"/>
                  <w:noWrap w:val="0"/>
                  <w:vAlign w:val="center"/>
                </w:tcPr>
                <w:p>
                  <w:pPr>
                    <w:pStyle w:val="40"/>
                    <w:bidi w:val="0"/>
                    <w:rPr>
                      <w:rFonts w:hint="default"/>
                      <w:highlight w:val="none"/>
                      <w:lang w:val="en-US" w:eastAsia="zh-CN"/>
                    </w:rPr>
                  </w:pPr>
                  <w:r>
                    <w:rPr>
                      <w:rFonts w:hint="default"/>
                      <w:highlight w:val="none"/>
                      <w:lang w:val="en-US" w:eastAsia="zh-CN"/>
                    </w:rPr>
                    <w:t>SW61</w:t>
                  </w:r>
                </w:p>
                <w:p>
                  <w:pPr>
                    <w:pStyle w:val="40"/>
                    <w:bidi w:val="0"/>
                    <w:rPr>
                      <w:rFonts w:hint="default"/>
                      <w:highlight w:val="none"/>
                      <w:lang w:val="en-US" w:eastAsia="zh-CN"/>
                    </w:rPr>
                  </w:pPr>
                  <w:r>
                    <w:rPr>
                      <w:rFonts w:hint="default"/>
                      <w:highlight w:val="none"/>
                      <w:lang w:val="en-US" w:eastAsia="zh-CN"/>
                    </w:rPr>
                    <w:t>SW62</w:t>
                  </w:r>
                </w:p>
              </w:tc>
              <w:tc>
                <w:tcPr>
                  <w:tcW w:w="946" w:type="pct"/>
                  <w:noWrap w:val="0"/>
                  <w:vAlign w:val="center"/>
                </w:tcPr>
                <w:p>
                  <w:pPr>
                    <w:pStyle w:val="40"/>
                    <w:bidi w:val="0"/>
                    <w:rPr>
                      <w:rFonts w:hint="default"/>
                      <w:highlight w:val="none"/>
                      <w:lang w:val="en-US" w:eastAsia="zh-CN"/>
                    </w:rPr>
                  </w:pPr>
                  <w:r>
                    <w:rPr>
                      <w:rFonts w:hint="default"/>
                      <w:highlight w:val="none"/>
                      <w:lang w:val="en-US" w:eastAsia="zh-CN"/>
                    </w:rPr>
                    <w:t>900-001-S61</w:t>
                  </w:r>
                </w:p>
                <w:p>
                  <w:pPr>
                    <w:pStyle w:val="40"/>
                    <w:bidi w:val="0"/>
                    <w:rPr>
                      <w:rFonts w:hint="default"/>
                      <w:highlight w:val="none"/>
                      <w:lang w:val="en-US" w:eastAsia="zh-CN"/>
                    </w:rPr>
                  </w:pPr>
                  <w:r>
                    <w:rPr>
                      <w:rFonts w:hint="default"/>
                      <w:highlight w:val="none"/>
                      <w:lang w:val="en-US" w:eastAsia="zh-CN"/>
                    </w:rPr>
                    <w:t>900-001-S62</w:t>
                  </w:r>
                </w:p>
                <w:p>
                  <w:pPr>
                    <w:pStyle w:val="40"/>
                    <w:bidi w:val="0"/>
                    <w:rPr>
                      <w:rFonts w:hint="default"/>
                      <w:highlight w:val="none"/>
                      <w:lang w:val="en-US" w:eastAsia="zh-CN"/>
                    </w:rPr>
                  </w:pPr>
                  <w:r>
                    <w:rPr>
                      <w:rFonts w:hint="default"/>
                      <w:highlight w:val="none"/>
                      <w:lang w:val="en-US" w:eastAsia="zh-CN"/>
                    </w:rPr>
                    <w:t>900-002-S62</w:t>
                  </w:r>
                </w:p>
              </w:tc>
              <w:tc>
                <w:tcPr>
                  <w:tcW w:w="638" w:type="pct"/>
                  <w:noWrap w:val="0"/>
                  <w:vAlign w:val="center"/>
                </w:tcPr>
                <w:p>
                  <w:pPr>
                    <w:pStyle w:val="40"/>
                    <w:bidi w:val="0"/>
                    <w:rPr>
                      <w:rFonts w:hint="default"/>
                      <w:highlight w:val="none"/>
                      <w:lang w:val="en-US" w:eastAsia="zh-CN"/>
                    </w:rPr>
                  </w:pPr>
                  <w:r>
                    <w:rPr>
                      <w:rFonts w:hint="eastAsia"/>
                      <w:highlight w:val="none"/>
                      <w:lang w:val="en-US" w:eastAsia="zh-CN"/>
                    </w:rPr>
                    <w:t>0.27</w:t>
                  </w:r>
                </w:p>
              </w:tc>
              <w:tc>
                <w:tcPr>
                  <w:tcW w:w="597" w:type="pct"/>
                  <w:noWrap w:val="0"/>
                  <w:vAlign w:val="center"/>
                </w:tcPr>
                <w:p>
                  <w:pPr>
                    <w:pStyle w:val="40"/>
                    <w:bidi w:val="0"/>
                    <w:rPr>
                      <w:rFonts w:hint="default"/>
                      <w:highlight w:val="none"/>
                      <w:lang w:val="en-US" w:eastAsia="zh-CN"/>
                    </w:rPr>
                  </w:pPr>
                  <w:r>
                    <w:rPr>
                      <w:rFonts w:hint="default"/>
                      <w:highlight w:val="none"/>
                      <w:lang w:val="en-US" w:eastAsia="zh-CN"/>
                    </w:rPr>
                    <w:t>/</w:t>
                  </w:r>
                </w:p>
              </w:tc>
              <w:tc>
                <w:tcPr>
                  <w:tcW w:w="1106" w:type="pct"/>
                  <w:noWrap w:val="0"/>
                  <w:vAlign w:val="center"/>
                </w:tcPr>
                <w:p>
                  <w:pPr>
                    <w:pStyle w:val="40"/>
                    <w:bidi w:val="0"/>
                    <w:rPr>
                      <w:rFonts w:hint="default"/>
                      <w:highlight w:val="none"/>
                      <w:lang w:val="en-US" w:eastAsia="zh-CN"/>
                    </w:rPr>
                  </w:pPr>
                  <w:r>
                    <w:rPr>
                      <w:rFonts w:hint="default"/>
                      <w:highlight w:val="none"/>
                      <w:lang w:val="en-US" w:eastAsia="zh-CN"/>
                    </w:rPr>
                    <w:t>交环卫部门定时清运处理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55" w:type="dxa"/>
                  <w:vMerge w:val="restart"/>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eastAsia" w:cs="Times New Roman"/>
                      <w:highlight w:val="none"/>
                      <w:lang w:val="en-US" w:eastAsia="zh-CN"/>
                    </w:rPr>
                    <w:t>危险废物</w:t>
                  </w:r>
                </w:p>
              </w:tc>
              <w:tc>
                <w:tcPr>
                  <w:tcW w:w="1133"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eastAsia" w:cs="Times New Roman"/>
                      <w:highlight w:val="none"/>
                      <w:lang w:val="en-US" w:eastAsia="zh-CN"/>
                    </w:rPr>
                    <w:t>废润滑油</w:t>
                  </w:r>
                </w:p>
              </w:tc>
              <w:tc>
                <w:tcPr>
                  <w:tcW w:w="776"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default" w:cs="Times New Roman"/>
                      <w:highlight w:val="none"/>
                      <w:lang w:val="en-US" w:eastAsia="zh-CN"/>
                    </w:rPr>
                    <w:t>HW08</w:t>
                  </w:r>
                </w:p>
              </w:tc>
              <w:tc>
                <w:tcPr>
                  <w:tcW w:w="1475"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default" w:cs="Times New Roman"/>
                      <w:highlight w:val="none"/>
                      <w:lang w:val="en-US" w:eastAsia="zh-CN"/>
                    </w:rPr>
                    <w:t>900-214-08</w:t>
                  </w:r>
                </w:p>
              </w:tc>
              <w:tc>
                <w:tcPr>
                  <w:tcW w:w="995" w:type="dxa"/>
                  <w:noWrap w:val="0"/>
                  <w:vAlign w:val="center"/>
                </w:tcPr>
                <w:p>
                  <w:pPr>
                    <w:keepNext w:val="0"/>
                    <w:keepLines w:val="0"/>
                    <w:suppressLineNumbers w:val="0"/>
                    <w:bidi w:val="0"/>
                    <w:spacing w:before="0" w:beforeAutospacing="0" w:after="0" w:afterAutospacing="0"/>
                    <w:ind w:left="0" w:leftChars="0" w:right="0" w:rightChars="0"/>
                    <w:jc w:val="center"/>
                    <w:rPr>
                      <w:rFonts w:hint="eastAsia"/>
                      <w:highlight w:val="none"/>
                      <w:lang w:val="en-US" w:eastAsia="zh-CN"/>
                    </w:rPr>
                  </w:pPr>
                  <w:r>
                    <w:rPr>
                      <w:rFonts w:hint="eastAsia" w:cs="Times New Roman"/>
                      <w:highlight w:val="none"/>
                      <w:lang w:val="en-US" w:eastAsia="zh-CN"/>
                    </w:rPr>
                    <w:t>0.1</w:t>
                  </w:r>
                </w:p>
              </w:tc>
              <w:tc>
                <w:tcPr>
                  <w:tcW w:w="931" w:type="dxa"/>
                  <w:noWrap w:val="0"/>
                  <w:vAlign w:val="center"/>
                </w:tcPr>
                <w:p>
                  <w:pPr>
                    <w:keepNext w:val="0"/>
                    <w:keepLines w:val="0"/>
                    <w:widowControl/>
                    <w:suppressLineNumbers w:val="0"/>
                    <w:spacing w:before="0" w:beforeAutospacing="0" w:after="0" w:afterAutospacing="0"/>
                    <w:ind w:left="0" w:leftChars="0" w:right="0" w:rightChars="0"/>
                    <w:jc w:val="center"/>
                    <w:rPr>
                      <w:rFonts w:hint="default"/>
                      <w:highlight w:val="none"/>
                      <w:lang w:val="en-US" w:eastAsia="zh-CN"/>
                    </w:rPr>
                  </w:pPr>
                  <w:r>
                    <w:rPr>
                      <w:rFonts w:hint="default" w:ascii="Times New Roman" w:hAnsi="Times New Roman" w:eastAsia="宋体" w:cs="Times New Roman"/>
                      <w:color w:val="000000"/>
                      <w:kern w:val="0"/>
                      <w:sz w:val="21"/>
                      <w:szCs w:val="21"/>
                      <w:highlight w:val="none"/>
                      <w:lang w:val="en-US" w:eastAsia="zh-CN" w:bidi="ar"/>
                    </w:rPr>
                    <w:t>T</w:t>
                  </w:r>
                  <w:r>
                    <w:rPr>
                      <w:rFonts w:hint="eastAsia" w:cs="Times New Roman"/>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I</w:t>
                  </w:r>
                </w:p>
              </w:tc>
              <w:tc>
                <w:tcPr>
                  <w:tcW w:w="1106" w:type="pct"/>
                  <w:vMerge w:val="restart"/>
                  <w:noWrap w:val="0"/>
                  <w:vAlign w:val="center"/>
                </w:tcPr>
                <w:p>
                  <w:pPr>
                    <w:pStyle w:val="40"/>
                    <w:bidi w:val="0"/>
                    <w:rPr>
                      <w:rFonts w:hint="default"/>
                      <w:highlight w:val="none"/>
                      <w:lang w:val="en-US" w:eastAsia="zh-CN"/>
                    </w:rPr>
                  </w:pPr>
                  <w:r>
                    <w:rPr>
                      <w:rFonts w:hint="default"/>
                      <w:highlight w:val="none"/>
                      <w:lang w:val="en-US" w:eastAsia="zh-CN"/>
                    </w:rPr>
                    <w:t>暂存于危废贮存点，定期交由有资质单位进行无害化处置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755" w:type="dxa"/>
                  <w:vMerge w:val="continue"/>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p>
              </w:tc>
              <w:tc>
                <w:tcPr>
                  <w:tcW w:w="1133"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eastAsia" w:cs="Times New Roman"/>
                      <w:highlight w:val="none"/>
                      <w:lang w:val="en-US" w:eastAsia="zh-CN"/>
                    </w:rPr>
                    <w:t>废润滑油桶</w:t>
                  </w:r>
                </w:p>
              </w:tc>
              <w:tc>
                <w:tcPr>
                  <w:tcW w:w="776"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default" w:cs="Times New Roman"/>
                      <w:highlight w:val="none"/>
                      <w:lang w:val="en-US" w:eastAsia="zh-CN"/>
                    </w:rPr>
                    <w:t>HW08</w:t>
                  </w:r>
                </w:p>
              </w:tc>
              <w:tc>
                <w:tcPr>
                  <w:tcW w:w="1475"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eastAsia" w:cs="Times New Roman"/>
                      <w:highlight w:val="none"/>
                      <w:lang w:val="en-US" w:eastAsia="zh-CN"/>
                    </w:rPr>
                    <w:t>900-249-08</w:t>
                  </w:r>
                </w:p>
              </w:tc>
              <w:tc>
                <w:tcPr>
                  <w:tcW w:w="995" w:type="dxa"/>
                  <w:noWrap w:val="0"/>
                  <w:vAlign w:val="center"/>
                </w:tcPr>
                <w:p>
                  <w:pPr>
                    <w:keepNext w:val="0"/>
                    <w:keepLines w:val="0"/>
                    <w:suppressLineNumbers w:val="0"/>
                    <w:bidi w:val="0"/>
                    <w:spacing w:before="0" w:beforeAutospacing="0" w:after="0" w:afterAutospacing="0"/>
                    <w:ind w:left="0" w:leftChars="0" w:right="0" w:rightChars="0"/>
                    <w:jc w:val="center"/>
                    <w:rPr>
                      <w:rFonts w:hint="eastAsia"/>
                      <w:highlight w:val="none"/>
                      <w:lang w:val="en-US" w:eastAsia="zh-CN"/>
                    </w:rPr>
                  </w:pPr>
                  <w:r>
                    <w:rPr>
                      <w:rFonts w:hint="eastAsia" w:cs="Times New Roman"/>
                      <w:highlight w:val="none"/>
                      <w:lang w:val="en-US" w:eastAsia="zh-CN"/>
                    </w:rPr>
                    <w:t>0.01</w:t>
                  </w:r>
                </w:p>
              </w:tc>
              <w:tc>
                <w:tcPr>
                  <w:tcW w:w="931" w:type="dxa"/>
                  <w:noWrap w:val="0"/>
                  <w:vAlign w:val="center"/>
                </w:tcPr>
                <w:p>
                  <w:pPr>
                    <w:keepNext w:val="0"/>
                    <w:keepLines w:val="0"/>
                    <w:widowControl/>
                    <w:suppressLineNumbers w:val="0"/>
                    <w:spacing w:before="0" w:beforeAutospacing="0" w:after="0" w:afterAutospacing="0"/>
                    <w:ind w:left="0" w:leftChars="0" w:right="0" w:rightChars="0"/>
                    <w:jc w:val="center"/>
                    <w:rPr>
                      <w:rFonts w:hint="default"/>
                      <w:highlight w:val="none"/>
                      <w:lang w:val="en-US" w:eastAsia="zh-CN"/>
                    </w:rPr>
                  </w:pPr>
                  <w:r>
                    <w:rPr>
                      <w:rFonts w:hint="default" w:ascii="Times New Roman" w:hAnsi="Times New Roman" w:eastAsia="宋体" w:cs="Times New Roman"/>
                      <w:color w:val="000000"/>
                      <w:kern w:val="0"/>
                      <w:sz w:val="21"/>
                      <w:szCs w:val="21"/>
                      <w:highlight w:val="none"/>
                      <w:lang w:val="en-US" w:eastAsia="zh-CN" w:bidi="ar"/>
                    </w:rPr>
                    <w:t>T</w:t>
                  </w:r>
                  <w:r>
                    <w:rPr>
                      <w:rFonts w:hint="eastAsia" w:cs="Times New Roman"/>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I</w:t>
                  </w:r>
                </w:p>
              </w:tc>
              <w:tc>
                <w:tcPr>
                  <w:tcW w:w="1106" w:type="pct"/>
                  <w:vMerge w:val="continue"/>
                  <w:noWrap w:val="0"/>
                  <w:vAlign w:val="center"/>
                </w:tcPr>
                <w:p>
                  <w:pPr>
                    <w:pStyle w:val="40"/>
                    <w:bidi w:val="0"/>
                    <w:rPr>
                      <w:rFonts w:hint="default"/>
                      <w:highlight w:val="none"/>
                      <w:lang w:val="en-US" w:eastAsia="zh-CN"/>
                    </w:rPr>
                  </w:pPr>
                </w:p>
              </w:tc>
            </w:tr>
          </w:tbl>
          <w:p>
            <w:pPr>
              <w:pStyle w:val="49"/>
              <w:bidi w:val="0"/>
              <w:rPr>
                <w:rFonts w:hint="default"/>
                <w:lang w:val="en-US" w:eastAsia="zh-CN"/>
              </w:rPr>
            </w:pPr>
            <w:r>
              <w:rPr>
                <w:rFonts w:hint="default"/>
                <w:lang w:val="en-US" w:eastAsia="zh-CN"/>
              </w:rPr>
              <w:t>4.2固体废物环境管理要求及措施</w:t>
            </w:r>
          </w:p>
          <w:p>
            <w:pPr>
              <w:pStyle w:val="2"/>
              <w:bidi w:val="0"/>
              <w:rPr>
                <w:rFonts w:hint="default"/>
                <w:lang w:val="en-US" w:eastAsia="zh-CN"/>
              </w:rPr>
            </w:pPr>
            <w:r>
              <w:rPr>
                <w:rFonts w:hint="default"/>
                <w:lang w:val="en-US" w:eastAsia="zh-CN"/>
              </w:rPr>
              <w:t>4.2.1一般固废的环境管理要求及措施</w:t>
            </w:r>
          </w:p>
          <w:p>
            <w:pPr>
              <w:pStyle w:val="53"/>
              <w:bidi w:val="0"/>
              <w:rPr>
                <w:rFonts w:hint="default"/>
                <w:lang w:val="en-US" w:eastAsia="zh-CN"/>
              </w:rPr>
            </w:pPr>
            <w:r>
              <w:rPr>
                <w:rFonts w:hint="default"/>
                <w:lang w:val="en-US" w:eastAsia="zh-CN"/>
              </w:rPr>
              <w:t>本项目一般固废处理要求、建设要求应按照《一般工业固体废物贮存和填埋污染控制标准》（GB18599-2020）进行建设。</w:t>
            </w:r>
          </w:p>
          <w:p>
            <w:pPr>
              <w:pStyle w:val="53"/>
              <w:bidi w:val="0"/>
              <w:rPr>
                <w:rFonts w:hint="default"/>
                <w:lang w:val="en-US" w:eastAsia="zh-CN"/>
              </w:rPr>
            </w:pPr>
            <w:r>
              <w:rPr>
                <w:rFonts w:hint="default"/>
                <w:lang w:val="en-US" w:eastAsia="zh-CN"/>
              </w:rPr>
              <w:t>（1）加强监督管理，贮存、处置场应按GB15562.2设置环境保护图形标志，并单独分区存放，</w:t>
            </w:r>
            <w:r>
              <w:rPr>
                <w:rFonts w:hint="default"/>
                <w:highlight w:val="none"/>
                <w:lang w:val="en-US" w:eastAsia="zh-CN"/>
              </w:rPr>
              <w:t>拟</w:t>
            </w:r>
            <w:r>
              <w:rPr>
                <w:rFonts w:hint="eastAsia"/>
                <w:highlight w:val="none"/>
                <w:lang w:val="en-US" w:eastAsia="zh-CN"/>
              </w:rPr>
              <w:t>建5</w:t>
            </w:r>
            <w:r>
              <w:rPr>
                <w:rFonts w:hint="default"/>
                <w:highlight w:val="none"/>
                <w:lang w:val="en-US" w:eastAsia="zh-CN"/>
              </w:rPr>
              <w:t>m</w:t>
            </w:r>
            <w:r>
              <w:rPr>
                <w:rFonts w:hint="default"/>
                <w:highlight w:val="none"/>
                <w:vertAlign w:val="superscript"/>
                <w:lang w:val="en-US" w:eastAsia="zh-CN"/>
              </w:rPr>
              <w:t>2</w:t>
            </w:r>
            <w:r>
              <w:rPr>
                <w:rFonts w:hint="default"/>
                <w:highlight w:val="none"/>
                <w:lang w:val="en-US" w:eastAsia="zh-CN"/>
              </w:rPr>
              <w:t>一般固废暂存点</w:t>
            </w:r>
            <w:r>
              <w:rPr>
                <w:rFonts w:hint="eastAsia"/>
                <w:highlight w:val="none"/>
                <w:lang w:val="en-US" w:eastAsia="zh-CN"/>
              </w:rPr>
              <w:t>一间</w:t>
            </w:r>
            <w:r>
              <w:rPr>
                <w:rFonts w:hint="default"/>
                <w:lang w:val="en-US" w:eastAsia="zh-CN"/>
              </w:rPr>
              <w:t>，进行一般防渗；</w:t>
            </w:r>
          </w:p>
          <w:p>
            <w:pPr>
              <w:pStyle w:val="53"/>
              <w:bidi w:val="0"/>
              <w:rPr>
                <w:rFonts w:hint="default"/>
                <w:lang w:val="en-US" w:eastAsia="zh-CN"/>
              </w:rPr>
            </w:pPr>
            <w:r>
              <w:rPr>
                <w:rFonts w:hint="default"/>
                <w:lang w:val="en-US" w:eastAsia="zh-CN"/>
              </w:rPr>
              <w:t>（2）贮存、处置场地使用单位应建立档案制度，将入场的一般工业固体废物的种类和数量等资料详细记录在案，长期保存，供随时查阅；</w:t>
            </w:r>
          </w:p>
          <w:p>
            <w:pPr>
              <w:pStyle w:val="53"/>
              <w:bidi w:val="0"/>
              <w:rPr>
                <w:rFonts w:hint="default"/>
                <w:lang w:val="en-US" w:eastAsia="zh-CN"/>
              </w:rPr>
            </w:pPr>
            <w:r>
              <w:rPr>
                <w:rFonts w:hint="default"/>
                <w:lang w:val="en-US" w:eastAsia="zh-CN"/>
              </w:rPr>
              <w:t>（3）企业固废的贮存场所地面采用防渗地面，发生渗漏等事故可能性较小或甚微，对土壤、地下水产生的影响较小。</w:t>
            </w:r>
          </w:p>
          <w:p>
            <w:pPr>
              <w:pStyle w:val="2"/>
              <w:bidi w:val="0"/>
              <w:rPr>
                <w:rFonts w:hint="default"/>
                <w:lang w:val="en-US" w:eastAsia="zh-CN"/>
              </w:rPr>
            </w:pPr>
            <w:r>
              <w:rPr>
                <w:rFonts w:hint="eastAsia"/>
                <w:lang w:val="en-US" w:eastAsia="zh-CN"/>
              </w:rPr>
              <w:t>4.2.2</w:t>
            </w:r>
            <w:r>
              <w:rPr>
                <w:rFonts w:hint="default"/>
                <w:lang w:val="en-US" w:eastAsia="zh-CN"/>
              </w:rPr>
              <w:t>危险废物的环境管理要求及措施</w:t>
            </w:r>
          </w:p>
          <w:p>
            <w:pPr>
              <w:pStyle w:val="8"/>
              <w:bidi w:val="0"/>
              <w:rPr>
                <w:rFonts w:hint="default"/>
                <w:lang w:val="en-US" w:eastAsia="zh-CN"/>
              </w:rPr>
            </w:pPr>
            <w:r>
              <w:rPr>
                <w:rFonts w:hint="eastAsia" w:ascii="Times New Roman" w:eastAsia="宋体"/>
                <w:lang w:val="en-US" w:eastAsia="zh-CN"/>
              </w:rPr>
              <w:t>本项目</w:t>
            </w:r>
            <w:r>
              <w:rPr>
                <w:rFonts w:hint="eastAsia"/>
                <w:lang w:val="en-US" w:eastAsia="zh-CN"/>
              </w:rPr>
              <w:t>设置5</w:t>
            </w:r>
            <w:r>
              <w:rPr>
                <w:rFonts w:hint="eastAsia" w:ascii="Times New Roman" w:eastAsia="宋体"/>
                <w:lang w:val="en-US" w:eastAsia="zh-CN"/>
              </w:rPr>
              <w:t>m</w:t>
            </w:r>
            <w:r>
              <w:rPr>
                <w:rFonts w:hint="eastAsia" w:ascii="Times New Roman" w:eastAsia="宋体"/>
                <w:vertAlign w:val="superscript"/>
                <w:lang w:val="en-US" w:eastAsia="zh-CN"/>
              </w:rPr>
              <w:t>2</w:t>
            </w:r>
            <w:r>
              <w:rPr>
                <w:rFonts w:hint="eastAsia" w:ascii="Times New Roman" w:eastAsia="宋体"/>
                <w:lang w:val="en-US" w:eastAsia="zh-CN"/>
              </w:rPr>
              <w:t>危废</w:t>
            </w:r>
            <w:r>
              <w:rPr>
                <w:rFonts w:hint="eastAsia"/>
                <w:lang w:val="en-US" w:eastAsia="zh-CN"/>
              </w:rPr>
              <w:t>贮存点，</w:t>
            </w:r>
            <w:r>
              <w:rPr>
                <w:rFonts w:hint="eastAsia" w:ascii="Times New Roman" w:eastAsia="宋体"/>
                <w:lang w:val="en-US" w:eastAsia="zh-CN"/>
              </w:rPr>
              <w:t>危废</w:t>
            </w:r>
            <w:r>
              <w:rPr>
                <w:rFonts w:hint="eastAsia"/>
                <w:lang w:val="en-US" w:eastAsia="zh-CN"/>
              </w:rPr>
              <w:t>贮存点需</w:t>
            </w:r>
            <w:r>
              <w:rPr>
                <w:rFonts w:hint="default"/>
                <w:lang w:val="en-US" w:eastAsia="zh-CN"/>
              </w:rPr>
              <w:t>满足《危险废物贮存污染控制标准》（GB18597-2023）、《危险废物收集</w:t>
            </w:r>
            <w:r>
              <w:rPr>
                <w:rFonts w:hint="eastAsia" w:ascii="Times New Roman" w:eastAsia="宋体"/>
                <w:lang w:val="en-US" w:eastAsia="zh-CN"/>
              </w:rPr>
              <w:t xml:space="preserve"> </w:t>
            </w:r>
            <w:r>
              <w:rPr>
                <w:rFonts w:hint="default"/>
                <w:lang w:val="en-US" w:eastAsia="zh-CN"/>
              </w:rPr>
              <w:t>贮存 运输技术规范》（HJ2025-2012）中相关要求。</w:t>
            </w:r>
          </w:p>
          <w:p>
            <w:pPr>
              <w:pStyle w:val="8"/>
              <w:bidi w:val="0"/>
              <w:rPr>
                <w:rFonts w:hint="default"/>
                <w:lang w:val="en-US" w:eastAsia="zh-CN"/>
              </w:rPr>
            </w:pPr>
            <w:r>
              <w:rPr>
                <w:rFonts w:hint="default"/>
                <w:lang w:val="en-US" w:eastAsia="zh-CN"/>
              </w:rPr>
              <w:t>（1）危险废物运行环境管理要求</w:t>
            </w:r>
          </w:p>
          <w:p>
            <w:pPr>
              <w:pStyle w:val="8"/>
              <w:bidi w:val="0"/>
              <w:rPr>
                <w:rFonts w:hint="default"/>
                <w:lang w:val="en-US" w:eastAsia="zh-CN"/>
              </w:rPr>
            </w:pPr>
            <w:r>
              <w:rPr>
                <w:rFonts w:hint="default"/>
                <w:lang w:val="en-US" w:eastAsia="zh-CN"/>
              </w:rPr>
              <w:t>危险废物临时存放于指定的危废</w:t>
            </w:r>
            <w:r>
              <w:rPr>
                <w:rFonts w:hint="eastAsia"/>
                <w:lang w:val="en-US" w:eastAsia="zh-CN"/>
              </w:rPr>
              <w:t>贮存点</w:t>
            </w:r>
            <w:r>
              <w:rPr>
                <w:rFonts w:hint="default"/>
                <w:lang w:val="en-US" w:eastAsia="zh-CN"/>
              </w:rPr>
              <w:t>，不得露天堆放，危险废物的地坪要符合防腐防渗要求，避免产生渗透、雨水淋溶</w:t>
            </w:r>
            <w:r>
              <w:rPr>
                <w:rFonts w:hint="eastAsia"/>
                <w:lang w:val="en-US" w:eastAsia="zh-CN"/>
              </w:rPr>
              <w:t>、</w:t>
            </w:r>
            <w:r>
              <w:rPr>
                <w:rFonts w:hint="default"/>
                <w:lang w:val="en-US" w:eastAsia="zh-CN"/>
              </w:rPr>
              <w:t>大风吹扬等二次污染；危废</w:t>
            </w:r>
            <w:r>
              <w:rPr>
                <w:rFonts w:hint="eastAsia"/>
                <w:lang w:val="en-US" w:eastAsia="zh-CN"/>
              </w:rPr>
              <w:t>贮存点</w:t>
            </w:r>
            <w:r>
              <w:rPr>
                <w:rFonts w:hint="default"/>
                <w:lang w:val="en-US" w:eastAsia="zh-CN"/>
              </w:rPr>
              <w:t>的设置须满足《危险废物贮存污染控制标准》（GB18597-2023）、《危险废物收集贮存 运输技术规范》（HJ2025-2012）中相关要求。</w:t>
            </w:r>
          </w:p>
          <w:p>
            <w:pPr>
              <w:pStyle w:val="8"/>
              <w:keepNext w:val="0"/>
              <w:keepLines w:val="0"/>
              <w:pageBreakBefore w:val="0"/>
              <w:widowControl/>
              <w:kinsoku/>
              <w:wordWrap w:val="0"/>
              <w:overflowPunct/>
              <w:topLinePunct w:val="0"/>
              <w:autoSpaceDE/>
              <w:autoSpaceDN/>
              <w:bidi w:val="0"/>
              <w:adjustRightInd/>
              <w:snapToGrid w:val="0"/>
              <w:textAlignment w:val="auto"/>
              <w:rPr>
                <w:rFonts w:hint="default"/>
                <w:lang w:val="en-US" w:eastAsia="zh-CN"/>
              </w:rPr>
            </w:pPr>
            <w:r>
              <w:rPr>
                <w:rFonts w:hint="default"/>
                <w:lang w:val="en-US" w:eastAsia="zh-CN"/>
              </w:rPr>
              <w:t>①危险废物</w:t>
            </w:r>
            <w:r>
              <w:rPr>
                <w:rFonts w:hint="eastAsia"/>
                <w:lang w:val="en-US" w:eastAsia="zh-CN"/>
              </w:rPr>
              <w:t>贮存点</w:t>
            </w:r>
            <w:r>
              <w:rPr>
                <w:rFonts w:hint="default"/>
                <w:lang w:val="en-US" w:eastAsia="zh-CN"/>
              </w:rPr>
              <w:t>应按照《危险废物贮存污染控制标准》（GB18597-2023）的要求进行建设，贮存的危险废物直接接触地面的，还应进行基础防渗，防渗层为至少1m厚黏土层（渗透系数不大于10</w:t>
            </w:r>
            <w:r>
              <w:rPr>
                <w:rFonts w:hint="default"/>
                <w:vertAlign w:val="superscript"/>
                <w:lang w:val="en-US" w:eastAsia="zh-CN"/>
              </w:rPr>
              <w:t>-7</w:t>
            </w:r>
            <w:r>
              <w:rPr>
                <w:rFonts w:hint="default"/>
                <w:lang w:val="en-US" w:eastAsia="zh-CN"/>
              </w:rPr>
              <w:t>cm/s），或至少2mm厚高密度聚乙烯膜等人工防渗材料（渗透系数不大于10</w:t>
            </w:r>
            <w:r>
              <w:rPr>
                <w:rFonts w:hint="default"/>
                <w:vertAlign w:val="superscript"/>
                <w:lang w:val="en-US" w:eastAsia="zh-CN"/>
              </w:rPr>
              <w:t>-10</w:t>
            </w:r>
            <w:r>
              <w:rPr>
                <w:rFonts w:hint="default"/>
                <w:lang w:val="en-US" w:eastAsia="zh-CN"/>
              </w:rPr>
              <w:t>cm/s），或其他防渗性能等效的材料。</w:t>
            </w:r>
          </w:p>
          <w:p>
            <w:pPr>
              <w:pStyle w:val="8"/>
              <w:bidi w:val="0"/>
              <w:rPr>
                <w:rFonts w:hint="default"/>
                <w:lang w:val="en-US" w:eastAsia="zh-CN"/>
              </w:rPr>
            </w:pPr>
            <w:r>
              <w:rPr>
                <w:rFonts w:hint="default"/>
                <w:lang w:val="en-US" w:eastAsia="zh-CN"/>
              </w:rPr>
              <w:t>②应定期检查危险废物的贮存状况，及时清理贮存设施地面，更换破损泄漏的危险废物贮存容器和包装物，保证堆存危险废物的防雨、防风、防扬尘等设施功能完好。</w:t>
            </w:r>
          </w:p>
          <w:p>
            <w:pPr>
              <w:pStyle w:val="8"/>
              <w:bidi w:val="0"/>
              <w:rPr>
                <w:rFonts w:hint="default"/>
                <w:lang w:val="en-US" w:eastAsia="zh-CN"/>
              </w:rPr>
            </w:pPr>
            <w:r>
              <w:rPr>
                <w:rFonts w:hint="default"/>
                <w:lang w:val="en-US" w:eastAsia="zh-CN"/>
              </w:rPr>
              <w:t>③作业设备及车辆等结束作业离开贮存设施时，应对其残留的危险废物进行清理，清理的废物或清洗废水应收集处理。</w:t>
            </w:r>
          </w:p>
          <w:p>
            <w:pPr>
              <w:pStyle w:val="8"/>
              <w:bidi w:val="0"/>
              <w:rPr>
                <w:rFonts w:hint="default"/>
                <w:lang w:val="en-US" w:eastAsia="zh-CN"/>
              </w:rPr>
            </w:pPr>
            <w:r>
              <w:rPr>
                <w:rFonts w:hint="default"/>
                <w:lang w:val="en-US" w:eastAsia="zh-CN"/>
              </w:rPr>
              <w:t>④贮存设施运行期间，应按国家有关标准和规定建立危险废物管理台账并保存。</w:t>
            </w:r>
          </w:p>
          <w:p>
            <w:pPr>
              <w:pStyle w:val="8"/>
              <w:bidi w:val="0"/>
              <w:rPr>
                <w:rFonts w:hint="default"/>
                <w:lang w:val="en-US" w:eastAsia="zh-CN"/>
              </w:rPr>
            </w:pPr>
            <w:r>
              <w:rPr>
                <w:rFonts w:hint="default"/>
                <w:lang w:val="en-US" w:eastAsia="zh-CN"/>
              </w:rPr>
              <w:t>⑤贮存设施所有者或运营者应建立贮存设施环境管理制度、管理人员岗位职责制度、设施运行操作制度、人员岗位培训制度等。</w:t>
            </w:r>
          </w:p>
          <w:p>
            <w:pPr>
              <w:pStyle w:val="8"/>
              <w:bidi w:val="0"/>
              <w:rPr>
                <w:rFonts w:hint="default"/>
                <w:lang w:val="en-US" w:eastAsia="zh-CN"/>
              </w:rPr>
            </w:pPr>
            <w:r>
              <w:rPr>
                <w:rFonts w:hint="default"/>
                <w:lang w:val="en-US" w:eastAsia="zh-CN"/>
              </w:rPr>
              <w:t>（2）危险废物转运要求</w:t>
            </w:r>
          </w:p>
          <w:p>
            <w:pPr>
              <w:pStyle w:val="8"/>
              <w:bidi w:val="0"/>
              <w:rPr>
                <w:rFonts w:hint="default"/>
                <w:lang w:val="en-US" w:eastAsia="zh-CN"/>
              </w:rPr>
            </w:pPr>
            <w:r>
              <w:rPr>
                <w:rFonts w:hint="default"/>
                <w:lang w:val="en-US" w:eastAsia="zh-CN"/>
              </w:rPr>
              <w:t>根据《危险废物转移管理办法》（2021年11月30日生态环境部、公安部、交通运输部令第23号公布 自2022年1月1日起施行）可知，危险废物转移应当遵循就近原则，转移危险废物的，应当执行危险废物转移联单制度，并依照国家有关规定公开危险废物转移相关污染环境防治信息。运输危险废物的，应当遵守国家有关危险货物运输管理的规定。未经公安机关批准，危险废物运输车辆不得进入危险货物运输车辆限制通行的区域。</w:t>
            </w:r>
          </w:p>
          <w:p>
            <w:pPr>
              <w:pStyle w:val="53"/>
              <w:bidi w:val="0"/>
              <w:rPr>
                <w:rFonts w:hint="default"/>
                <w:lang w:val="en-US" w:eastAsia="zh-CN"/>
              </w:rPr>
            </w:pPr>
            <w:r>
              <w:rPr>
                <w:rFonts w:hint="default"/>
                <w:lang w:val="en-US" w:eastAsia="zh-CN"/>
              </w:rPr>
              <w:t>危险废物移出人、危险废物承运人、危险废物接受人（以下分别简称移出人、承运人和接受人）在危险废物转移过程中应当采取防扬散、防流失、防渗漏或者其他防止污染环境的措施，不得擅自倾倒、堆放、丢弃、遗撒危险废物，并对所造成的环境污染及生态破坏依法承担责任。</w:t>
            </w:r>
          </w:p>
          <w:p>
            <w:pPr>
              <w:pStyle w:val="53"/>
              <w:bidi w:val="0"/>
              <w:rPr>
                <w:rFonts w:hint="default"/>
                <w:lang w:val="en-US" w:eastAsia="zh-CN"/>
              </w:rPr>
            </w:pPr>
            <w:r>
              <w:rPr>
                <w:rFonts w:hint="default"/>
                <w:lang w:val="en-US" w:eastAsia="zh-CN"/>
              </w:rPr>
              <w:t>移出人、承运人、接受人应当依法制定突发环境事件的防范措施和应急预案，并报有关部门备案；发生危险废物突发环境事件时，应当立即采取有效措施消除或者减轻对环境的污染危害，并按相关规定向事故发生地有关部门报告，接受调查处理。</w:t>
            </w:r>
          </w:p>
          <w:p>
            <w:pPr>
              <w:pStyle w:val="2"/>
              <w:bidi w:val="0"/>
              <w:rPr>
                <w:rFonts w:hint="default"/>
                <w:lang w:val="en-US" w:eastAsia="zh-CN"/>
              </w:rPr>
            </w:pPr>
            <w:r>
              <w:rPr>
                <w:rFonts w:hint="default"/>
                <w:lang w:val="en-US" w:eastAsia="zh-CN"/>
              </w:rPr>
              <w:t>5.地下水、土壤环境影响和保护措施</w:t>
            </w:r>
          </w:p>
          <w:p>
            <w:pPr>
              <w:pStyle w:val="8"/>
              <w:bidi w:val="0"/>
              <w:rPr>
                <w:rFonts w:hint="eastAsia"/>
              </w:rPr>
            </w:pPr>
            <w:r>
              <w:rPr>
                <w:rFonts w:hint="eastAsia"/>
              </w:rPr>
              <w:t>（1）污染途径</w:t>
            </w:r>
          </w:p>
          <w:p>
            <w:pPr>
              <w:pStyle w:val="8"/>
              <w:bidi w:val="0"/>
              <w:rPr>
                <w:rFonts w:hint="eastAsia"/>
                <w:lang w:eastAsia="zh-CN"/>
              </w:rPr>
            </w:pPr>
            <w:r>
              <w:rPr>
                <w:rFonts w:hint="default"/>
                <w:lang w:val="en-US" w:eastAsia="zh-CN"/>
              </w:rPr>
              <w:t>根据厂址各生产、生活功能单元可能产生污染的地区，对厂区可能</w:t>
            </w:r>
            <w:r>
              <w:rPr>
                <w:rFonts w:hint="eastAsia"/>
                <w:lang w:val="en-US" w:eastAsia="zh-CN"/>
              </w:rPr>
              <w:t>泄漏</w:t>
            </w:r>
            <w:r>
              <w:rPr>
                <w:rFonts w:hint="default"/>
                <w:lang w:val="en-US" w:eastAsia="zh-CN"/>
              </w:rPr>
              <w:t>污染物的地面进行防渗处理，可有效防止污染物渗入地下，并及时地将</w:t>
            </w:r>
            <w:r>
              <w:rPr>
                <w:rFonts w:hint="eastAsia"/>
                <w:lang w:val="en-US" w:eastAsia="zh-CN"/>
              </w:rPr>
              <w:t>泄漏</w:t>
            </w:r>
            <w:r>
              <w:rPr>
                <w:rFonts w:hint="default"/>
                <w:lang w:val="en-US" w:eastAsia="zh-CN"/>
              </w:rPr>
              <w:t>、渗漏的污染物收集并进行集中处理。根据厂区各建筑物功能，将厂区划分为</w:t>
            </w:r>
            <w:r>
              <w:rPr>
                <w:rFonts w:hint="eastAsia"/>
                <w:lang w:val="en-US" w:eastAsia="zh-CN"/>
              </w:rPr>
              <w:t>重点防渗区、</w:t>
            </w:r>
            <w:r>
              <w:rPr>
                <w:rFonts w:hint="default"/>
                <w:lang w:val="en-US" w:eastAsia="zh-CN"/>
              </w:rPr>
              <w:t>一般防渗区和简单防渗区</w:t>
            </w:r>
            <w:r>
              <w:rPr>
                <w:rFonts w:hint="eastAsia"/>
                <w:lang w:eastAsia="zh-CN"/>
              </w:rPr>
              <w:t>。</w:t>
            </w:r>
          </w:p>
          <w:p>
            <w:pPr>
              <w:pStyle w:val="8"/>
              <w:bidi w:val="0"/>
              <w:rPr>
                <w:rFonts w:hint="eastAsia"/>
              </w:rPr>
            </w:pPr>
            <w:r>
              <w:rPr>
                <w:rFonts w:hint="eastAsia"/>
              </w:rPr>
              <w:t>（2）分区防控措施</w:t>
            </w:r>
          </w:p>
          <w:p>
            <w:pPr>
              <w:pStyle w:val="8"/>
              <w:bidi w:val="0"/>
            </w:pPr>
            <w:r>
              <w:rPr>
                <w:rFonts w:hint="eastAsia"/>
                <w:lang w:val="en-US" w:eastAsia="zh-CN"/>
              </w:rPr>
              <w:t>项目采用分区防控措施，确保非正常工况下不会对地下水、土壤造成污染。具体分区防渗要求见下表。</w:t>
            </w:r>
          </w:p>
          <w:p>
            <w:pPr>
              <w:pStyle w:val="42"/>
              <w:bidi w:val="0"/>
            </w:pPr>
            <w:r>
              <w:t>表</w:t>
            </w:r>
            <w:r>
              <w:rPr>
                <w:rFonts w:hint="eastAsia"/>
                <w:lang w:val="en-US" w:eastAsia="zh-CN"/>
              </w:rPr>
              <w:t>4-13</w:t>
            </w:r>
            <w:r>
              <w:t xml:space="preserve">    分区防渗情况一览表</w:t>
            </w:r>
          </w:p>
          <w:tbl>
            <w:tblPr>
              <w:tblStyle w:val="22"/>
              <w:tblW w:w="4998" w:type="pct"/>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420"/>
              <w:gridCol w:w="1387"/>
              <w:gridCol w:w="43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06" w:type="pct"/>
                  <w:tcBorders>
                    <w:tl2br w:val="nil"/>
                    <w:tr2bl w:val="nil"/>
                  </w:tcBorders>
                  <w:noWrap w:val="0"/>
                  <w:vAlign w:val="center"/>
                </w:tcPr>
                <w:p>
                  <w:pPr>
                    <w:pStyle w:val="40"/>
                    <w:bidi w:val="0"/>
                  </w:pPr>
                  <w:r>
                    <w:t>序号</w:t>
                  </w:r>
                </w:p>
              </w:tc>
              <w:tc>
                <w:tcPr>
                  <w:tcW w:w="912" w:type="pct"/>
                  <w:tcBorders>
                    <w:tl2br w:val="nil"/>
                    <w:tr2bl w:val="nil"/>
                  </w:tcBorders>
                  <w:noWrap w:val="0"/>
                  <w:vAlign w:val="center"/>
                </w:tcPr>
                <w:p>
                  <w:pPr>
                    <w:pStyle w:val="40"/>
                    <w:bidi w:val="0"/>
                  </w:pPr>
                  <w:r>
                    <w:t>区域名称</w:t>
                  </w:r>
                </w:p>
              </w:tc>
              <w:tc>
                <w:tcPr>
                  <w:tcW w:w="891" w:type="pct"/>
                  <w:tcBorders>
                    <w:tl2br w:val="nil"/>
                    <w:tr2bl w:val="nil"/>
                  </w:tcBorders>
                  <w:noWrap w:val="0"/>
                  <w:vAlign w:val="center"/>
                </w:tcPr>
                <w:p>
                  <w:pPr>
                    <w:pStyle w:val="40"/>
                    <w:bidi w:val="0"/>
                  </w:pPr>
                  <w:r>
                    <w:t>分区类别</w:t>
                  </w:r>
                </w:p>
              </w:tc>
              <w:tc>
                <w:tcPr>
                  <w:tcW w:w="2789" w:type="pct"/>
                  <w:tcBorders>
                    <w:tl2br w:val="nil"/>
                    <w:tr2bl w:val="nil"/>
                  </w:tcBorders>
                  <w:noWrap w:val="0"/>
                  <w:vAlign w:val="center"/>
                </w:tcPr>
                <w:p>
                  <w:pPr>
                    <w:pStyle w:val="40"/>
                    <w:bidi w:val="0"/>
                  </w:pPr>
                  <w:r>
                    <w:t>防渗措施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06" w:type="pct"/>
                  <w:tcBorders>
                    <w:tl2br w:val="nil"/>
                    <w:tr2bl w:val="nil"/>
                  </w:tcBorders>
                  <w:noWrap w:val="0"/>
                  <w:vAlign w:val="center"/>
                </w:tcPr>
                <w:p>
                  <w:pPr>
                    <w:pStyle w:val="40"/>
                    <w:bidi w:val="0"/>
                    <w:rPr>
                      <w:rFonts w:hint="default"/>
                      <w:lang w:val="en-US" w:eastAsia="zh-CN"/>
                    </w:rPr>
                  </w:pPr>
                  <w:r>
                    <w:rPr>
                      <w:rFonts w:hint="eastAsia"/>
                      <w:lang w:val="en-US" w:eastAsia="zh-CN"/>
                    </w:rPr>
                    <w:t>1</w:t>
                  </w:r>
                </w:p>
              </w:tc>
              <w:tc>
                <w:tcPr>
                  <w:tcW w:w="912" w:type="pct"/>
                  <w:tcBorders>
                    <w:tl2br w:val="nil"/>
                    <w:tr2bl w:val="nil"/>
                  </w:tcBorders>
                  <w:noWrap w:val="0"/>
                  <w:vAlign w:val="center"/>
                </w:tcPr>
                <w:p>
                  <w:pPr>
                    <w:pStyle w:val="40"/>
                    <w:bidi w:val="0"/>
                    <w:rPr>
                      <w:rFonts w:hint="default" w:eastAsia="宋体"/>
                      <w:lang w:val="en-US" w:eastAsia="zh-CN"/>
                    </w:rPr>
                  </w:pPr>
                  <w:r>
                    <w:rPr>
                      <w:rFonts w:hint="eastAsia"/>
                      <w:lang w:val="en-US" w:eastAsia="zh-CN"/>
                    </w:rPr>
                    <w:t>危废贮存点</w:t>
                  </w:r>
                </w:p>
              </w:tc>
              <w:tc>
                <w:tcPr>
                  <w:tcW w:w="891" w:type="pct"/>
                  <w:tcBorders>
                    <w:tl2br w:val="nil"/>
                    <w:tr2bl w:val="nil"/>
                  </w:tcBorders>
                  <w:noWrap w:val="0"/>
                  <w:vAlign w:val="center"/>
                </w:tcPr>
                <w:p>
                  <w:pPr>
                    <w:pStyle w:val="40"/>
                    <w:bidi w:val="0"/>
                    <w:rPr>
                      <w:rFonts w:hint="default" w:eastAsia="宋体"/>
                      <w:lang w:val="en-US" w:eastAsia="zh-CN"/>
                    </w:rPr>
                  </w:pPr>
                  <w:r>
                    <w:rPr>
                      <w:rFonts w:hint="eastAsia"/>
                      <w:lang w:val="en-US" w:eastAsia="zh-CN"/>
                    </w:rPr>
                    <w:t>重点防渗区</w:t>
                  </w:r>
                </w:p>
              </w:tc>
              <w:tc>
                <w:tcPr>
                  <w:tcW w:w="2789" w:type="pct"/>
                  <w:tcBorders>
                    <w:tl2br w:val="nil"/>
                    <w:tr2bl w:val="nil"/>
                  </w:tcBorders>
                  <w:noWrap w:val="0"/>
                  <w:vAlign w:val="center"/>
                </w:tcPr>
                <w:p>
                  <w:pPr>
                    <w:pStyle w:val="40"/>
                    <w:bidi w:val="0"/>
                  </w:pPr>
                  <w:r>
                    <w:rPr>
                      <w:rFonts w:hint="eastAsia"/>
                    </w:rPr>
                    <w:t>防渗层为至少1m厚黏土层(渗透系数不大于10</w:t>
                  </w:r>
                  <w:r>
                    <w:rPr>
                      <w:rFonts w:hint="eastAsia"/>
                      <w:vertAlign w:val="superscript"/>
                    </w:rPr>
                    <w:t>-7</w:t>
                  </w:r>
                  <w:r>
                    <w:rPr>
                      <w:rFonts w:hint="eastAsia"/>
                    </w:rPr>
                    <w:t>cm/s)，或至少2mm厚高密度聚乙烯膜等人工防渗材料(渗透系数不大于10</w:t>
                  </w:r>
                  <w:r>
                    <w:rPr>
                      <w:rFonts w:hint="eastAsia"/>
                      <w:vertAlign w:val="superscript"/>
                    </w:rPr>
                    <w:t>-10</w:t>
                  </w:r>
                  <w:r>
                    <w:rPr>
                      <w:rFonts w:hint="eastAsia"/>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06" w:type="pct"/>
                  <w:tcBorders>
                    <w:tl2br w:val="nil"/>
                    <w:tr2bl w:val="nil"/>
                  </w:tcBorders>
                  <w:noWrap w:val="0"/>
                  <w:vAlign w:val="center"/>
                </w:tcPr>
                <w:p>
                  <w:pPr>
                    <w:pStyle w:val="40"/>
                    <w:bidi w:val="0"/>
                    <w:rPr>
                      <w:rFonts w:hint="eastAsia" w:eastAsia="宋体"/>
                      <w:lang w:eastAsia="zh-CN"/>
                    </w:rPr>
                  </w:pPr>
                  <w:r>
                    <w:rPr>
                      <w:rFonts w:hint="eastAsia"/>
                      <w:lang w:val="en-US" w:eastAsia="zh-CN"/>
                    </w:rPr>
                    <w:t>2</w:t>
                  </w:r>
                </w:p>
              </w:tc>
              <w:tc>
                <w:tcPr>
                  <w:tcW w:w="912" w:type="pct"/>
                  <w:tcBorders>
                    <w:tl2br w:val="nil"/>
                    <w:tr2bl w:val="nil"/>
                  </w:tcBorders>
                  <w:noWrap w:val="0"/>
                  <w:vAlign w:val="center"/>
                </w:tcPr>
                <w:p>
                  <w:pPr>
                    <w:pStyle w:val="40"/>
                    <w:bidi w:val="0"/>
                    <w:rPr>
                      <w:rFonts w:hint="eastAsia" w:eastAsia="宋体"/>
                      <w:lang w:eastAsia="zh-CN"/>
                    </w:rPr>
                  </w:pPr>
                  <w:r>
                    <w:rPr>
                      <w:rFonts w:hint="eastAsia"/>
                      <w:lang w:val="en-US" w:eastAsia="zh-CN"/>
                    </w:rPr>
                    <w:t>化粪池</w:t>
                  </w:r>
                </w:p>
              </w:tc>
              <w:tc>
                <w:tcPr>
                  <w:tcW w:w="891" w:type="pct"/>
                  <w:tcBorders>
                    <w:tl2br w:val="nil"/>
                    <w:tr2bl w:val="nil"/>
                  </w:tcBorders>
                  <w:noWrap w:val="0"/>
                  <w:vAlign w:val="center"/>
                </w:tcPr>
                <w:p>
                  <w:pPr>
                    <w:pStyle w:val="40"/>
                    <w:bidi w:val="0"/>
                  </w:pPr>
                  <w:r>
                    <w:t>一般防渗区</w:t>
                  </w:r>
                </w:p>
              </w:tc>
              <w:tc>
                <w:tcPr>
                  <w:tcW w:w="2789" w:type="pct"/>
                  <w:tcBorders>
                    <w:tl2br w:val="nil"/>
                    <w:tr2bl w:val="nil"/>
                  </w:tcBorders>
                  <w:noWrap w:val="0"/>
                  <w:vAlign w:val="center"/>
                </w:tcPr>
                <w:p>
                  <w:pPr>
                    <w:pStyle w:val="40"/>
                    <w:bidi w:val="0"/>
                    <w:rPr>
                      <w:rFonts w:hint="eastAsia"/>
                    </w:rPr>
                  </w:pPr>
                  <w:r>
                    <w:t>防渗</w:t>
                  </w:r>
                  <w:r>
                    <w:rPr>
                      <w:rFonts w:hint="eastAsia"/>
                      <w:lang w:eastAsia="zh-CN"/>
                    </w:rPr>
                    <w:t>混凝土</w:t>
                  </w:r>
                  <w:r>
                    <w:t>表层防渗</w:t>
                  </w:r>
                  <w:r>
                    <w:rPr>
                      <w:rFonts w:hint="eastAsia"/>
                    </w:rPr>
                    <w:t>，一般防渗区域的等效黏土防渗层Mb≥1.5m，渗透系数K≤1×10</w:t>
                  </w:r>
                  <w:r>
                    <w:rPr>
                      <w:rFonts w:hint="eastAsia"/>
                      <w:vertAlign w:val="superscript"/>
                    </w:rPr>
                    <w:t>-7</w:t>
                  </w:r>
                  <w:r>
                    <w:rPr>
                      <w:rFonts w:hint="eastAsia"/>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6" w:type="pct"/>
                  <w:tcBorders>
                    <w:tl2br w:val="nil"/>
                    <w:tr2bl w:val="nil"/>
                  </w:tcBorders>
                  <w:noWrap w:val="0"/>
                  <w:vAlign w:val="center"/>
                </w:tcPr>
                <w:p>
                  <w:pPr>
                    <w:pStyle w:val="40"/>
                    <w:bidi w:val="0"/>
                    <w:rPr>
                      <w:rFonts w:hint="eastAsia" w:eastAsia="宋体"/>
                      <w:lang w:eastAsia="zh-CN"/>
                    </w:rPr>
                  </w:pPr>
                  <w:r>
                    <w:rPr>
                      <w:rFonts w:hint="eastAsia"/>
                      <w:lang w:val="en-US" w:eastAsia="zh-CN"/>
                    </w:rPr>
                    <w:t>3</w:t>
                  </w:r>
                </w:p>
              </w:tc>
              <w:tc>
                <w:tcPr>
                  <w:tcW w:w="912" w:type="pct"/>
                  <w:tcBorders>
                    <w:tl2br w:val="nil"/>
                    <w:tr2bl w:val="nil"/>
                  </w:tcBorders>
                  <w:noWrap w:val="0"/>
                  <w:vAlign w:val="center"/>
                </w:tcPr>
                <w:p>
                  <w:pPr>
                    <w:pStyle w:val="40"/>
                    <w:bidi w:val="0"/>
                  </w:pPr>
                  <w:r>
                    <w:t>其他区域</w:t>
                  </w:r>
                </w:p>
              </w:tc>
              <w:tc>
                <w:tcPr>
                  <w:tcW w:w="891" w:type="pct"/>
                  <w:tcBorders>
                    <w:tl2br w:val="nil"/>
                    <w:tr2bl w:val="nil"/>
                  </w:tcBorders>
                  <w:noWrap w:val="0"/>
                  <w:vAlign w:val="center"/>
                </w:tcPr>
                <w:p>
                  <w:pPr>
                    <w:pStyle w:val="40"/>
                    <w:bidi w:val="0"/>
                  </w:pPr>
                  <w:r>
                    <w:t>简单防渗区</w:t>
                  </w:r>
                </w:p>
              </w:tc>
              <w:tc>
                <w:tcPr>
                  <w:tcW w:w="2789" w:type="pct"/>
                  <w:tcBorders>
                    <w:tl2br w:val="nil"/>
                    <w:tr2bl w:val="nil"/>
                  </w:tcBorders>
                  <w:noWrap w:val="0"/>
                  <w:vAlign w:val="center"/>
                </w:tcPr>
                <w:p>
                  <w:pPr>
                    <w:pStyle w:val="40"/>
                    <w:bidi w:val="0"/>
                  </w:pPr>
                  <w:r>
                    <w:t>一般地面水泥硬化</w:t>
                  </w:r>
                </w:p>
              </w:tc>
            </w:tr>
          </w:tbl>
          <w:p>
            <w:pPr>
              <w:pStyle w:val="8"/>
              <w:bidi w:val="0"/>
              <w:rPr>
                <w:rFonts w:hint="default"/>
                <w:lang w:val="en-US" w:eastAsia="zh-CN"/>
              </w:rPr>
            </w:pPr>
            <w:r>
              <w:rPr>
                <w:rFonts w:hint="eastAsia"/>
                <w:lang w:val="en-US" w:eastAsia="zh-CN"/>
              </w:rPr>
              <w:t>（3）</w:t>
            </w:r>
            <w:r>
              <w:rPr>
                <w:rFonts w:hint="default"/>
                <w:lang w:val="en-US" w:eastAsia="zh-CN"/>
              </w:rPr>
              <w:t>跟踪监测要求</w:t>
            </w:r>
          </w:p>
          <w:p>
            <w:pPr>
              <w:pStyle w:val="8"/>
              <w:bidi w:val="0"/>
              <w:rPr>
                <w:rFonts w:hint="default"/>
                <w:lang w:val="en-US" w:eastAsia="zh-CN"/>
              </w:rPr>
            </w:pPr>
            <w:r>
              <w:rPr>
                <w:rFonts w:hint="default"/>
                <w:lang w:val="en-US" w:eastAsia="zh-CN"/>
              </w:rPr>
              <w:t>本项目在采取落实上述防控措施后，基本不会通过渗透的途径进入地下水、土壤环境。因此，本</w:t>
            </w:r>
            <w:r>
              <w:rPr>
                <w:rFonts w:hint="eastAsia"/>
                <w:lang w:val="en-US" w:eastAsia="zh-CN"/>
              </w:rPr>
              <w:t>次</w:t>
            </w:r>
            <w:r>
              <w:rPr>
                <w:rFonts w:hint="default"/>
                <w:lang w:val="en-US" w:eastAsia="zh-CN"/>
              </w:rPr>
              <w:t>评价不提出地下水、土壤跟踪监测要求。</w:t>
            </w:r>
          </w:p>
          <w:p>
            <w:pPr>
              <w:pStyle w:val="2"/>
              <w:bidi w:val="0"/>
              <w:rPr>
                <w:rFonts w:hint="default"/>
                <w:lang w:val="en-US" w:eastAsia="zh-CN"/>
              </w:rPr>
            </w:pPr>
            <w:r>
              <w:rPr>
                <w:rFonts w:hint="default"/>
                <w:lang w:val="en-US" w:eastAsia="zh-CN"/>
              </w:rPr>
              <w:t>6.生态环境影响和保护措施</w:t>
            </w:r>
          </w:p>
          <w:p>
            <w:pPr>
              <w:pStyle w:val="8"/>
              <w:bidi w:val="0"/>
              <w:rPr>
                <w:rFonts w:hint="default"/>
                <w:lang w:val="en-US" w:eastAsia="zh-CN"/>
              </w:rPr>
            </w:pPr>
            <w:r>
              <w:rPr>
                <w:rFonts w:hint="default"/>
                <w:lang w:val="en-US" w:eastAsia="zh-CN"/>
              </w:rPr>
              <w:t>根据《建设项目环境影响报告表编制技术指南（污染影响类）（试行）》，本项目在园区内且用地范围内不含有生态环境保护目标，因此不开展生态调查和评价。</w:t>
            </w:r>
          </w:p>
          <w:p>
            <w:pPr>
              <w:pStyle w:val="2"/>
              <w:bidi w:val="0"/>
              <w:rPr>
                <w:rFonts w:hint="default"/>
                <w:lang w:val="en-US" w:eastAsia="zh-CN"/>
              </w:rPr>
            </w:pPr>
            <w:r>
              <w:rPr>
                <w:rFonts w:hint="default"/>
                <w:lang w:val="en-US" w:eastAsia="zh-CN"/>
              </w:rPr>
              <w:t>7.环境风险</w:t>
            </w:r>
          </w:p>
          <w:p>
            <w:pPr>
              <w:pStyle w:val="2"/>
              <w:bidi w:val="0"/>
              <w:rPr>
                <w:rFonts w:hint="default"/>
                <w:lang w:val="en-US" w:eastAsia="zh-CN"/>
              </w:rPr>
            </w:pPr>
            <w:r>
              <w:rPr>
                <w:rFonts w:hint="default"/>
                <w:lang w:val="en-US" w:eastAsia="zh-CN"/>
              </w:rPr>
              <w:t>7.1物质风险识别范围</w:t>
            </w:r>
          </w:p>
          <w:p>
            <w:pPr>
              <w:pStyle w:val="8"/>
              <w:bidi w:val="0"/>
              <w:rPr>
                <w:rFonts w:hint="default"/>
                <w:lang w:val="en-US" w:eastAsia="zh-CN"/>
              </w:rPr>
            </w:pPr>
            <w:r>
              <w:rPr>
                <w:rFonts w:hint="default"/>
                <w:lang w:val="en-US" w:eastAsia="zh-CN"/>
              </w:rPr>
              <w:t>物质风险调查包括主要原材料及辅助材料、最终产品、</w:t>
            </w:r>
            <w:r>
              <w:rPr>
                <w:rFonts w:hint="eastAsia"/>
                <w:lang w:val="en-US" w:eastAsia="zh-CN"/>
              </w:rPr>
              <w:t>“</w:t>
            </w:r>
            <w:r>
              <w:rPr>
                <w:rFonts w:hint="default"/>
                <w:lang w:val="en-US" w:eastAsia="zh-CN"/>
              </w:rPr>
              <w:t>三废</w:t>
            </w:r>
            <w:r>
              <w:rPr>
                <w:rFonts w:hint="eastAsia"/>
                <w:lang w:val="en-US" w:eastAsia="zh-CN"/>
              </w:rPr>
              <w:t>”</w:t>
            </w:r>
            <w:r>
              <w:rPr>
                <w:rFonts w:hint="default"/>
                <w:lang w:val="en-US" w:eastAsia="zh-CN"/>
              </w:rPr>
              <w:t>污染物、火灾和爆炸等伴生/次生的危险物质。本项目涉及的风险物质主要为废润滑油，属于《建设项目环境风险评价技术导则》（HJ169-2018）中</w:t>
            </w:r>
            <w:r>
              <w:rPr>
                <w:rFonts w:hint="eastAsia"/>
                <w:lang w:val="en-US" w:eastAsia="zh-CN"/>
              </w:rPr>
              <w:t>风险物质</w:t>
            </w:r>
            <w:r>
              <w:rPr>
                <w:rFonts w:hint="default"/>
                <w:lang w:val="en-US" w:eastAsia="zh-CN"/>
              </w:rPr>
              <w:t>。危险化学品中重大危险源辨识调查结果见下表。</w:t>
            </w:r>
          </w:p>
          <w:p>
            <w:pPr>
              <w:pStyle w:val="42"/>
              <w:bidi w:val="0"/>
              <w:rPr>
                <w:rFonts w:hint="default"/>
                <w:lang w:val="en-US" w:eastAsia="zh-CN"/>
              </w:rPr>
            </w:pPr>
            <w:r>
              <w:rPr>
                <w:rFonts w:hint="default"/>
                <w:lang w:val="en-US" w:eastAsia="zh-CN"/>
              </w:rPr>
              <w:t>表4-1</w:t>
            </w:r>
            <w:r>
              <w:rPr>
                <w:rFonts w:hint="eastAsia"/>
                <w:lang w:val="en-US" w:eastAsia="zh-CN"/>
              </w:rPr>
              <w:t>4</w:t>
            </w:r>
            <w:r>
              <w:rPr>
                <w:rFonts w:hint="default"/>
                <w:lang w:val="en-US" w:eastAsia="zh-CN"/>
              </w:rPr>
              <w:t xml:space="preserve">    风险源调查结果一览表</w:t>
            </w:r>
          </w:p>
          <w:tbl>
            <w:tblPr>
              <w:tblStyle w:val="22"/>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93"/>
              <w:gridCol w:w="1125"/>
              <w:gridCol w:w="1250"/>
              <w:gridCol w:w="1025"/>
              <w:gridCol w:w="1275"/>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center"/>
                </w:tcPr>
                <w:p>
                  <w:pPr>
                    <w:pStyle w:val="40"/>
                    <w:bidi w:val="0"/>
                    <w:rPr>
                      <w:rFonts w:hint="default"/>
                      <w:lang w:val="en-US" w:eastAsia="zh-CN"/>
                    </w:rPr>
                  </w:pPr>
                  <w:r>
                    <w:rPr>
                      <w:rFonts w:hint="eastAsia"/>
                      <w:lang w:val="en-US" w:eastAsia="zh-CN"/>
                    </w:rPr>
                    <w:t>序号</w:t>
                  </w:r>
                </w:p>
              </w:tc>
              <w:tc>
                <w:tcPr>
                  <w:tcW w:w="993" w:type="dxa"/>
                  <w:noWrap w:val="0"/>
                  <w:vAlign w:val="center"/>
                </w:tcPr>
                <w:p>
                  <w:pPr>
                    <w:pStyle w:val="40"/>
                    <w:bidi w:val="0"/>
                    <w:rPr>
                      <w:rFonts w:hint="default"/>
                      <w:lang w:val="en-US" w:eastAsia="zh-CN"/>
                    </w:rPr>
                  </w:pPr>
                  <w:r>
                    <w:rPr>
                      <w:rFonts w:hint="eastAsia"/>
                      <w:lang w:val="en-US" w:eastAsia="zh-CN"/>
                    </w:rPr>
                    <w:t>名称</w:t>
                  </w:r>
                </w:p>
              </w:tc>
              <w:tc>
                <w:tcPr>
                  <w:tcW w:w="1125" w:type="dxa"/>
                  <w:noWrap w:val="0"/>
                  <w:vAlign w:val="center"/>
                </w:tcPr>
                <w:p>
                  <w:pPr>
                    <w:pStyle w:val="40"/>
                    <w:bidi w:val="0"/>
                    <w:rPr>
                      <w:rFonts w:hint="default"/>
                      <w:lang w:val="en-US" w:eastAsia="zh-CN"/>
                    </w:rPr>
                  </w:pPr>
                  <w:r>
                    <w:rPr>
                      <w:rFonts w:hint="eastAsia"/>
                      <w:lang w:val="en-US" w:eastAsia="zh-CN"/>
                    </w:rPr>
                    <w:t>危险特性</w:t>
                  </w:r>
                </w:p>
              </w:tc>
              <w:tc>
                <w:tcPr>
                  <w:tcW w:w="1250" w:type="dxa"/>
                  <w:noWrap w:val="0"/>
                  <w:vAlign w:val="center"/>
                </w:tcPr>
                <w:p>
                  <w:pPr>
                    <w:pStyle w:val="40"/>
                    <w:bidi w:val="0"/>
                    <w:rPr>
                      <w:rFonts w:hint="default"/>
                      <w:lang w:val="en-US" w:eastAsia="zh-CN"/>
                    </w:rPr>
                  </w:pPr>
                  <w:r>
                    <w:rPr>
                      <w:rFonts w:hint="eastAsia"/>
                      <w:lang w:val="en-US" w:eastAsia="zh-CN"/>
                    </w:rPr>
                    <w:t>储存能力（t/a）</w:t>
                  </w:r>
                </w:p>
              </w:tc>
              <w:tc>
                <w:tcPr>
                  <w:tcW w:w="1025" w:type="dxa"/>
                  <w:noWrap w:val="0"/>
                  <w:vAlign w:val="center"/>
                </w:tcPr>
                <w:p>
                  <w:pPr>
                    <w:pStyle w:val="40"/>
                    <w:bidi w:val="0"/>
                    <w:rPr>
                      <w:rFonts w:hint="default"/>
                      <w:lang w:val="en-US" w:eastAsia="zh-CN"/>
                    </w:rPr>
                  </w:pPr>
                  <w:r>
                    <w:rPr>
                      <w:rFonts w:hint="eastAsia"/>
                      <w:lang w:val="en-US" w:eastAsia="zh-CN"/>
                    </w:rPr>
                    <w:t>临界量（t/a）</w:t>
                  </w:r>
                </w:p>
              </w:tc>
              <w:tc>
                <w:tcPr>
                  <w:tcW w:w="1275" w:type="dxa"/>
                  <w:noWrap w:val="0"/>
                  <w:vAlign w:val="center"/>
                </w:tcPr>
                <w:p>
                  <w:pPr>
                    <w:pStyle w:val="40"/>
                    <w:bidi w:val="0"/>
                    <w:rPr>
                      <w:rFonts w:hint="default"/>
                      <w:lang w:val="en-US" w:eastAsia="zh-CN"/>
                    </w:rPr>
                  </w:pPr>
                  <w:r>
                    <w:rPr>
                      <w:rFonts w:hint="eastAsia"/>
                      <w:lang w:val="en-US" w:eastAsia="zh-CN"/>
                    </w:rPr>
                    <w:t>Q值</w:t>
                  </w:r>
                </w:p>
              </w:tc>
              <w:tc>
                <w:tcPr>
                  <w:tcW w:w="1251" w:type="dxa"/>
                  <w:noWrap w:val="0"/>
                  <w:vAlign w:val="center"/>
                </w:tcPr>
                <w:p>
                  <w:pPr>
                    <w:pStyle w:val="40"/>
                    <w:bidi w:val="0"/>
                    <w:rPr>
                      <w:rFonts w:hint="default"/>
                      <w:lang w:val="en-US" w:eastAsia="zh-CN"/>
                    </w:rPr>
                  </w:pPr>
                  <w:r>
                    <w:rPr>
                      <w:rFonts w:hint="eastAsia"/>
                      <w:lang w:val="en-US" w:eastAsia="zh-CN"/>
                    </w:rPr>
                    <w:t>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noWrap w:val="0"/>
                  <w:vAlign w:val="center"/>
                </w:tcPr>
                <w:p>
                  <w:pPr>
                    <w:pStyle w:val="40"/>
                    <w:bidi w:val="0"/>
                    <w:rPr>
                      <w:rFonts w:hint="default"/>
                      <w:lang w:val="en-US" w:eastAsia="zh-CN"/>
                    </w:rPr>
                  </w:pPr>
                  <w:r>
                    <w:rPr>
                      <w:rFonts w:hint="eastAsia"/>
                      <w:lang w:val="en-US" w:eastAsia="zh-CN"/>
                    </w:rPr>
                    <w:t>1</w:t>
                  </w:r>
                </w:p>
              </w:tc>
              <w:tc>
                <w:tcPr>
                  <w:tcW w:w="993" w:type="dxa"/>
                  <w:noWrap w:val="0"/>
                  <w:vAlign w:val="center"/>
                </w:tcPr>
                <w:p>
                  <w:pPr>
                    <w:pStyle w:val="40"/>
                    <w:bidi w:val="0"/>
                    <w:rPr>
                      <w:rFonts w:hint="default"/>
                      <w:lang w:val="en-US" w:eastAsia="zh-CN"/>
                    </w:rPr>
                  </w:pPr>
                  <w:r>
                    <w:rPr>
                      <w:rFonts w:hint="eastAsia"/>
                      <w:lang w:val="en-US" w:eastAsia="zh-CN"/>
                    </w:rPr>
                    <w:t>废润滑油</w:t>
                  </w:r>
                </w:p>
              </w:tc>
              <w:tc>
                <w:tcPr>
                  <w:tcW w:w="1125" w:type="dxa"/>
                  <w:noWrap w:val="0"/>
                  <w:vAlign w:val="center"/>
                </w:tcPr>
                <w:p>
                  <w:pPr>
                    <w:pStyle w:val="40"/>
                    <w:bidi w:val="0"/>
                    <w:rPr>
                      <w:rFonts w:hint="default"/>
                      <w:lang w:val="en-US" w:eastAsia="zh-CN"/>
                    </w:rPr>
                  </w:pPr>
                  <w:r>
                    <w:rPr>
                      <w:rFonts w:hint="eastAsia"/>
                      <w:lang w:val="en-US" w:eastAsia="zh-CN"/>
                    </w:rPr>
                    <w:t>易燃</w:t>
                  </w:r>
                </w:p>
              </w:tc>
              <w:tc>
                <w:tcPr>
                  <w:tcW w:w="1250" w:type="dxa"/>
                  <w:noWrap w:val="0"/>
                  <w:vAlign w:val="center"/>
                </w:tcPr>
                <w:p>
                  <w:pPr>
                    <w:pStyle w:val="40"/>
                    <w:bidi w:val="0"/>
                    <w:rPr>
                      <w:rFonts w:hint="default"/>
                      <w:lang w:val="en-US" w:eastAsia="zh-CN"/>
                    </w:rPr>
                  </w:pPr>
                  <w:r>
                    <w:rPr>
                      <w:rFonts w:hint="eastAsia"/>
                      <w:lang w:val="en-US" w:eastAsia="zh-CN"/>
                    </w:rPr>
                    <w:t>0.1</w:t>
                  </w:r>
                </w:p>
              </w:tc>
              <w:tc>
                <w:tcPr>
                  <w:tcW w:w="1025" w:type="dxa"/>
                  <w:noWrap w:val="0"/>
                  <w:vAlign w:val="center"/>
                </w:tcPr>
                <w:p>
                  <w:pPr>
                    <w:pStyle w:val="40"/>
                    <w:bidi w:val="0"/>
                    <w:rPr>
                      <w:rFonts w:hint="default"/>
                      <w:lang w:val="en-US" w:eastAsia="zh-CN"/>
                    </w:rPr>
                  </w:pPr>
                  <w:r>
                    <w:rPr>
                      <w:rFonts w:hint="eastAsia"/>
                      <w:lang w:val="en-US" w:eastAsia="zh-CN"/>
                    </w:rPr>
                    <w:t>2500</w:t>
                  </w:r>
                </w:p>
              </w:tc>
              <w:tc>
                <w:tcPr>
                  <w:tcW w:w="1275" w:type="dxa"/>
                  <w:noWrap w:val="0"/>
                  <w:vAlign w:val="center"/>
                </w:tcPr>
                <w:p>
                  <w:pPr>
                    <w:pStyle w:val="40"/>
                    <w:bidi w:val="0"/>
                    <w:rPr>
                      <w:rFonts w:hint="default" w:ascii="Times New Roman" w:hAnsi="Times New Roman" w:cs="Times New Roman"/>
                      <w:lang w:val="en-US" w:eastAsia="zh-CN"/>
                    </w:rPr>
                  </w:pPr>
                  <w:r>
                    <w:rPr>
                      <w:rFonts w:hint="eastAsia" w:cs="Times New Roman"/>
                      <w:lang w:val="en-US" w:eastAsia="zh-CN"/>
                    </w:rPr>
                    <w:t>4×10</w:t>
                  </w:r>
                  <w:r>
                    <w:rPr>
                      <w:rFonts w:hint="eastAsia" w:cs="Times New Roman"/>
                      <w:vertAlign w:val="superscript"/>
                      <w:lang w:val="en-US" w:eastAsia="zh-CN"/>
                    </w:rPr>
                    <w:t>-5</w:t>
                  </w:r>
                </w:p>
              </w:tc>
              <w:tc>
                <w:tcPr>
                  <w:tcW w:w="1251" w:type="dxa"/>
                  <w:noWrap w:val="0"/>
                  <w:vAlign w:val="center"/>
                </w:tcPr>
                <w:p>
                  <w:pPr>
                    <w:pStyle w:val="40"/>
                    <w:bidi w:val="0"/>
                    <w:rPr>
                      <w:rFonts w:hint="default"/>
                      <w:lang w:val="en-US" w:eastAsia="zh-CN"/>
                    </w:rPr>
                  </w:pPr>
                  <w:r>
                    <w:rPr>
                      <w:rFonts w:hint="eastAsia"/>
                      <w:lang w:val="en-US" w:eastAsia="zh-CN"/>
                    </w:rPr>
                    <w:t>危险废物贮存点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8" w:type="dxa"/>
                  <w:gridSpan w:val="5"/>
                  <w:noWrap w:val="0"/>
                  <w:vAlign w:val="center"/>
                </w:tcPr>
                <w:p>
                  <w:pPr>
                    <w:pStyle w:val="40"/>
                    <w:bidi w:val="0"/>
                    <w:rPr>
                      <w:rFonts w:hint="default"/>
                      <w:lang w:val="en-US" w:eastAsia="zh-CN"/>
                    </w:rPr>
                  </w:pPr>
                  <w:r>
                    <w:rPr>
                      <w:rFonts w:hint="eastAsia"/>
                      <w:lang w:val="en-US" w:eastAsia="zh-CN"/>
                    </w:rPr>
                    <w:t>Q值合计</w:t>
                  </w:r>
                </w:p>
              </w:tc>
              <w:tc>
                <w:tcPr>
                  <w:tcW w:w="2526" w:type="dxa"/>
                  <w:gridSpan w:val="2"/>
                  <w:noWrap w:val="0"/>
                  <w:vAlign w:val="center"/>
                </w:tcPr>
                <w:p>
                  <w:pPr>
                    <w:pStyle w:val="40"/>
                    <w:bidi w:val="0"/>
                    <w:rPr>
                      <w:rFonts w:hint="default"/>
                      <w:lang w:val="en-US" w:eastAsia="zh-CN"/>
                    </w:rPr>
                  </w:pPr>
                  <w:r>
                    <w:rPr>
                      <w:rFonts w:hint="default"/>
                      <w:lang w:val="en-US" w:eastAsia="zh-CN"/>
                    </w:rPr>
                    <w:t>4×10</w:t>
                  </w:r>
                  <w:r>
                    <w:rPr>
                      <w:rFonts w:hint="default"/>
                      <w:vertAlign w:val="superscript"/>
                      <w:lang w:val="en-US" w:eastAsia="zh-CN"/>
                    </w:rPr>
                    <w:t>-5</w:t>
                  </w:r>
                </w:p>
              </w:tc>
            </w:tr>
          </w:tbl>
          <w:p>
            <w:pPr>
              <w:pStyle w:val="8"/>
              <w:bidi w:val="0"/>
              <w:rPr>
                <w:rFonts w:hint="default"/>
                <w:lang w:val="en-US" w:eastAsia="zh-CN"/>
              </w:rPr>
            </w:pPr>
            <w:r>
              <w:rPr>
                <w:rFonts w:hint="default"/>
                <w:lang w:val="en-US" w:eastAsia="zh-CN"/>
              </w:rPr>
              <w:t>由上表可知，危险物质的数量与临界量比值Q＜1，环境风险潜势为I。</w:t>
            </w:r>
          </w:p>
          <w:p>
            <w:pPr>
              <w:pStyle w:val="2"/>
              <w:bidi w:val="0"/>
              <w:rPr>
                <w:rFonts w:hint="default"/>
                <w:lang w:val="en-US" w:eastAsia="zh-CN"/>
              </w:rPr>
            </w:pPr>
            <w:r>
              <w:rPr>
                <w:rFonts w:hint="default"/>
                <w:lang w:val="en-US" w:eastAsia="zh-CN"/>
              </w:rPr>
              <w:t>7.2环境风险源影响途径</w:t>
            </w:r>
          </w:p>
          <w:p>
            <w:pPr>
              <w:pStyle w:val="8"/>
              <w:bidi w:val="0"/>
              <w:rPr>
                <w:rFonts w:hint="default"/>
                <w:lang w:val="en-US" w:eastAsia="zh-CN"/>
              </w:rPr>
            </w:pPr>
            <w:r>
              <w:rPr>
                <w:rFonts w:hint="default"/>
                <w:lang w:val="en-US" w:eastAsia="zh-CN"/>
              </w:rPr>
              <w:t>油品泄漏事故：项目生产过程中涉及的危险物质有废润滑油。当储存设施发生破损造成泄漏，可能会污染周围土壤和地下水，污染的土壤不仅会造成植物的死亡，而且土壤层吸附的油品还会随着下渗补充到地下水。</w:t>
            </w:r>
          </w:p>
          <w:p>
            <w:pPr>
              <w:pStyle w:val="8"/>
              <w:bidi w:val="0"/>
              <w:rPr>
                <w:rFonts w:hint="default"/>
                <w:lang w:val="en-US" w:eastAsia="zh-CN"/>
              </w:rPr>
            </w:pPr>
            <w:r>
              <w:rPr>
                <w:rFonts w:hint="default"/>
                <w:lang w:val="en-US" w:eastAsia="zh-CN"/>
              </w:rPr>
              <w:t>环保设施危险性：本项目配套废气系统出现故障而导致不能正常运作，导致</w:t>
            </w:r>
            <w:r>
              <w:rPr>
                <w:rFonts w:hint="eastAsia"/>
                <w:lang w:val="en-US" w:eastAsia="zh-CN"/>
              </w:rPr>
              <w:t>颗粒物</w:t>
            </w:r>
            <w:r>
              <w:rPr>
                <w:rFonts w:hint="default"/>
                <w:lang w:val="en-US" w:eastAsia="zh-CN"/>
              </w:rPr>
              <w:t>未经处理而直接向大气排放。</w:t>
            </w:r>
          </w:p>
          <w:p>
            <w:pPr>
              <w:pStyle w:val="8"/>
              <w:bidi w:val="0"/>
              <w:rPr>
                <w:rFonts w:hint="default"/>
                <w:lang w:val="en-US" w:eastAsia="zh-CN"/>
              </w:rPr>
            </w:pPr>
            <w:r>
              <w:rPr>
                <w:rFonts w:hint="default"/>
                <w:lang w:val="en-US" w:eastAsia="zh-CN"/>
              </w:rPr>
              <w:t>危废贮存点管理风险：危险废物贮存点防渗层破损或破裂，且在收集和转运过程中若管理不当，容易导致危险废物渗漏和洒落至地面，并可能进入地表及地下水体，对土壤和水环境造成污染。</w:t>
            </w:r>
          </w:p>
          <w:p>
            <w:pPr>
              <w:pStyle w:val="8"/>
              <w:bidi w:val="0"/>
              <w:rPr>
                <w:rFonts w:hint="default"/>
                <w:lang w:val="en-US" w:eastAsia="zh-CN"/>
              </w:rPr>
            </w:pPr>
            <w:r>
              <w:rPr>
                <w:rFonts w:hint="default"/>
                <w:lang w:val="en-US" w:eastAsia="zh-CN"/>
              </w:rPr>
              <w:t>火灾爆炸事故引发的伴生/次生污染：废润滑油具有易燃易爆的危险特性，发生火灾爆炸事故后随着燃烧氧化，会产生伴生/次生产物，主要为不完全燃烧产生的CO和烟尘等污染物会对大气造成较大影响，从而造成二次污染。</w:t>
            </w:r>
          </w:p>
          <w:p>
            <w:pPr>
              <w:pStyle w:val="2"/>
              <w:bidi w:val="0"/>
              <w:rPr>
                <w:rFonts w:hint="default"/>
                <w:lang w:val="en-US" w:eastAsia="zh-CN"/>
              </w:rPr>
            </w:pPr>
            <w:r>
              <w:rPr>
                <w:rFonts w:hint="default"/>
                <w:lang w:val="en-US" w:eastAsia="zh-CN"/>
              </w:rPr>
              <w:t>7.3环境风险防范措施</w:t>
            </w:r>
          </w:p>
          <w:p>
            <w:pPr>
              <w:pStyle w:val="8"/>
              <w:bidi w:val="0"/>
              <w:rPr>
                <w:rFonts w:hint="default"/>
                <w:lang w:val="en-US" w:eastAsia="zh-CN"/>
              </w:rPr>
            </w:pPr>
            <w:r>
              <w:rPr>
                <w:rFonts w:hint="default"/>
                <w:lang w:val="en-US" w:eastAsia="zh-CN"/>
              </w:rPr>
              <w:t>为减少油类物质泄漏等引起的火灾事故，提出以下环境风险防范措施及应急要求：</w:t>
            </w:r>
          </w:p>
          <w:p>
            <w:pPr>
              <w:pStyle w:val="8"/>
              <w:bidi w:val="0"/>
              <w:rPr>
                <w:rFonts w:hint="default"/>
                <w:lang w:val="en-US" w:eastAsia="zh-CN"/>
              </w:rPr>
            </w:pPr>
            <w:r>
              <w:rPr>
                <w:rFonts w:hint="default"/>
                <w:lang w:val="en-US" w:eastAsia="zh-CN"/>
              </w:rPr>
              <w:t>①成立专门的责任机构，保证事故发生时组织相关力量及时控制事故的危害，在第一时间，有序有效地控制事故污染，把事故危害</w:t>
            </w:r>
            <w:r>
              <w:rPr>
                <w:rFonts w:hint="eastAsia"/>
                <w:lang w:val="en-US" w:eastAsia="zh-CN"/>
              </w:rPr>
              <w:t>减少</w:t>
            </w:r>
            <w:r>
              <w:rPr>
                <w:rFonts w:hint="default"/>
                <w:lang w:val="en-US" w:eastAsia="zh-CN"/>
              </w:rPr>
              <w:t>到最小。</w:t>
            </w:r>
          </w:p>
          <w:p>
            <w:pPr>
              <w:pStyle w:val="8"/>
              <w:bidi w:val="0"/>
              <w:rPr>
                <w:rFonts w:hint="default"/>
                <w:lang w:val="en-US" w:eastAsia="zh-CN"/>
              </w:rPr>
            </w:pPr>
            <w:r>
              <w:rPr>
                <w:rFonts w:hint="default"/>
                <w:lang w:val="en-US" w:eastAsia="zh-CN"/>
              </w:rPr>
              <w:t>②健全各项制度，强化安全管理意识，加强用电设备及线路的检修和管理。</w:t>
            </w:r>
          </w:p>
          <w:p>
            <w:pPr>
              <w:pStyle w:val="8"/>
              <w:bidi w:val="0"/>
              <w:rPr>
                <w:rFonts w:hint="default"/>
                <w:lang w:val="en-US" w:eastAsia="zh-CN"/>
              </w:rPr>
            </w:pPr>
            <w:r>
              <w:rPr>
                <w:rFonts w:hint="default"/>
                <w:lang w:val="en-US" w:eastAsia="zh-CN"/>
              </w:rPr>
              <w:t>③严格按照消防安全部门要求，配置消防设施。</w:t>
            </w:r>
          </w:p>
          <w:p>
            <w:pPr>
              <w:pStyle w:val="8"/>
              <w:bidi w:val="0"/>
              <w:rPr>
                <w:rFonts w:hint="default"/>
                <w:lang w:val="en-US" w:eastAsia="zh-CN"/>
              </w:rPr>
            </w:pPr>
            <w:r>
              <w:rPr>
                <w:rFonts w:hint="default"/>
                <w:lang w:val="en-US" w:eastAsia="zh-CN"/>
              </w:rPr>
              <w:t>④油类物质等易燃易爆物品存储远离火源。在采取以上措施后，可有效降低风险发生的概率。</w:t>
            </w:r>
          </w:p>
          <w:p>
            <w:pPr>
              <w:pStyle w:val="8"/>
              <w:bidi w:val="0"/>
              <w:rPr>
                <w:rFonts w:hint="default"/>
                <w:lang w:val="en-US" w:eastAsia="zh-CN"/>
              </w:rPr>
            </w:pPr>
            <w:r>
              <w:rPr>
                <w:rFonts w:hint="default"/>
                <w:lang w:val="en-US" w:eastAsia="zh-CN"/>
              </w:rPr>
              <w:t>为减少项目废气处理设施非正常工况导致颗粒物超标排放对周边环境的影响，提出以下环境风险防范措施及应急要求：</w:t>
            </w:r>
          </w:p>
          <w:p>
            <w:pPr>
              <w:pStyle w:val="8"/>
              <w:bidi w:val="0"/>
              <w:rPr>
                <w:rFonts w:hint="default"/>
                <w:lang w:val="en-US" w:eastAsia="zh-CN"/>
              </w:rPr>
            </w:pPr>
            <w:r>
              <w:rPr>
                <w:rFonts w:hint="default"/>
                <w:lang w:val="en-US" w:eastAsia="zh-CN"/>
              </w:rPr>
              <w:t>（1）制定环保设备运行维护制度，并派专人进行管理，定期对环保设备进行点检维护。</w:t>
            </w:r>
          </w:p>
          <w:p>
            <w:pPr>
              <w:pStyle w:val="8"/>
              <w:bidi w:val="0"/>
              <w:rPr>
                <w:rFonts w:hint="default"/>
                <w:lang w:val="en-US" w:eastAsia="zh-CN"/>
              </w:rPr>
            </w:pPr>
            <w:r>
              <w:rPr>
                <w:rFonts w:hint="default"/>
                <w:lang w:val="en-US" w:eastAsia="zh-CN"/>
              </w:rPr>
              <w:t>（2）定期对风机的运行情况进行检查记录，一旦发现运行异常，立即对相应的生产设备进行停产，并对风机设备进行维修。</w:t>
            </w:r>
          </w:p>
          <w:p>
            <w:pPr>
              <w:pStyle w:val="8"/>
              <w:bidi w:val="0"/>
              <w:rPr>
                <w:rFonts w:hint="default"/>
                <w:lang w:val="en-US" w:eastAsia="zh-CN"/>
              </w:rPr>
            </w:pPr>
            <w:r>
              <w:rPr>
                <w:rFonts w:hint="default"/>
                <w:lang w:val="en-US" w:eastAsia="zh-CN"/>
              </w:rPr>
              <w:t>（3）</w:t>
            </w:r>
            <w:r>
              <w:rPr>
                <w:rFonts w:hint="default" w:ascii="Times New Roman" w:hAnsi="Times New Roman" w:eastAsia="宋体" w:cs="Times New Roman"/>
                <w:highlight w:val="none"/>
                <w:lang w:val="en-US" w:eastAsia="zh-CN"/>
              </w:rPr>
              <w:t>对</w:t>
            </w:r>
            <w:r>
              <w:rPr>
                <w:rFonts w:hint="eastAsia" w:cs="Times New Roman"/>
                <w:highlight w:val="none"/>
                <w:lang w:val="en-US" w:eastAsia="zh-CN"/>
              </w:rPr>
              <w:t>布袋除尘器</w:t>
            </w:r>
            <w:r>
              <w:rPr>
                <w:rFonts w:hint="default" w:ascii="Times New Roman" w:hAnsi="Times New Roman" w:eastAsia="宋体" w:cs="Times New Roman"/>
                <w:lang w:val="en-US" w:eastAsia="zh-CN"/>
              </w:rPr>
              <w:t>定期检查，确保废气处理效率，若发现异常应立即停产进行维修。</w:t>
            </w:r>
          </w:p>
          <w:p>
            <w:pPr>
              <w:pStyle w:val="8"/>
              <w:bidi w:val="0"/>
              <w:rPr>
                <w:rFonts w:hint="default"/>
                <w:lang w:val="en-US" w:eastAsia="zh-CN"/>
              </w:rPr>
            </w:pPr>
          </w:p>
        </w:tc>
      </w:tr>
    </w:tbl>
    <w:p>
      <w:pPr>
        <w:pStyle w:val="11"/>
        <w:ind w:left="0" w:leftChars="0" w:firstLine="0" w:firstLineChars="0"/>
        <w:rPr>
          <w:rFonts w:hint="eastAsia"/>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8"/>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10" w:name="_Hlk54167917"/>
      <w:r>
        <w:rPr>
          <w:rFonts w:hint="eastAsia" w:ascii="黑体" w:hAnsi="黑体" w:eastAsia="黑体"/>
          <w:snapToGrid w:val="0"/>
          <w:sz w:val="30"/>
          <w:szCs w:val="30"/>
        </w:rPr>
        <w:t>环境保护措施监督检查清单</w:t>
      </w:r>
      <w:bookmarkEnd w:id="10"/>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18"/>
        <w:gridCol w:w="1223"/>
        <w:gridCol w:w="1489"/>
        <w:gridCol w:w="2158"/>
        <w:gridCol w:w="28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jc w:val="center"/>
        </w:trPr>
        <w:tc>
          <w:tcPr>
            <w:tcW w:w="1118" w:type="dxa"/>
            <w:tcBorders>
              <w:tl2br w:val="nil"/>
              <w:tr2bl w:val="nil"/>
            </w:tcBorders>
            <w:noWrap w:val="0"/>
            <w:vAlign w:val="top"/>
            <mc:AlternateContent>
              <mc:Choice Requires="wpsCustomData">
                <wpsCustomData:diagonals>
                  <wpsCustomData:diagonal from="30000" to="10000">
                    <wpsCustomData:border w:val="single" w:color="auto" w:sz="8" w:space="0"/>
                  </wpsCustomData:diagonal>
                </wpsCustomData:diagonals>
              </mc:Choice>
            </mc:AlternateContent>
          </w:tcPr>
          <w:p>
            <w:pPr>
              <w:pStyle w:val="40"/>
              <w:bidi w:val="0"/>
              <w:rPr>
                <w:rFonts w:hint="eastAsia"/>
              </w:rPr>
            </w:pPr>
          </w:p>
          <w:p>
            <w:pPr>
              <w:pStyle w:val="40"/>
              <w:bidi w:val="0"/>
              <mc:AlternateContent>
                <mc:Choice Requires="wpsCustomData">
                  <wpsCustomData:diagonalParaType/>
                </mc:Choice>
              </mc:AlternateContent>
              <w:rPr>
                <w:rFonts w:hint="eastAsia" w:eastAsia="宋体"/>
                <w:lang w:val="en-US" w:eastAsia="zh-CN"/>
              </w:rPr>
            </w:pPr>
            <w:r>
              <w:rPr>
                <w:rFonts w:hint="eastAsia"/>
                <w:lang w:val="en-US" w:eastAsia="zh-CN"/>
              </w:rPr>
              <w:t>要素</w:t>
            </w:r>
          </w:p>
          <w:p>
            <w:pPr>
              <w:pStyle w:val="40"/>
              <w:bidi w:val="0"/>
              <w:rPr>
                <w:rFonts w:hint="eastAsia"/>
              </w:rPr>
            </w:pPr>
            <w:r>
              <w:rPr>
                <w:rFonts w:hint="eastAsia"/>
              </w:rPr>
              <w:t>内容</w:t>
            </w:r>
          </w:p>
        </w:tc>
        <w:tc>
          <w:tcPr>
            <w:tcW w:w="1223" w:type="dxa"/>
            <w:tcBorders>
              <w:tl2br w:val="nil"/>
              <w:tr2bl w:val="nil"/>
            </w:tcBorders>
            <w:noWrap w:val="0"/>
            <w:vAlign w:val="center"/>
          </w:tcPr>
          <w:p>
            <w:pPr>
              <w:adjustRightInd w:val="0"/>
              <w:snapToGrid w:val="0"/>
              <w:jc w:val="center"/>
              <w:rPr>
                <w:rFonts w:hint="eastAsia" w:ascii="宋体" w:hAnsi="宋体" w:cs="宋体"/>
                <w:szCs w:val="21"/>
              </w:rPr>
            </w:pPr>
            <w:r>
              <w:rPr>
                <w:rFonts w:hint="eastAsia" w:ascii="宋体" w:hAnsi="宋体" w:cs="宋体"/>
                <w:szCs w:val="21"/>
              </w:rPr>
              <w:t>排放口(编号、名称)/污染源</w:t>
            </w:r>
          </w:p>
        </w:tc>
        <w:tc>
          <w:tcPr>
            <w:tcW w:w="1489" w:type="dxa"/>
            <w:tcBorders>
              <w:tl2br w:val="nil"/>
              <w:tr2bl w:val="nil"/>
            </w:tcBorders>
            <w:noWrap w:val="0"/>
            <w:vAlign w:val="center"/>
          </w:tcPr>
          <w:p>
            <w:pPr>
              <w:pStyle w:val="40"/>
              <w:bidi w:val="0"/>
              <w:rPr>
                <w:rFonts w:hint="eastAsia"/>
              </w:rPr>
            </w:pPr>
            <w:r>
              <w:rPr>
                <w:rFonts w:hint="eastAsia"/>
              </w:rPr>
              <w:t>污染物项目</w:t>
            </w:r>
          </w:p>
        </w:tc>
        <w:tc>
          <w:tcPr>
            <w:tcW w:w="2158" w:type="dxa"/>
            <w:tcBorders>
              <w:tl2br w:val="nil"/>
              <w:tr2bl w:val="nil"/>
            </w:tcBorders>
            <w:noWrap w:val="0"/>
            <w:vAlign w:val="center"/>
          </w:tcPr>
          <w:p>
            <w:pPr>
              <w:adjustRightInd w:val="0"/>
              <w:snapToGrid w:val="0"/>
              <w:jc w:val="center"/>
              <w:rPr>
                <w:rFonts w:hint="eastAsia" w:ascii="宋体" w:hAnsi="宋体" w:cs="宋体"/>
                <w:szCs w:val="21"/>
              </w:rPr>
            </w:pPr>
            <w:r>
              <w:rPr>
                <w:rStyle w:val="41"/>
                <w:rFonts w:hint="eastAsia"/>
              </w:rPr>
              <w:t>环境保护措</w:t>
            </w:r>
            <w:r>
              <w:rPr>
                <w:rFonts w:hint="eastAsia" w:ascii="宋体" w:hAnsi="宋体" w:cs="宋体"/>
                <w:szCs w:val="21"/>
              </w:rPr>
              <w:t>施</w:t>
            </w:r>
          </w:p>
        </w:tc>
        <w:tc>
          <w:tcPr>
            <w:tcW w:w="2812" w:type="dxa"/>
            <w:tcBorders>
              <w:tl2br w:val="nil"/>
              <w:tr2bl w:val="nil"/>
            </w:tcBorders>
            <w:noWrap w:val="0"/>
            <w:vAlign w:val="center"/>
          </w:tcPr>
          <w:p>
            <w:pPr>
              <w:adjustRightInd w:val="0"/>
              <w:snapToGrid w:val="0"/>
              <w:jc w:val="center"/>
              <w:rPr>
                <w:rFonts w:hint="eastAsia" w:ascii="宋体" w:hAnsi="宋体" w:cs="宋体"/>
                <w:szCs w:val="21"/>
              </w:rPr>
            </w:pPr>
            <w:r>
              <w:rPr>
                <w:rFonts w:hint="eastAsia" w:ascii="宋体" w:hAnsi="宋体" w:cs="宋体"/>
                <w:szCs w:val="21"/>
              </w:rPr>
              <w:t>执行标准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118" w:type="dxa"/>
            <w:vMerge w:val="restart"/>
            <w:tcBorders>
              <w:tl2br w:val="nil"/>
              <w:tr2bl w:val="nil"/>
            </w:tcBorders>
            <w:noWrap w:val="0"/>
            <w:vAlign w:val="center"/>
          </w:tcPr>
          <w:p>
            <w:pPr>
              <w:adjustRightInd w:val="0"/>
              <w:snapToGrid w:val="0"/>
              <w:jc w:val="center"/>
              <w:rPr>
                <w:rFonts w:hint="eastAsia" w:ascii="宋体" w:hAnsi="宋体" w:cs="宋体"/>
                <w:szCs w:val="21"/>
              </w:rPr>
            </w:pPr>
            <w:r>
              <w:rPr>
                <w:rFonts w:hint="eastAsia" w:ascii="宋体" w:hAnsi="宋体" w:cs="宋体"/>
                <w:szCs w:val="21"/>
              </w:rPr>
              <w:t>大气环境</w:t>
            </w:r>
          </w:p>
        </w:tc>
        <w:tc>
          <w:tcPr>
            <w:tcW w:w="1223" w:type="dxa"/>
            <w:tcBorders>
              <w:tl2br w:val="nil"/>
              <w:tr2bl w:val="nil"/>
            </w:tcBorders>
            <w:noWrap w:val="0"/>
            <w:vAlign w:val="center"/>
          </w:tcPr>
          <w:p>
            <w:pPr>
              <w:pStyle w:val="40"/>
              <w:bidi w:val="0"/>
              <w:ind w:left="0" w:leftChars="0" w:right="0" w:rightChars="0" w:firstLine="0" w:firstLineChars="0"/>
              <w:jc w:val="center"/>
              <w:rPr>
                <w:rFonts w:hint="default"/>
                <w:lang w:val="en-US" w:eastAsia="zh-CN"/>
              </w:rPr>
            </w:pPr>
            <w:r>
              <w:rPr>
                <w:rFonts w:hint="eastAsia"/>
                <w:lang w:val="en-US" w:eastAsia="zh-CN"/>
              </w:rPr>
              <w:t>DA001</w:t>
            </w:r>
          </w:p>
        </w:tc>
        <w:tc>
          <w:tcPr>
            <w:tcW w:w="1489" w:type="dxa"/>
            <w:tcBorders>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eastAsia"/>
                <w:lang w:val="en-US" w:eastAsia="zh-CN"/>
              </w:rPr>
            </w:pPr>
            <w:r>
              <w:rPr>
                <w:rFonts w:hint="eastAsia"/>
                <w:lang w:val="en-US" w:eastAsia="zh-CN"/>
              </w:rPr>
              <w:t>颗粒物</w:t>
            </w:r>
          </w:p>
        </w:tc>
        <w:tc>
          <w:tcPr>
            <w:tcW w:w="2158" w:type="dxa"/>
            <w:tcBorders>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eastAsia"/>
              </w:rPr>
            </w:pPr>
            <w:r>
              <w:rPr>
                <w:rFonts w:hint="eastAsia"/>
                <w:lang w:val="en-US" w:eastAsia="zh-CN"/>
              </w:rPr>
              <w:t>布袋除尘器+15m排气筒</w:t>
            </w:r>
          </w:p>
        </w:tc>
        <w:tc>
          <w:tcPr>
            <w:tcW w:w="2812" w:type="dxa"/>
            <w:tcBorders>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eastAsia"/>
              </w:rPr>
            </w:pPr>
            <w:r>
              <w:rPr>
                <w:rFonts w:hint="eastAsia"/>
                <w:lang w:val="en-US" w:eastAsia="zh-CN"/>
              </w:rPr>
              <w:t>《水泥工业大气污染物排放标准》（含2025年修改单）（GB4915-2013）表1大气污染物排放限值要求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118" w:type="dxa"/>
            <w:vMerge w:val="continue"/>
            <w:tcBorders>
              <w:tl2br w:val="nil"/>
              <w:tr2bl w:val="nil"/>
            </w:tcBorders>
            <w:noWrap w:val="0"/>
            <w:vAlign w:val="center"/>
          </w:tcPr>
          <w:p>
            <w:pPr>
              <w:adjustRightInd w:val="0"/>
              <w:snapToGrid w:val="0"/>
              <w:jc w:val="center"/>
              <w:rPr>
                <w:rFonts w:hint="eastAsia" w:ascii="宋体" w:hAnsi="宋体" w:cs="宋体"/>
                <w:szCs w:val="21"/>
              </w:rPr>
            </w:pPr>
          </w:p>
        </w:tc>
        <w:tc>
          <w:tcPr>
            <w:tcW w:w="1223" w:type="dxa"/>
            <w:tcBorders>
              <w:tl2br w:val="nil"/>
              <w:tr2bl w:val="nil"/>
            </w:tcBorders>
            <w:noWrap w:val="0"/>
            <w:vAlign w:val="center"/>
          </w:tcPr>
          <w:p>
            <w:pPr>
              <w:pStyle w:val="40"/>
              <w:bidi w:val="0"/>
              <w:ind w:left="0" w:leftChars="0" w:right="0" w:rightChars="0" w:firstLine="0" w:firstLineChars="0"/>
              <w:jc w:val="center"/>
              <w:rPr>
                <w:rFonts w:hint="eastAsia"/>
                <w:lang w:val="en-US" w:eastAsia="zh-CN"/>
              </w:rPr>
            </w:pPr>
            <w:r>
              <w:rPr>
                <w:rFonts w:hint="eastAsia"/>
                <w:lang w:val="en-US" w:eastAsia="zh-CN"/>
              </w:rPr>
              <w:t>DA002</w:t>
            </w:r>
          </w:p>
        </w:tc>
        <w:tc>
          <w:tcPr>
            <w:tcW w:w="1489" w:type="dxa"/>
            <w:tcBorders>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eastAsia"/>
                <w:lang w:val="en-US" w:eastAsia="zh-CN"/>
              </w:rPr>
              <w:t>油烟</w:t>
            </w:r>
          </w:p>
        </w:tc>
        <w:tc>
          <w:tcPr>
            <w:tcW w:w="2158" w:type="dxa"/>
            <w:tcBorders>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eastAsia"/>
                <w:lang w:val="en-US" w:eastAsia="zh-CN"/>
              </w:rPr>
              <w:t>油烟净化器</w:t>
            </w:r>
          </w:p>
        </w:tc>
        <w:tc>
          <w:tcPr>
            <w:tcW w:w="2812" w:type="dxa"/>
            <w:tcBorders>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eastAsia"/>
                <w:lang w:val="en-US" w:eastAsia="zh-CN"/>
              </w:rPr>
            </w:pPr>
            <w:r>
              <w:rPr>
                <w:rFonts w:hint="eastAsia"/>
                <w:lang w:val="en-US" w:eastAsia="zh-CN"/>
              </w:rPr>
              <w:t>《饮食业油烟排放标准（试行）》（GB 18483-2001）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7" w:hRule="atLeast"/>
          <w:jc w:val="center"/>
        </w:trPr>
        <w:tc>
          <w:tcPr>
            <w:tcW w:w="1118" w:type="dxa"/>
            <w:vMerge w:val="continue"/>
            <w:tcBorders>
              <w:tl2br w:val="nil"/>
              <w:tr2bl w:val="nil"/>
            </w:tcBorders>
            <w:noWrap w:val="0"/>
            <w:vAlign w:val="center"/>
          </w:tcPr>
          <w:p>
            <w:pPr>
              <w:adjustRightInd w:val="0"/>
              <w:snapToGrid w:val="0"/>
              <w:jc w:val="center"/>
              <w:rPr>
                <w:rFonts w:hint="eastAsia" w:ascii="宋体" w:hAnsi="宋体" w:cs="宋体"/>
                <w:szCs w:val="21"/>
              </w:rPr>
            </w:pPr>
          </w:p>
        </w:tc>
        <w:tc>
          <w:tcPr>
            <w:tcW w:w="1223" w:type="dxa"/>
            <w:tcBorders>
              <w:bottom w:val="single" w:color="auto" w:sz="4" w:space="0"/>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eastAsia"/>
                <w:lang w:val="en-US" w:eastAsia="zh-CN"/>
              </w:rPr>
              <w:t>厂界</w:t>
            </w:r>
          </w:p>
        </w:tc>
        <w:tc>
          <w:tcPr>
            <w:tcW w:w="1489" w:type="dxa"/>
            <w:tcBorders>
              <w:bottom w:val="single" w:color="auto" w:sz="4" w:space="0"/>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eastAsia"/>
              </w:rPr>
            </w:pPr>
            <w:r>
              <w:t>颗粒物</w:t>
            </w:r>
          </w:p>
        </w:tc>
        <w:tc>
          <w:tcPr>
            <w:tcW w:w="2158" w:type="dxa"/>
            <w:tcBorders>
              <w:bottom w:val="single" w:color="auto" w:sz="4" w:space="0"/>
              <w:tl2br w:val="nil"/>
              <w:tr2bl w:val="nil"/>
            </w:tcBorders>
            <w:noWrap w:val="0"/>
            <w:vAlign w:val="center"/>
          </w:tcPr>
          <w:p>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eastAsia="宋体"/>
                <w:lang w:val="en-US" w:eastAsia="zh-CN"/>
              </w:rPr>
            </w:pPr>
            <w:r>
              <w:rPr>
                <w:rFonts w:hint="default" w:ascii="Times New Roman" w:hAnsi="Times New Roman" w:cs="Times New Roman"/>
                <w:highlight w:val="none"/>
                <w:lang w:val="en-US" w:eastAsia="zh-CN"/>
              </w:rPr>
              <w:t>半封闭仓库+洒水降尘</w:t>
            </w:r>
            <w:r>
              <w:rPr>
                <w:rFonts w:hint="eastAsia" w:cs="Times New Roman"/>
                <w:highlight w:val="none"/>
                <w:lang w:val="en-US" w:eastAsia="zh-CN"/>
              </w:rPr>
              <w:t>，</w:t>
            </w:r>
            <w:r>
              <w:rPr>
                <w:rFonts w:hint="default" w:ascii="Times New Roman" w:hAnsi="Times New Roman" w:cs="Times New Roman"/>
              </w:rPr>
              <w:t>筒仓顶部设置</w:t>
            </w:r>
            <w:r>
              <w:rPr>
                <w:rFonts w:hint="eastAsia" w:cs="Times New Roman"/>
                <w:lang w:val="en-US" w:eastAsia="zh-CN"/>
              </w:rPr>
              <w:t>脉冲式布袋除尘器，上料口围挡+洒水抑尘</w:t>
            </w:r>
            <w:r>
              <w:rPr>
                <w:rFonts w:hint="eastAsia" w:ascii="Times New Roman" w:hAnsi="Times New Roman" w:cs="Times New Roman"/>
                <w:lang w:val="en-US" w:eastAsia="zh-CN"/>
              </w:rPr>
              <w:t>。</w:t>
            </w:r>
          </w:p>
        </w:tc>
        <w:tc>
          <w:tcPr>
            <w:tcW w:w="2812" w:type="dxa"/>
            <w:tcBorders>
              <w:bottom w:val="single" w:color="auto" w:sz="4" w:space="0"/>
              <w:tl2br w:val="nil"/>
              <w:tr2bl w:val="nil"/>
            </w:tcBorders>
            <w:noWrap w:val="0"/>
            <w:vAlign w:val="center"/>
          </w:tcPr>
          <w:p>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rPr>
            </w:pPr>
            <w:r>
              <w:rPr>
                <w:rFonts w:hint="default" w:ascii="Times New Roman" w:hAnsi="Times New Roman" w:cs="Times New Roman"/>
              </w:rPr>
              <w:t>《水泥工业大气污染物排放标准》（含2025年修改单）（GB4915-2013）</w:t>
            </w:r>
            <w:r>
              <w:rPr>
                <w:rFonts w:hint="default" w:ascii="Times New Roman" w:hAnsi="Times New Roman" w:cs="Times New Roman"/>
                <w:lang w:eastAsia="zh-CN"/>
              </w:rPr>
              <w:t>中</w:t>
            </w:r>
            <w:r>
              <w:rPr>
                <w:rFonts w:hint="default" w:ascii="Times New Roman" w:hAnsi="Times New Roman" w:cs="Times New Roman"/>
              </w:rPr>
              <w:t>表</w:t>
            </w:r>
            <w:r>
              <w:rPr>
                <w:rFonts w:hint="default" w:ascii="Times New Roman" w:hAnsi="Times New Roman" w:cs="Times New Roman"/>
                <w:lang w:val="en-US" w:eastAsia="zh-CN"/>
              </w:rPr>
              <w:t>3大气污染物无组织排放限值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118" w:type="dxa"/>
            <w:tcBorders>
              <w:tl2br w:val="nil"/>
              <w:tr2bl w:val="nil"/>
            </w:tcBorders>
            <w:noWrap w:val="0"/>
            <w:vAlign w:val="center"/>
          </w:tcPr>
          <w:p>
            <w:pPr>
              <w:adjustRightInd w:val="0"/>
              <w:snapToGrid w:val="0"/>
              <w:jc w:val="center"/>
              <w:rPr>
                <w:rFonts w:hint="eastAsia" w:ascii="宋体" w:hAnsi="宋体" w:cs="宋体"/>
                <w:szCs w:val="21"/>
              </w:rPr>
            </w:pPr>
            <w:r>
              <w:rPr>
                <w:rFonts w:hint="eastAsia" w:ascii="宋体" w:hAnsi="宋体" w:cs="宋体"/>
                <w:szCs w:val="21"/>
              </w:rPr>
              <w:t>地表水环境</w:t>
            </w:r>
          </w:p>
        </w:tc>
        <w:tc>
          <w:tcPr>
            <w:tcW w:w="1223" w:type="dxa"/>
            <w:tcBorders>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eastAsia"/>
              </w:rPr>
            </w:pPr>
            <w:r>
              <w:rPr>
                <w:rFonts w:hint="eastAsia"/>
                <w:lang w:val="en-US" w:eastAsia="zh-CN"/>
              </w:rPr>
              <w:t>生活污水</w:t>
            </w:r>
          </w:p>
        </w:tc>
        <w:tc>
          <w:tcPr>
            <w:tcW w:w="1489" w:type="dxa"/>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lang w:val="en-US" w:eastAsia="zh-CN"/>
              </w:rPr>
              <w:t>COD</w:t>
            </w:r>
            <w:r>
              <w:rPr>
                <w:rFonts w:hint="eastAsia"/>
                <w:lang w:val="en-US" w:eastAsia="zh-CN"/>
              </w:rPr>
              <w:t>、</w:t>
            </w:r>
            <w:r>
              <w:rPr>
                <w:lang w:val="en-US" w:eastAsia="zh-CN"/>
              </w:rPr>
              <w:t>BOD</w:t>
            </w:r>
            <w:r>
              <w:rPr>
                <w:rFonts w:hint="eastAsia"/>
                <w:vertAlign w:val="subscript"/>
                <w:lang w:val="en-US" w:eastAsia="zh-CN"/>
              </w:rPr>
              <w:t>5</w:t>
            </w:r>
            <w:r>
              <w:rPr>
                <w:rFonts w:hint="eastAsia"/>
                <w:lang w:val="en-US" w:eastAsia="zh-CN"/>
              </w:rPr>
              <w:t>、</w:t>
            </w:r>
            <w:r>
              <w:rPr>
                <w:lang w:val="en-US" w:eastAsia="zh-CN"/>
              </w:rPr>
              <w:t>SS</w:t>
            </w:r>
            <w:r>
              <w:rPr>
                <w:rFonts w:hint="eastAsia"/>
                <w:lang w:val="en-US" w:eastAsia="zh-CN"/>
              </w:rPr>
              <w:t>、</w:t>
            </w:r>
            <w:r>
              <w:rPr>
                <w:lang w:val="en-US" w:eastAsia="zh-CN"/>
              </w:rPr>
              <w:t>氨氮</w:t>
            </w:r>
            <w:r>
              <w:rPr>
                <w:rFonts w:hint="eastAsia"/>
                <w:lang w:val="en-US" w:eastAsia="zh-CN"/>
              </w:rPr>
              <w:t>、动植物油</w:t>
            </w:r>
          </w:p>
        </w:tc>
        <w:tc>
          <w:tcPr>
            <w:tcW w:w="2158" w:type="dxa"/>
            <w:tcBorders>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eastAsia"/>
              </w:rPr>
            </w:pPr>
            <w:r>
              <w:rPr>
                <w:rFonts w:hint="eastAsia"/>
                <w:lang w:val="en-US" w:eastAsia="zh-CN"/>
              </w:rPr>
              <w:t>拉运至若羌县城乡污水处理厂集中处理。</w:t>
            </w:r>
          </w:p>
        </w:tc>
        <w:tc>
          <w:tcPr>
            <w:tcW w:w="2812" w:type="dxa"/>
            <w:tcBorders>
              <w:tl2br w:val="nil"/>
              <w:tr2bl w:val="nil"/>
            </w:tcBorders>
            <w:noWrap w:val="0"/>
            <w:vAlign w:val="center"/>
          </w:tcPr>
          <w:p>
            <w:pPr>
              <w:pStyle w:val="40"/>
              <w:keepNext w:val="0"/>
              <w:keepLines w:val="0"/>
              <w:pageBreakBefore w:val="0"/>
              <w:widowControl w:val="0"/>
              <w:kinsoku/>
              <w:wordWrap w:val="0"/>
              <w:overflowPunct/>
              <w:topLinePunct w:val="0"/>
              <w:autoSpaceDE/>
              <w:autoSpaceDN/>
              <w:bidi w:val="0"/>
              <w:adjustRightInd/>
              <w:snapToGrid/>
              <w:jc w:val="center"/>
              <w:textAlignment w:val="auto"/>
              <w:rPr>
                <w:rFonts w:hint="eastAsia"/>
              </w:rPr>
            </w:pPr>
            <w:r>
              <w:rPr>
                <w:rFonts w:hint="default"/>
              </w:rPr>
              <w:t>《污水综合排放标准》（GB8978-1996）三级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118" w:type="dxa"/>
            <w:tcBorders>
              <w:tl2br w:val="nil"/>
              <w:tr2bl w:val="nil"/>
            </w:tcBorders>
            <w:noWrap w:val="0"/>
            <w:vAlign w:val="center"/>
          </w:tcPr>
          <w:p>
            <w:pPr>
              <w:adjustRightInd w:val="0"/>
              <w:snapToGrid w:val="0"/>
              <w:jc w:val="center"/>
              <w:rPr>
                <w:rFonts w:hint="eastAsia" w:ascii="宋体" w:hAnsi="宋体" w:cs="宋体"/>
                <w:szCs w:val="21"/>
              </w:rPr>
            </w:pPr>
            <w:r>
              <w:rPr>
                <w:rFonts w:hint="eastAsia" w:ascii="宋体" w:hAnsi="宋体" w:cs="宋体"/>
                <w:szCs w:val="21"/>
              </w:rPr>
              <w:t>声环境</w:t>
            </w:r>
          </w:p>
        </w:tc>
        <w:tc>
          <w:tcPr>
            <w:tcW w:w="1223" w:type="dxa"/>
            <w:tcBorders>
              <w:tl2br w:val="nil"/>
              <w:tr2bl w:val="nil"/>
            </w:tcBorders>
            <w:noWrap w:val="0"/>
            <w:vAlign w:val="center"/>
          </w:tcPr>
          <w:p>
            <w:pPr>
              <w:pStyle w:val="40"/>
              <w:bidi w:val="0"/>
              <w:rPr>
                <w:rFonts w:hint="eastAsia"/>
              </w:rPr>
            </w:pPr>
            <w:r>
              <w:rPr>
                <w:rFonts w:hint="default"/>
              </w:rPr>
              <w:t>生产设备</w:t>
            </w:r>
          </w:p>
        </w:tc>
        <w:tc>
          <w:tcPr>
            <w:tcW w:w="1489" w:type="dxa"/>
            <w:tcBorders>
              <w:tl2br w:val="nil"/>
              <w:tr2bl w:val="nil"/>
            </w:tcBorders>
            <w:noWrap w:val="0"/>
            <w:vAlign w:val="center"/>
          </w:tcPr>
          <w:p>
            <w:pPr>
              <w:pStyle w:val="40"/>
              <w:bidi w:val="0"/>
              <w:rPr>
                <w:rFonts w:hint="eastAsia"/>
              </w:rPr>
            </w:pPr>
            <w:r>
              <w:rPr>
                <w:rFonts w:hint="default"/>
              </w:rPr>
              <w:t>生产设备运行噪声</w:t>
            </w:r>
          </w:p>
        </w:tc>
        <w:tc>
          <w:tcPr>
            <w:tcW w:w="2158" w:type="dxa"/>
            <w:tcBorders>
              <w:tl2br w:val="nil"/>
              <w:tr2bl w:val="nil"/>
            </w:tcBorders>
            <w:noWrap w:val="0"/>
            <w:vAlign w:val="center"/>
          </w:tcPr>
          <w:p>
            <w:pPr>
              <w:pStyle w:val="40"/>
              <w:bidi w:val="0"/>
              <w:rPr>
                <w:rFonts w:hint="eastAsia"/>
              </w:rPr>
            </w:pPr>
            <w:r>
              <w:rPr>
                <w:rFonts w:hint="default"/>
              </w:rPr>
              <w:t>采用低噪声源设备、并采取减振、隔声等措施</w:t>
            </w:r>
          </w:p>
        </w:tc>
        <w:tc>
          <w:tcPr>
            <w:tcW w:w="2812" w:type="dxa"/>
            <w:tcBorders>
              <w:tl2br w:val="nil"/>
              <w:tr2bl w:val="nil"/>
            </w:tcBorders>
            <w:noWrap w:val="0"/>
            <w:vAlign w:val="center"/>
          </w:tcPr>
          <w:p>
            <w:pPr>
              <w:pStyle w:val="40"/>
              <w:bidi w:val="0"/>
              <w:rPr>
                <w:rFonts w:hint="eastAsia"/>
              </w:rPr>
            </w:pPr>
            <w:r>
              <w:rPr>
                <w:rFonts w:hint="default"/>
              </w:rPr>
              <w:t>《工业企业厂界环境噪声排放标准》（GB12348-2008）</w:t>
            </w:r>
            <w:r>
              <w:rPr>
                <w:rFonts w:hint="eastAsia"/>
                <w:lang w:val="en-US" w:eastAsia="zh-CN"/>
              </w:rPr>
              <w:t>2</w:t>
            </w:r>
            <w:r>
              <w:rPr>
                <w:rFonts w:hint="default"/>
              </w:rPr>
              <w:t>类标准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1118" w:type="dxa"/>
            <w:tcBorders>
              <w:tl2br w:val="nil"/>
              <w:tr2bl w:val="nil"/>
            </w:tcBorders>
            <w:noWrap w:val="0"/>
            <w:vAlign w:val="center"/>
          </w:tcPr>
          <w:p>
            <w:pPr>
              <w:adjustRightInd w:val="0"/>
              <w:snapToGrid w:val="0"/>
              <w:jc w:val="center"/>
              <w:rPr>
                <w:rFonts w:hint="eastAsia" w:ascii="宋体" w:hAnsi="宋体" w:cs="宋体"/>
                <w:szCs w:val="21"/>
              </w:rPr>
            </w:pPr>
            <w:r>
              <w:rPr>
                <w:rFonts w:hint="eastAsia" w:ascii="宋体" w:hAnsi="宋体" w:cs="宋体"/>
                <w:szCs w:val="21"/>
              </w:rPr>
              <w:t>电磁辐射</w:t>
            </w:r>
          </w:p>
        </w:tc>
        <w:tc>
          <w:tcPr>
            <w:tcW w:w="7682" w:type="dxa"/>
            <w:gridSpan w:val="4"/>
            <w:tcBorders>
              <w:tl2br w:val="nil"/>
              <w:tr2bl w:val="nil"/>
            </w:tcBorders>
            <w:noWrap w:val="0"/>
            <w:vAlign w:val="center"/>
          </w:tcPr>
          <w:p>
            <w:pPr>
              <w:pStyle w:val="40"/>
              <w:bidi w:val="0"/>
              <w:rPr>
                <w:rFonts w:hint="eastAsia"/>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1118" w:type="dxa"/>
            <w:vMerge w:val="restart"/>
            <w:tcBorders>
              <w:tl2br w:val="nil"/>
              <w:tr2bl w:val="nil"/>
            </w:tcBorders>
            <w:noWrap w:val="0"/>
            <w:vAlign w:val="center"/>
          </w:tcPr>
          <w:p>
            <w:pPr>
              <w:adjustRightInd w:val="0"/>
              <w:snapToGrid w:val="0"/>
              <w:jc w:val="center"/>
              <w:rPr>
                <w:rFonts w:hint="eastAsia" w:ascii="宋体" w:hAnsi="宋体" w:cs="宋体"/>
                <w:szCs w:val="21"/>
              </w:rPr>
            </w:pPr>
            <w:r>
              <w:rPr>
                <w:rFonts w:hint="eastAsia" w:ascii="宋体" w:hAnsi="宋体" w:cs="宋体"/>
                <w:szCs w:val="21"/>
              </w:rPr>
              <w:t>固体废物</w:t>
            </w:r>
          </w:p>
        </w:tc>
        <w:tc>
          <w:tcPr>
            <w:tcW w:w="1223" w:type="dxa"/>
            <w:tcBorders>
              <w:tl2br w:val="nil"/>
              <w:tr2bl w:val="nil"/>
            </w:tcBorders>
            <w:noWrap w:val="0"/>
            <w:vAlign w:val="center"/>
          </w:tcPr>
          <w:p>
            <w:pPr>
              <w:pStyle w:val="40"/>
              <w:bidi w:val="0"/>
              <w:rPr>
                <w:rFonts w:hint="eastAsia"/>
              </w:rPr>
            </w:pPr>
            <w:r>
              <w:rPr>
                <w:rFonts w:hint="default"/>
                <w:lang w:val="en-US" w:eastAsia="zh-CN"/>
              </w:rPr>
              <w:t>一般固废</w:t>
            </w:r>
          </w:p>
        </w:tc>
        <w:tc>
          <w:tcPr>
            <w:tcW w:w="3647" w:type="dxa"/>
            <w:gridSpan w:val="2"/>
            <w:tcBorders>
              <w:tl2br w:val="nil"/>
              <w:tr2bl w:val="nil"/>
            </w:tcBorders>
            <w:noWrap w:val="0"/>
            <w:vAlign w:val="center"/>
          </w:tcPr>
          <w:p>
            <w:pPr>
              <w:pStyle w:val="40"/>
              <w:bidi w:val="0"/>
              <w:rPr>
                <w:rFonts w:hint="eastAsia"/>
              </w:rPr>
            </w:pPr>
            <w:r>
              <w:rPr>
                <w:rFonts w:hint="eastAsia"/>
              </w:rPr>
              <w:t>除尘</w:t>
            </w:r>
            <w:r>
              <w:rPr>
                <w:rFonts w:hint="eastAsia"/>
                <w:lang w:val="en-US" w:eastAsia="zh-CN"/>
              </w:rPr>
              <w:t>灰</w:t>
            </w:r>
            <w:r>
              <w:rPr>
                <w:rFonts w:hint="eastAsia"/>
              </w:rPr>
              <w:t>回用于生产，</w:t>
            </w:r>
            <w:r>
              <w:rPr>
                <w:rFonts w:hint="eastAsia"/>
                <w:lang w:val="en-US" w:eastAsia="zh-CN"/>
              </w:rPr>
              <w:t>废布袋定期由设备厂家进行回收处理</w:t>
            </w:r>
          </w:p>
        </w:tc>
        <w:tc>
          <w:tcPr>
            <w:tcW w:w="2812" w:type="dxa"/>
            <w:tcBorders>
              <w:tl2br w:val="nil"/>
              <w:tr2bl w:val="nil"/>
            </w:tcBorders>
            <w:noWrap w:val="0"/>
            <w:vAlign w:val="center"/>
          </w:tcPr>
          <w:p>
            <w:pPr>
              <w:pStyle w:val="40"/>
              <w:bidi w:val="0"/>
              <w:rPr>
                <w:rFonts w:hint="default"/>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1118" w:type="dxa"/>
            <w:vMerge w:val="continue"/>
            <w:tcBorders>
              <w:tl2br w:val="nil"/>
              <w:tr2bl w:val="nil"/>
            </w:tcBorders>
            <w:noWrap w:val="0"/>
            <w:vAlign w:val="center"/>
          </w:tcPr>
          <w:p>
            <w:pPr>
              <w:adjustRightInd w:val="0"/>
              <w:snapToGrid w:val="0"/>
              <w:jc w:val="center"/>
              <w:rPr>
                <w:rFonts w:hint="eastAsia" w:ascii="宋体" w:hAnsi="宋体" w:cs="宋体"/>
                <w:szCs w:val="21"/>
              </w:rPr>
            </w:pPr>
          </w:p>
        </w:tc>
        <w:tc>
          <w:tcPr>
            <w:tcW w:w="1223" w:type="dxa"/>
            <w:tcBorders>
              <w:tl2br w:val="nil"/>
              <w:tr2bl w:val="nil"/>
            </w:tcBorders>
            <w:noWrap w:val="0"/>
            <w:vAlign w:val="center"/>
          </w:tcPr>
          <w:p>
            <w:pPr>
              <w:pStyle w:val="40"/>
              <w:bidi w:val="0"/>
              <w:rPr>
                <w:rFonts w:hint="default"/>
                <w:lang w:val="en-US" w:eastAsia="zh-CN"/>
              </w:rPr>
            </w:pPr>
            <w:r>
              <w:rPr>
                <w:rFonts w:hint="eastAsia"/>
                <w:lang w:val="en-US" w:eastAsia="zh-CN"/>
              </w:rPr>
              <w:t>危险废物</w:t>
            </w:r>
          </w:p>
        </w:tc>
        <w:tc>
          <w:tcPr>
            <w:tcW w:w="3647" w:type="dxa"/>
            <w:gridSpan w:val="2"/>
            <w:tcBorders>
              <w:tl2br w:val="nil"/>
              <w:tr2bl w:val="nil"/>
            </w:tcBorders>
            <w:noWrap w:val="0"/>
            <w:vAlign w:val="center"/>
          </w:tcPr>
          <w:p>
            <w:pPr>
              <w:pStyle w:val="40"/>
              <w:bidi w:val="0"/>
              <w:rPr>
                <w:rFonts w:hint="eastAsia"/>
              </w:rPr>
            </w:pPr>
            <w:r>
              <w:rPr>
                <w:rFonts w:hint="eastAsia"/>
                <w:lang w:val="en-US" w:eastAsia="zh-CN"/>
              </w:rPr>
              <w:t>废润滑油、废润滑油桶暂存于危废贮存点，定期交由有资质单位进行无害化处置</w:t>
            </w:r>
          </w:p>
        </w:tc>
        <w:tc>
          <w:tcPr>
            <w:tcW w:w="2812" w:type="dxa"/>
            <w:tcBorders>
              <w:tl2br w:val="nil"/>
              <w:tr2bl w:val="nil"/>
            </w:tcBorders>
            <w:noWrap w:val="0"/>
            <w:vAlign w:val="center"/>
          </w:tcPr>
          <w:p>
            <w:pPr>
              <w:pStyle w:val="40"/>
              <w:bidi w:val="0"/>
              <w:rPr>
                <w:rFonts w:hint="eastAsia"/>
                <w:lang w:val="en-US" w:eastAsia="zh-CN"/>
              </w:rPr>
            </w:pPr>
            <w:r>
              <w:rPr>
                <w:rFonts w:hint="eastAsia"/>
                <w:lang w:val="en-US" w:eastAsia="zh-CN"/>
              </w:rPr>
              <w:t>《危险废物贮存污染控制标准》（GB18597—2023）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jc w:val="center"/>
        </w:trPr>
        <w:tc>
          <w:tcPr>
            <w:tcW w:w="1118" w:type="dxa"/>
            <w:vMerge w:val="continue"/>
            <w:tcBorders>
              <w:tl2br w:val="nil"/>
              <w:tr2bl w:val="nil"/>
            </w:tcBorders>
            <w:noWrap w:val="0"/>
            <w:vAlign w:val="center"/>
          </w:tcPr>
          <w:p>
            <w:pPr>
              <w:adjustRightInd w:val="0"/>
              <w:snapToGrid w:val="0"/>
              <w:jc w:val="center"/>
              <w:rPr>
                <w:rFonts w:hint="eastAsia" w:ascii="宋体" w:hAnsi="宋体" w:cs="宋体"/>
                <w:szCs w:val="21"/>
              </w:rPr>
            </w:pPr>
          </w:p>
        </w:tc>
        <w:tc>
          <w:tcPr>
            <w:tcW w:w="2712" w:type="dxa"/>
            <w:gridSpan w:val="2"/>
            <w:tcBorders>
              <w:tl2br w:val="nil"/>
              <w:tr2bl w:val="nil"/>
            </w:tcBorders>
            <w:noWrap w:val="0"/>
            <w:vAlign w:val="center"/>
          </w:tcPr>
          <w:p>
            <w:pPr>
              <w:pStyle w:val="40"/>
              <w:bidi w:val="0"/>
              <w:rPr>
                <w:rFonts w:hint="eastAsia"/>
              </w:rPr>
            </w:pPr>
            <w:r>
              <w:rPr>
                <w:rFonts w:hint="default"/>
                <w:lang w:val="en-US" w:eastAsia="zh-CN"/>
              </w:rPr>
              <w:t>生活垃圾</w:t>
            </w:r>
          </w:p>
        </w:tc>
        <w:tc>
          <w:tcPr>
            <w:tcW w:w="2158" w:type="dxa"/>
            <w:tcBorders>
              <w:tl2br w:val="nil"/>
              <w:tr2bl w:val="nil"/>
            </w:tcBorders>
            <w:noWrap w:val="0"/>
            <w:vAlign w:val="center"/>
          </w:tcPr>
          <w:p>
            <w:pPr>
              <w:pStyle w:val="40"/>
              <w:bidi w:val="0"/>
              <w:rPr>
                <w:rFonts w:hint="eastAsia"/>
              </w:rPr>
            </w:pPr>
            <w:r>
              <w:rPr>
                <w:rFonts w:hint="default"/>
                <w:lang w:val="en-US" w:eastAsia="zh-CN"/>
              </w:rPr>
              <w:t>交环卫部门定时清运处理</w:t>
            </w:r>
          </w:p>
        </w:tc>
        <w:tc>
          <w:tcPr>
            <w:tcW w:w="2812" w:type="dxa"/>
            <w:tcBorders>
              <w:tl2br w:val="nil"/>
              <w:tr2bl w:val="nil"/>
            </w:tcBorders>
            <w:noWrap w:val="0"/>
            <w:vAlign w:val="center"/>
          </w:tcPr>
          <w:p>
            <w:pPr>
              <w:pStyle w:val="40"/>
              <w:bidi w:val="0"/>
              <w:rPr>
                <w:rFonts w:hint="eastAsia"/>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58" w:hRule="atLeast"/>
          <w:jc w:val="center"/>
        </w:trPr>
        <w:tc>
          <w:tcPr>
            <w:tcW w:w="1118" w:type="dxa"/>
            <w:tcBorders>
              <w:tl2br w:val="nil"/>
              <w:tr2bl w:val="nil"/>
            </w:tcBorders>
            <w:noWrap w:val="0"/>
            <w:vAlign w:val="center"/>
          </w:tcPr>
          <w:p>
            <w:pPr>
              <w:adjustRightInd w:val="0"/>
              <w:snapToGrid w:val="0"/>
              <w:jc w:val="center"/>
              <w:rPr>
                <w:rFonts w:hint="eastAsia" w:ascii="宋体" w:hAnsi="宋体" w:cs="宋体"/>
                <w:szCs w:val="21"/>
              </w:rPr>
            </w:pPr>
            <w:r>
              <w:rPr>
                <w:rFonts w:hint="eastAsia" w:ascii="宋体" w:hAnsi="宋体" w:cs="宋体"/>
                <w:szCs w:val="21"/>
              </w:rPr>
              <w:t>土壤及地下水污染防治措施</w:t>
            </w:r>
          </w:p>
        </w:tc>
        <w:tc>
          <w:tcPr>
            <w:tcW w:w="7682" w:type="dxa"/>
            <w:gridSpan w:val="4"/>
            <w:tcBorders>
              <w:tl2br w:val="nil"/>
              <w:tr2bl w:val="nil"/>
            </w:tcBorders>
            <w:noWrap w:val="0"/>
            <w:vAlign w:val="center"/>
          </w:tcPr>
          <w:p>
            <w:pPr>
              <w:pStyle w:val="8"/>
              <w:bidi w:val="0"/>
              <w:rPr>
                <w:rFonts w:hint="eastAsia"/>
              </w:rPr>
            </w:pPr>
            <w:r>
              <w:rPr>
                <w:rFonts w:hint="eastAsia"/>
                <w:lang w:val="en-US" w:eastAsia="zh-CN"/>
              </w:rPr>
              <w:t>划分重点防渗区、一般防渗区、简单防渗区，防渗区则应按照不同分区要求，采取不同等级的防渗措施，并确保其可靠性和有效性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9" w:hRule="atLeast"/>
          <w:jc w:val="center"/>
        </w:trPr>
        <w:tc>
          <w:tcPr>
            <w:tcW w:w="1118" w:type="dxa"/>
            <w:tcBorders>
              <w:tl2br w:val="nil"/>
              <w:tr2bl w:val="nil"/>
            </w:tcBorders>
            <w:noWrap w:val="0"/>
            <w:vAlign w:val="center"/>
          </w:tcPr>
          <w:p>
            <w:pPr>
              <w:adjustRightInd w:val="0"/>
              <w:snapToGrid w:val="0"/>
              <w:jc w:val="center"/>
              <w:rPr>
                <w:rFonts w:hint="eastAsia" w:ascii="宋体" w:hAnsi="宋体" w:cs="宋体"/>
                <w:szCs w:val="21"/>
              </w:rPr>
            </w:pPr>
            <w:r>
              <w:rPr>
                <w:rFonts w:hint="eastAsia" w:ascii="宋体" w:hAnsi="宋体" w:cs="宋体"/>
                <w:szCs w:val="21"/>
              </w:rPr>
              <w:t>生态保护措施</w:t>
            </w:r>
          </w:p>
        </w:tc>
        <w:tc>
          <w:tcPr>
            <w:tcW w:w="7682" w:type="dxa"/>
            <w:gridSpan w:val="4"/>
            <w:tcBorders>
              <w:tl2br w:val="nil"/>
              <w:tr2bl w:val="nil"/>
            </w:tcBorders>
            <w:noWrap w:val="0"/>
            <w:vAlign w:val="center"/>
          </w:tcPr>
          <w:p>
            <w:pPr>
              <w:pStyle w:val="8"/>
              <w:bidi w:val="0"/>
              <w:jc w:val="center"/>
              <w:rPr>
                <w:rFonts w:hint="eastAsia"/>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6" w:hRule="atLeast"/>
          <w:jc w:val="center"/>
        </w:trPr>
        <w:tc>
          <w:tcPr>
            <w:tcW w:w="1118" w:type="dxa"/>
            <w:tcBorders>
              <w:tl2br w:val="nil"/>
              <w:tr2bl w:val="nil"/>
            </w:tcBorders>
            <w:noWrap w:val="0"/>
            <w:vAlign w:val="center"/>
          </w:tcPr>
          <w:p>
            <w:pPr>
              <w:adjustRightInd w:val="0"/>
              <w:snapToGrid w:val="0"/>
              <w:jc w:val="center"/>
              <w:rPr>
                <w:rFonts w:hint="eastAsia" w:ascii="宋体" w:hAnsi="宋体" w:cs="宋体"/>
                <w:spacing w:val="-8"/>
                <w:szCs w:val="21"/>
              </w:rPr>
            </w:pPr>
            <w:r>
              <w:rPr>
                <w:rFonts w:hint="eastAsia" w:ascii="宋体" w:hAnsi="宋体" w:cs="宋体"/>
                <w:spacing w:val="-8"/>
                <w:szCs w:val="21"/>
              </w:rPr>
              <w:t>环境风险防范措施</w:t>
            </w:r>
          </w:p>
        </w:tc>
        <w:tc>
          <w:tcPr>
            <w:tcW w:w="7682" w:type="dxa"/>
            <w:gridSpan w:val="4"/>
            <w:tcBorders>
              <w:tl2br w:val="nil"/>
              <w:tr2bl w:val="nil"/>
            </w:tcBorders>
            <w:noWrap w:val="0"/>
            <w:vAlign w:val="center"/>
          </w:tcPr>
          <w:p>
            <w:pPr>
              <w:pStyle w:val="8"/>
              <w:bidi w:val="0"/>
              <w:rPr>
                <w:rFonts w:hint="eastAsia"/>
              </w:rPr>
            </w:pPr>
            <w:r>
              <w:rPr>
                <w:rFonts w:hint="eastAsia"/>
              </w:rPr>
              <w:t>为减少项目事故对周边环境的影响，本次评价建议单位做好如下防范措施：</w:t>
            </w:r>
          </w:p>
          <w:p>
            <w:pPr>
              <w:pStyle w:val="8"/>
              <w:bidi w:val="0"/>
              <w:rPr>
                <w:rFonts w:hint="eastAsia"/>
              </w:rPr>
            </w:pPr>
            <w:r>
              <w:rPr>
                <w:rFonts w:hint="eastAsia"/>
              </w:rPr>
              <w:t>（1）成立专门的责任机构，保证事故发生时组织相关力量及时控制事故的危害，在第一时间，有序有效地控制事故污染，把事故危害减小到</w:t>
            </w:r>
            <w:r>
              <w:rPr>
                <w:rFonts w:hint="eastAsia"/>
                <w:lang w:eastAsia="zh-CN"/>
              </w:rPr>
              <w:t>最小</w:t>
            </w:r>
            <w:r>
              <w:rPr>
                <w:rFonts w:hint="eastAsia"/>
              </w:rPr>
              <w:t>。</w:t>
            </w:r>
          </w:p>
          <w:p>
            <w:pPr>
              <w:pStyle w:val="8"/>
              <w:bidi w:val="0"/>
              <w:rPr>
                <w:rFonts w:hint="eastAsia"/>
              </w:rPr>
            </w:pPr>
            <w:r>
              <w:rPr>
                <w:rFonts w:hint="eastAsia"/>
              </w:rPr>
              <w:t>（2）健全各项制度，强化安全管理意识，加强用电设备及线路的检修和管理。</w:t>
            </w:r>
          </w:p>
          <w:p>
            <w:pPr>
              <w:pStyle w:val="8"/>
              <w:bidi w:val="0"/>
              <w:rPr>
                <w:rFonts w:hint="eastAsia"/>
              </w:rPr>
            </w:pPr>
            <w:r>
              <w:rPr>
                <w:rFonts w:hint="eastAsia"/>
              </w:rPr>
              <w:t>（3）严格按照消防安全部门要求，配置消防设施。</w:t>
            </w:r>
          </w:p>
          <w:p>
            <w:pPr>
              <w:pStyle w:val="8"/>
              <w:bidi w:val="0"/>
              <w:rPr>
                <w:rFonts w:hint="eastAsia"/>
              </w:rPr>
            </w:pPr>
            <w:r>
              <w:rPr>
                <w:rFonts w:hint="eastAsia"/>
              </w:rPr>
              <w:t>（4）油类物质等易燃易爆物品存储远离火源。</w:t>
            </w:r>
          </w:p>
          <w:p>
            <w:pPr>
              <w:pStyle w:val="8"/>
              <w:bidi w:val="0"/>
              <w:rPr>
                <w:rFonts w:hint="eastAsia"/>
              </w:rPr>
            </w:pPr>
            <w:r>
              <w:rPr>
                <w:rFonts w:hint="eastAsia"/>
              </w:rPr>
              <w:t>（5）制定环保设备运行维护制度，并派专人进行管理，定期对环保设备进行点检维护。</w:t>
            </w:r>
          </w:p>
          <w:p>
            <w:pPr>
              <w:pStyle w:val="8"/>
              <w:bidi w:val="0"/>
              <w:rPr>
                <w:rFonts w:hint="eastAsia"/>
              </w:rPr>
            </w:pPr>
            <w:r>
              <w:rPr>
                <w:rFonts w:hint="eastAsia"/>
              </w:rPr>
              <w:t>（6）定期对风机的运行情况进行检查记录，一旦发现运行异常，立即对相应的生产设备进行停产，并对风机设备进行维修。</w:t>
            </w:r>
          </w:p>
          <w:p>
            <w:pPr>
              <w:pStyle w:val="8"/>
              <w:bidi w:val="0"/>
              <w:rPr>
                <w:rFonts w:hint="eastAsia"/>
              </w:rPr>
            </w:pPr>
            <w:r>
              <w:rPr>
                <w:rFonts w:hint="eastAsia"/>
              </w:rPr>
              <w:t>（7）对布袋除尘器装置进行定期检查，确保废气处理效率，若发现破损、损坏或堵塞严重，应立即进行更换，确保其处理效率。</w:t>
            </w:r>
          </w:p>
          <w:p>
            <w:pPr>
              <w:pStyle w:val="8"/>
              <w:bidi w:val="0"/>
              <w:rPr>
                <w:rFonts w:hint="eastAsia"/>
              </w:rPr>
            </w:pPr>
            <w:r>
              <w:rPr>
                <w:rFonts w:hint="eastAsia"/>
              </w:rPr>
              <w:t>采取以上措施后，可有效降低事故发生的概率。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2" w:hRule="atLeast"/>
          <w:jc w:val="center"/>
        </w:trPr>
        <w:tc>
          <w:tcPr>
            <w:tcW w:w="1118" w:type="dxa"/>
            <w:tcBorders>
              <w:tl2br w:val="nil"/>
              <w:tr2bl w:val="nil"/>
            </w:tcBorders>
            <w:noWrap w:val="0"/>
            <w:vAlign w:val="center"/>
          </w:tcPr>
          <w:p>
            <w:pPr>
              <w:adjustRightInd w:val="0"/>
              <w:snapToGrid w:val="0"/>
              <w:jc w:val="center"/>
              <w:rPr>
                <w:rFonts w:hint="eastAsia" w:ascii="宋体" w:hAnsi="宋体" w:cs="宋体"/>
                <w:spacing w:val="-8"/>
                <w:szCs w:val="21"/>
              </w:rPr>
            </w:pPr>
            <w:r>
              <w:rPr>
                <w:rFonts w:hint="eastAsia" w:ascii="宋体" w:hAnsi="宋体" w:cs="宋体"/>
                <w:spacing w:val="-8"/>
                <w:szCs w:val="21"/>
              </w:rPr>
              <w:t>其他环境管理要求</w:t>
            </w:r>
          </w:p>
        </w:tc>
        <w:tc>
          <w:tcPr>
            <w:tcW w:w="7682" w:type="dxa"/>
            <w:gridSpan w:val="4"/>
            <w:tcBorders>
              <w:tl2br w:val="nil"/>
              <w:tr2bl w:val="nil"/>
            </w:tcBorders>
            <w:noWrap w:val="0"/>
            <w:vAlign w:val="center"/>
          </w:tcPr>
          <w:p>
            <w:pPr>
              <w:pStyle w:val="2"/>
              <w:bidi w:val="0"/>
              <w:rPr>
                <w:rFonts w:hint="eastAsia"/>
              </w:rPr>
            </w:pPr>
            <w:r>
              <w:rPr>
                <w:rFonts w:hint="eastAsia"/>
              </w:rPr>
              <w:t>1</w:t>
            </w:r>
            <w:r>
              <w:rPr>
                <w:rFonts w:hint="eastAsia"/>
                <w:lang w:val="en-US" w:eastAsia="zh-CN"/>
              </w:rPr>
              <w:t>.</w:t>
            </w:r>
            <w:r>
              <w:rPr>
                <w:rFonts w:hint="eastAsia"/>
              </w:rPr>
              <w:t>管理制度</w:t>
            </w:r>
          </w:p>
          <w:p>
            <w:pPr>
              <w:pStyle w:val="8"/>
              <w:bidi w:val="0"/>
              <w:rPr>
                <w:rFonts w:hint="eastAsia"/>
              </w:rPr>
            </w:pPr>
            <w:r>
              <w:rPr>
                <w:rFonts w:hint="eastAsia"/>
              </w:rPr>
              <w:t>为了缓解建设项目生产运行期对环境构成的不良影响，在采取</w:t>
            </w:r>
            <w:r>
              <w:rPr>
                <w:rFonts w:hint="eastAsia"/>
                <w:lang w:eastAsia="zh-CN"/>
              </w:rPr>
              <w:t>环境治理</w:t>
            </w:r>
            <w:r>
              <w:rPr>
                <w:rFonts w:hint="eastAsia"/>
              </w:rPr>
              <w:t>工程措施解决建设项目环境影响的同时，必须制定全面的企业环境管理计划，配备专职环保人员1-2名，负责环境监督管理工作，同时要加强对管理人员的环保培训，不断提高管理水平</w:t>
            </w:r>
            <w:r>
              <w:rPr>
                <w:rFonts w:hint="eastAsia"/>
                <w:lang w:eastAsia="zh-CN"/>
              </w:rPr>
              <w:t>。</w:t>
            </w:r>
            <w:r>
              <w:rPr>
                <w:rFonts w:hint="eastAsia"/>
              </w:rPr>
              <w:t>企业排污发生重大变化、污染治理设施改变或生产运行计划改变等都必须向当地</w:t>
            </w:r>
            <w:r>
              <w:rPr>
                <w:rFonts w:hint="eastAsia"/>
                <w:lang w:val="en-US" w:eastAsia="zh-CN"/>
              </w:rPr>
              <w:t>生态环境主管部门</w:t>
            </w:r>
            <w:r>
              <w:rPr>
                <w:rFonts w:hint="eastAsia"/>
              </w:rPr>
              <w:t>申报，经审批同意后方可实施。对污染治理设施和管理必须与生产经营活动一起纳入企业的日常管理中，要建立岗位责任制，制定操作规程，建立</w:t>
            </w:r>
            <w:r>
              <w:rPr>
                <w:rFonts w:hint="eastAsia"/>
                <w:lang w:eastAsia="zh-CN"/>
              </w:rPr>
              <w:t>管理台账</w:t>
            </w:r>
            <w:r>
              <w:rPr>
                <w:rFonts w:hint="eastAsia"/>
              </w:rPr>
              <w:t>。</w:t>
            </w:r>
          </w:p>
          <w:p>
            <w:pPr>
              <w:pStyle w:val="2"/>
              <w:bidi w:val="0"/>
              <w:rPr>
                <w:rFonts w:hint="eastAsia"/>
              </w:rPr>
            </w:pPr>
            <w:r>
              <w:rPr>
                <w:rFonts w:hint="eastAsia"/>
                <w:lang w:val="en-US" w:eastAsia="zh-CN"/>
              </w:rPr>
              <w:t>2.</w:t>
            </w:r>
            <w:r>
              <w:rPr>
                <w:rFonts w:hint="eastAsia"/>
              </w:rPr>
              <w:t>排放口信息化、规范化</w:t>
            </w:r>
          </w:p>
          <w:p>
            <w:pPr>
              <w:pStyle w:val="8"/>
              <w:bidi w:val="0"/>
              <w:rPr>
                <w:rFonts w:hint="eastAsia"/>
              </w:rPr>
            </w:pPr>
            <w:r>
              <w:rPr>
                <w:rFonts w:hint="eastAsia"/>
              </w:rPr>
              <w:t>建设项目排气筒采样平台、采样口等内容须按照《排污单位污染物排放口监测点位设置技术规范》（HJ1405-2024）要求设置。</w:t>
            </w:r>
          </w:p>
          <w:p>
            <w:pPr>
              <w:pStyle w:val="8"/>
              <w:bidi w:val="0"/>
              <w:ind w:left="0" w:leftChars="0" w:firstLine="0" w:firstLineChars="0"/>
              <w:rPr>
                <w:rFonts w:hint="eastAsia" w:ascii="Times New Roman" w:hAnsi="Times New Roman" w:eastAsia="宋体" w:cs="Times New Roman"/>
                <w:b/>
                <w:bCs/>
                <w:color w:val="000000"/>
                <w:kern w:val="44"/>
                <w:sz w:val="24"/>
                <w:szCs w:val="30"/>
                <w:lang w:val="en-US" w:eastAsia="zh-CN" w:bidi="ar-SA"/>
              </w:rPr>
            </w:pPr>
            <w:r>
              <w:rPr>
                <w:rFonts w:hint="eastAsia" w:ascii="Times New Roman" w:hAnsi="Times New Roman" w:eastAsia="宋体" w:cs="Times New Roman"/>
                <w:b/>
                <w:bCs/>
                <w:color w:val="000000"/>
                <w:kern w:val="44"/>
                <w:sz w:val="24"/>
                <w:szCs w:val="30"/>
                <w:lang w:val="en-US" w:eastAsia="zh-CN" w:bidi="ar-SA"/>
              </w:rPr>
              <w:t>3.排污申报</w:t>
            </w:r>
          </w:p>
          <w:p>
            <w:pPr>
              <w:pStyle w:val="8"/>
              <w:bidi w:val="0"/>
              <w:rPr>
                <w:rFonts w:hint="default"/>
                <w:lang w:val="en-US" w:eastAsia="zh-CN"/>
              </w:rPr>
            </w:pPr>
            <w:r>
              <w:rPr>
                <w:rFonts w:hint="eastAsia"/>
                <w:lang w:val="en-US" w:eastAsia="zh-CN"/>
              </w:rPr>
              <w:t>对照《固定污染源排污许可分类管理名录（2019年版）》，本项目属于“二十五、非金属矿物制品业-63石膏、水泥制品及类似制品制造-水泥制品制造3021”，实施登记管理，应当在全国排污许可证管理信息平台填报排污登记表，登记基本信息、污染物排放去向、执行的污染物排放标准以及采取的污染防治措施等信息。</w:t>
            </w:r>
          </w:p>
          <w:p>
            <w:pPr>
              <w:pStyle w:val="2"/>
              <w:bidi w:val="0"/>
              <w:rPr>
                <w:rFonts w:hint="eastAsia"/>
              </w:rPr>
            </w:pPr>
            <w:r>
              <w:rPr>
                <w:rFonts w:hint="eastAsia"/>
                <w:lang w:val="en-US" w:eastAsia="zh-CN"/>
              </w:rPr>
              <w:t>4.环境管理台账</w:t>
            </w:r>
          </w:p>
          <w:p>
            <w:pPr>
              <w:pStyle w:val="8"/>
              <w:bidi w:val="0"/>
              <w:rPr>
                <w:rFonts w:hint="eastAsia"/>
              </w:rPr>
            </w:pPr>
            <w:r>
              <w:rPr>
                <w:rFonts w:hint="eastAsia"/>
                <w:lang w:val="en-US" w:eastAsia="zh-CN"/>
              </w:rPr>
              <w:t>企业应按照行业排污许可管理要求制定管理台账，落实环境管理台账记录的责任部门和责任人，明确工作职责，包括台账的记录、整理、维护和管理等，并对台账记录结果的真实性、完整性和规范性负责，台账保存期限不得少于5年。</w:t>
            </w:r>
          </w:p>
          <w:p>
            <w:pPr>
              <w:pStyle w:val="2"/>
              <w:bidi w:val="0"/>
              <w:rPr>
                <w:rFonts w:hint="eastAsia"/>
                <w:lang w:val="en-US" w:eastAsia="zh-CN"/>
              </w:rPr>
            </w:pPr>
            <w:r>
              <w:rPr>
                <w:rFonts w:hint="eastAsia"/>
                <w:lang w:val="en-US" w:eastAsia="zh-CN"/>
              </w:rPr>
              <w:t>5.环保信息公开</w:t>
            </w:r>
          </w:p>
          <w:p>
            <w:pPr>
              <w:pStyle w:val="8"/>
              <w:bidi w:val="0"/>
              <w:rPr>
                <w:rFonts w:hint="eastAsia"/>
              </w:rPr>
            </w:pPr>
            <w:r>
              <w:rPr>
                <w:rFonts w:hint="eastAsia"/>
              </w:rPr>
              <w:t>要求根据《企业事业单位环境信息公开办法》</w:t>
            </w:r>
            <w:r>
              <w:rPr>
                <w:rFonts w:hint="eastAsia"/>
                <w:lang w:eastAsia="zh-CN"/>
              </w:rPr>
              <w:t>（</w:t>
            </w:r>
            <w:r>
              <w:rPr>
                <w:rFonts w:hint="eastAsia"/>
              </w:rPr>
              <w:t>环境保护部令第31号</w:t>
            </w:r>
            <w:r>
              <w:rPr>
                <w:rFonts w:hint="eastAsia"/>
                <w:lang w:eastAsia="zh-CN"/>
              </w:rPr>
              <w:t>）</w:t>
            </w:r>
            <w:r>
              <w:rPr>
                <w:rFonts w:hint="eastAsia"/>
              </w:rPr>
              <w:t>，企业事业单位应当按照强制公开和自愿公开相结合的原则，及时、如实地公开其环境信息。企业事业单位应当建立健全本单位环境信息公开制度，指定机构负责本单位环境信息公开日常工作，排污单位应当公开以下信息：</w:t>
            </w:r>
          </w:p>
          <w:p>
            <w:pPr>
              <w:pStyle w:val="8"/>
              <w:bidi w:val="0"/>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基础信息，包括单位名称、组织机构代码、法定代表人、生产地址、联系方式以及生产经营和管理服务的主要内容、产品及规模</w:t>
            </w:r>
            <w:r>
              <w:rPr>
                <w:rFonts w:hint="eastAsia"/>
                <w:lang w:eastAsia="zh-CN"/>
              </w:rPr>
              <w:t>。</w:t>
            </w:r>
          </w:p>
          <w:p>
            <w:pPr>
              <w:pStyle w:val="8"/>
              <w:bidi w:val="0"/>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排污信息，包括主要污染物及其他污染物的名称、排放方式、排放口数量和分布情况、排放浓度和总量、超标情况以及执行的污染物排放标准、核定的排放总量</w:t>
            </w:r>
            <w:r>
              <w:rPr>
                <w:rFonts w:hint="eastAsia"/>
                <w:lang w:eastAsia="zh-CN"/>
              </w:rPr>
              <w:t>。</w:t>
            </w:r>
          </w:p>
          <w:p>
            <w:pPr>
              <w:pStyle w:val="8"/>
              <w:bidi w:val="0"/>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防治污染设施的建设和运行情况</w:t>
            </w:r>
            <w:r>
              <w:rPr>
                <w:rFonts w:hint="eastAsia"/>
                <w:lang w:eastAsia="zh-CN"/>
              </w:rPr>
              <w:t>。</w:t>
            </w:r>
          </w:p>
          <w:p>
            <w:pPr>
              <w:pStyle w:val="8"/>
              <w:bidi w:val="0"/>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建设项目环境影响评价及其他环境保护行政许可情况</w:t>
            </w:r>
            <w:r>
              <w:rPr>
                <w:rFonts w:hint="eastAsia"/>
                <w:lang w:eastAsia="zh-CN"/>
              </w:rPr>
              <w:t>。</w:t>
            </w:r>
          </w:p>
          <w:p>
            <w:pPr>
              <w:pStyle w:val="8"/>
              <w:bidi w:val="0"/>
              <w:rPr>
                <w:rFonts w:hint="eastAsia"/>
                <w:lang w:eastAsia="zh-CN"/>
              </w:rPr>
            </w:pPr>
            <w:r>
              <w:rPr>
                <w:rFonts w:hint="eastAsia"/>
                <w:lang w:eastAsia="zh-CN"/>
              </w:rPr>
              <w:t>（</w:t>
            </w:r>
            <w:r>
              <w:rPr>
                <w:rFonts w:hint="eastAsia"/>
                <w:lang w:val="en-US" w:eastAsia="zh-CN"/>
              </w:rPr>
              <w:t>5</w:t>
            </w:r>
            <w:r>
              <w:rPr>
                <w:rFonts w:hint="eastAsia"/>
                <w:lang w:eastAsia="zh-CN"/>
              </w:rPr>
              <w:t>）</w:t>
            </w:r>
            <w:r>
              <w:rPr>
                <w:rFonts w:hint="eastAsia"/>
              </w:rPr>
              <w:t>其他应当公开的环境信息</w:t>
            </w:r>
            <w:r>
              <w:rPr>
                <w:rFonts w:hint="eastAsia"/>
                <w:lang w:eastAsia="zh-CN"/>
              </w:rPr>
              <w:t>。</w:t>
            </w:r>
          </w:p>
          <w:p>
            <w:pPr>
              <w:pStyle w:val="2"/>
              <w:bidi w:val="0"/>
              <w:rPr>
                <w:rFonts w:hint="eastAsia"/>
              </w:rPr>
            </w:pPr>
            <w:r>
              <w:rPr>
                <w:rFonts w:hint="eastAsia"/>
                <w:lang w:val="en-US" w:eastAsia="zh-CN"/>
              </w:rPr>
              <w:t>6.竣工环境保护验收要求</w:t>
            </w:r>
          </w:p>
          <w:p>
            <w:pPr>
              <w:pStyle w:val="8"/>
              <w:bidi w:val="0"/>
              <w:rPr>
                <w:rFonts w:hint="eastAsia"/>
                <w:lang w:val="en-US" w:eastAsia="zh-CN"/>
              </w:rPr>
            </w:pPr>
            <w:r>
              <w:rPr>
                <w:rFonts w:hint="eastAsia"/>
                <w:lang w:val="en-US" w:eastAsia="zh-CN"/>
              </w:rPr>
              <w:t>根据《建设项目竣工环境保护验收暂行办法》，本项目竣工后，建设单位应及时组织竣工环境保护验收，经验收合格后，本项目方可投入正式运行。</w:t>
            </w:r>
          </w:p>
          <w:p>
            <w:pPr>
              <w:pStyle w:val="8"/>
              <w:bidi w:val="0"/>
              <w:rPr>
                <w:rFonts w:hint="eastAsia"/>
                <w:lang w:val="en-US" w:eastAsia="zh-CN"/>
              </w:rPr>
            </w:pPr>
          </w:p>
          <w:p>
            <w:pPr>
              <w:pStyle w:val="8"/>
              <w:bidi w:val="0"/>
              <w:rPr>
                <w:rFonts w:hint="eastAsia"/>
                <w:lang w:val="en-US" w:eastAsia="zh-CN"/>
              </w:rPr>
            </w:pPr>
          </w:p>
          <w:p>
            <w:pPr>
              <w:pStyle w:val="8"/>
              <w:bidi w:val="0"/>
              <w:rPr>
                <w:rFonts w:hint="eastAsia"/>
                <w:lang w:val="en-US" w:eastAsia="zh-CN"/>
              </w:rPr>
            </w:pPr>
          </w:p>
          <w:p>
            <w:pPr>
              <w:pStyle w:val="8"/>
              <w:bidi w:val="0"/>
              <w:rPr>
                <w:rFonts w:hint="eastAsia"/>
                <w:lang w:val="en-US" w:eastAsia="zh-CN"/>
              </w:rPr>
            </w:pPr>
          </w:p>
          <w:p>
            <w:pPr>
              <w:pStyle w:val="8"/>
              <w:bidi w:val="0"/>
              <w:rPr>
                <w:rFonts w:hint="eastAsia"/>
                <w:lang w:val="en-US" w:eastAsia="zh-CN"/>
              </w:rPr>
            </w:pPr>
          </w:p>
          <w:p>
            <w:pPr>
              <w:pStyle w:val="8"/>
              <w:bidi w:val="0"/>
              <w:rPr>
                <w:rFonts w:hint="eastAsia"/>
                <w:lang w:val="en-US" w:eastAsia="zh-CN"/>
              </w:rPr>
            </w:pPr>
          </w:p>
          <w:p>
            <w:pPr>
              <w:pStyle w:val="8"/>
              <w:bidi w:val="0"/>
              <w:rPr>
                <w:rFonts w:hint="eastAsia"/>
                <w:lang w:val="en-US" w:eastAsia="zh-CN"/>
              </w:rPr>
            </w:pPr>
          </w:p>
          <w:p>
            <w:pPr>
              <w:pStyle w:val="8"/>
              <w:bidi w:val="0"/>
              <w:rPr>
                <w:rFonts w:hint="eastAsia"/>
                <w:lang w:val="en-US" w:eastAsia="zh-CN"/>
              </w:rPr>
            </w:pPr>
          </w:p>
          <w:p>
            <w:pPr>
              <w:pStyle w:val="8"/>
              <w:bidi w:val="0"/>
              <w:rPr>
                <w:rFonts w:hint="eastAsia"/>
                <w:lang w:val="en-US" w:eastAsia="zh-CN"/>
              </w:rPr>
            </w:pPr>
          </w:p>
          <w:p>
            <w:pPr>
              <w:pStyle w:val="8"/>
              <w:bidi w:val="0"/>
              <w:rPr>
                <w:rFonts w:hint="eastAsia"/>
                <w:lang w:val="en-US" w:eastAsia="zh-CN"/>
              </w:rPr>
            </w:pPr>
          </w:p>
          <w:p>
            <w:pPr>
              <w:pStyle w:val="8"/>
              <w:bidi w:val="0"/>
              <w:rPr>
                <w:rFonts w:hint="eastAsia"/>
                <w:lang w:val="en-US" w:eastAsia="zh-CN"/>
              </w:rPr>
            </w:pPr>
          </w:p>
          <w:p>
            <w:pPr>
              <w:pStyle w:val="8"/>
              <w:bidi w:val="0"/>
              <w:rPr>
                <w:rFonts w:hint="eastAsia"/>
                <w:lang w:val="en-US" w:eastAsia="zh-CN"/>
              </w:rPr>
            </w:pPr>
          </w:p>
        </w:tc>
      </w:tr>
    </w:tbl>
    <w:p>
      <w:pPr>
        <w:pStyle w:val="18"/>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pStyle w:val="8"/>
              <w:bidi w:val="0"/>
              <w:jc w:val="both"/>
            </w:pPr>
            <w:r>
              <w:rPr>
                <w:rFonts w:hint="eastAsia"/>
              </w:rPr>
              <w:t>根据上述分析，本项目建成后对周围环境造成废水、废气、噪声污染较小，建设单位若能在建成后切实落实本环评提出的各项环境污染防治措施，落实</w:t>
            </w:r>
            <w:r>
              <w:rPr>
                <w:rFonts w:hint="eastAsia"/>
                <w:lang w:eastAsia="zh-CN"/>
              </w:rPr>
              <w:t>“</w:t>
            </w:r>
            <w:r>
              <w:rPr>
                <w:rFonts w:hint="eastAsia"/>
              </w:rPr>
              <w:t>三同时</w:t>
            </w:r>
            <w:r>
              <w:rPr>
                <w:rFonts w:hint="eastAsia"/>
                <w:lang w:eastAsia="zh-CN"/>
              </w:rPr>
              <w:t>”</w:t>
            </w:r>
            <w:r>
              <w:rPr>
                <w:rFonts w:hint="eastAsia"/>
              </w:rPr>
              <w:t>制度，加强环境管理，确保污染物达标排放，则本项目建成投入使用后，对环境的影响是可以接受的。建设单位须严格遵守环保</w:t>
            </w:r>
            <w:r>
              <w:rPr>
                <w:rFonts w:hint="eastAsia"/>
                <w:lang w:eastAsia="zh-CN"/>
              </w:rPr>
              <w:t>“</w:t>
            </w:r>
            <w:r>
              <w:rPr>
                <w:rFonts w:hint="eastAsia"/>
              </w:rPr>
              <w:t>三同时</w:t>
            </w:r>
            <w:r>
              <w:rPr>
                <w:rFonts w:hint="eastAsia"/>
                <w:lang w:eastAsia="zh-CN"/>
              </w:rPr>
              <w:t>”</w:t>
            </w:r>
            <w:r>
              <w:rPr>
                <w:rFonts w:hint="eastAsia"/>
              </w:rPr>
              <w:t>制度，各项治理措施需自主验收合格后方可正式投入使用，在此前提下，本项目是可行的。</w:t>
            </w:r>
          </w:p>
        </w:tc>
      </w:tr>
    </w:tbl>
    <w:p>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8"/>
        <w:adjustRightInd w:val="0"/>
        <w:snapToGrid w:val="0"/>
        <w:spacing w:before="0" w:beforeAutospacing="0" w:after="0" w:afterAutospacing="0" w:line="648"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18"/>
        <w:adjustRightInd w:val="0"/>
        <w:snapToGrid w:val="0"/>
        <w:spacing w:before="0" w:beforeAutospacing="0" w:after="0" w:afterAutospacing="0" w:line="552" w:lineRule="auto"/>
        <w:jc w:val="center"/>
        <w:outlineLvl w:val="0"/>
        <w:rPr>
          <w:rFonts w:hint="eastAsia" w:ascii="方正小标宋_GBK" w:hAnsi="黑体" w:eastAsia="方正小标宋_GBK"/>
          <w:snapToGrid w:val="0"/>
          <w:sz w:val="38"/>
          <w:szCs w:val="38"/>
          <w:highlight w:val="none"/>
        </w:rPr>
      </w:pPr>
      <w:r>
        <w:rPr>
          <w:rFonts w:hint="eastAsia" w:ascii="方正小标宋_GBK" w:hAnsi="黑体" w:eastAsia="方正小标宋_GBK"/>
          <w:snapToGrid w:val="0"/>
          <w:sz w:val="38"/>
          <w:szCs w:val="38"/>
          <w:highlight w:val="none"/>
        </w:rPr>
        <w:t>建设项目污染物排放量汇总表</w:t>
      </w:r>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811"/>
        <w:gridCol w:w="1701"/>
        <w:gridCol w:w="1117"/>
        <w:gridCol w:w="1600"/>
        <w:gridCol w:w="1487"/>
        <w:gridCol w:w="1825"/>
        <w:gridCol w:w="1850"/>
        <w:gridCol w:w="1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94" w:type="dxa"/>
            <w:tcBorders>
              <w:tl2br w:val="single" w:color="auto" w:sz="4" w:space="0"/>
            </w:tcBorders>
            <w:noWrap w:val="0"/>
            <w:tcMar>
              <w:left w:w="28" w:type="dxa"/>
              <w:right w:w="28" w:type="dxa"/>
            </w:tcMar>
            <w:vAlign w:val="center"/>
          </w:tcPr>
          <w:p>
            <w:pPr>
              <w:spacing w:beforeLines="0" w:afterLines="0" w:line="240" w:lineRule="auto"/>
              <w:jc w:val="righ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项目</w:t>
            </w:r>
          </w:p>
          <w:p>
            <w:pPr>
              <w:spacing w:beforeLines="0" w:afterLines="0" w:line="240" w:lineRule="auto"/>
              <w:jc w:val="lef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分类</w:t>
            </w:r>
          </w:p>
        </w:tc>
        <w:tc>
          <w:tcPr>
            <w:tcW w:w="1811" w:type="dxa"/>
            <w:noWrap w:val="0"/>
            <w:tcMar>
              <w:left w:w="28" w:type="dxa"/>
              <w:right w:w="28" w:type="dxa"/>
            </w:tcMar>
            <w:vAlign w:val="center"/>
          </w:tcPr>
          <w:p>
            <w:pPr>
              <w:spacing w:beforeLines="0" w:afterLines="0" w:line="240" w:lineRule="auto"/>
              <w:jc w:val="center"/>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污染物名称</w:t>
            </w:r>
          </w:p>
        </w:tc>
        <w:tc>
          <w:tcPr>
            <w:tcW w:w="1701" w:type="dxa"/>
            <w:noWrap w:val="0"/>
            <w:tcMar>
              <w:left w:w="28" w:type="dxa"/>
              <w:right w:w="28" w:type="dxa"/>
            </w:tcMar>
            <w:vAlign w:val="center"/>
          </w:tcPr>
          <w:p>
            <w:pPr>
              <w:spacing w:beforeLines="0" w:afterLines="0" w:line="240" w:lineRule="auto"/>
              <w:jc w:val="center"/>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pPr>
              <w:spacing w:beforeLines="0" w:afterLines="0" w:line="240" w:lineRule="auto"/>
              <w:jc w:val="center"/>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1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①</w:t>
            </w:r>
            <w:r>
              <w:rPr>
                <w:rFonts w:ascii="黑体" w:hAnsi="黑体" w:eastAsia="黑体"/>
                <w:snapToGrid w:val="0"/>
                <w:color w:val="000000"/>
                <w:spacing w:val="-6"/>
                <w:kern w:val="21"/>
                <w:szCs w:val="21"/>
              </w:rPr>
              <w:fldChar w:fldCharType="end"/>
            </w:r>
          </w:p>
        </w:tc>
        <w:tc>
          <w:tcPr>
            <w:tcW w:w="1117" w:type="dxa"/>
            <w:noWrap w:val="0"/>
            <w:tcMar>
              <w:left w:w="28" w:type="dxa"/>
              <w:right w:w="28" w:type="dxa"/>
            </w:tcMar>
            <w:vAlign w:val="center"/>
          </w:tcPr>
          <w:p>
            <w:pPr>
              <w:spacing w:beforeLines="0" w:afterLines="0" w:line="240" w:lineRule="auto"/>
              <w:jc w:val="center"/>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pPr>
              <w:spacing w:beforeLines="0" w:afterLines="0" w:line="240" w:lineRule="auto"/>
              <w:jc w:val="center"/>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许可排放量</w:t>
            </w:r>
          </w:p>
          <w:p>
            <w:pPr>
              <w:spacing w:beforeLines="0" w:afterLines="0"/>
              <w:jc w:val="center"/>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2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snapToGrid w:val="0"/>
                <w:color w:val="000000"/>
                <w:spacing w:val="-6"/>
                <w:kern w:val="21"/>
                <w:szCs w:val="21"/>
              </w:rPr>
              <w:t>②</w:t>
            </w:r>
            <w:r>
              <w:rPr>
                <w:rFonts w:ascii="黑体" w:hAnsi="黑体" w:eastAsia="黑体"/>
                <w:snapToGrid w:val="0"/>
                <w:color w:val="000000"/>
                <w:spacing w:val="-6"/>
                <w:kern w:val="21"/>
                <w:szCs w:val="21"/>
              </w:rPr>
              <w:fldChar w:fldCharType="end"/>
            </w:r>
          </w:p>
        </w:tc>
        <w:tc>
          <w:tcPr>
            <w:tcW w:w="1600" w:type="dxa"/>
            <w:noWrap w:val="0"/>
            <w:tcMar>
              <w:left w:w="28" w:type="dxa"/>
              <w:right w:w="28" w:type="dxa"/>
            </w:tcMar>
            <w:vAlign w:val="center"/>
          </w:tcPr>
          <w:p>
            <w:pPr>
              <w:spacing w:beforeLines="0" w:afterLines="0" w:line="240" w:lineRule="auto"/>
              <w:jc w:val="center"/>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在建工程</w:t>
            </w:r>
          </w:p>
          <w:p>
            <w:pPr>
              <w:spacing w:beforeLines="0" w:afterLines="0" w:line="240" w:lineRule="auto"/>
              <w:jc w:val="center"/>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3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③</w:t>
            </w:r>
            <w:r>
              <w:rPr>
                <w:rFonts w:ascii="黑体" w:hAnsi="黑体" w:eastAsia="黑体"/>
                <w:snapToGrid w:val="0"/>
                <w:color w:val="000000"/>
                <w:spacing w:val="-6"/>
                <w:kern w:val="21"/>
                <w:szCs w:val="21"/>
              </w:rPr>
              <w:fldChar w:fldCharType="end"/>
            </w:r>
          </w:p>
        </w:tc>
        <w:tc>
          <w:tcPr>
            <w:tcW w:w="1487" w:type="dxa"/>
            <w:noWrap w:val="0"/>
            <w:tcMar>
              <w:left w:w="28" w:type="dxa"/>
              <w:right w:w="28" w:type="dxa"/>
            </w:tcMar>
            <w:vAlign w:val="center"/>
          </w:tcPr>
          <w:p>
            <w:pPr>
              <w:spacing w:beforeLines="0" w:afterLines="0" w:line="240" w:lineRule="auto"/>
              <w:jc w:val="center"/>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本项目</w:t>
            </w:r>
          </w:p>
          <w:p>
            <w:pPr>
              <w:spacing w:beforeLines="0" w:afterLines="0" w:line="240" w:lineRule="auto"/>
              <w:jc w:val="center"/>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4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④</w:t>
            </w:r>
            <w:r>
              <w:rPr>
                <w:rFonts w:ascii="黑体" w:hAnsi="黑体" w:eastAsia="黑体"/>
                <w:snapToGrid w:val="0"/>
                <w:color w:val="000000"/>
                <w:spacing w:val="-6"/>
                <w:kern w:val="21"/>
                <w:szCs w:val="21"/>
              </w:rPr>
              <w:fldChar w:fldCharType="end"/>
            </w:r>
          </w:p>
        </w:tc>
        <w:tc>
          <w:tcPr>
            <w:tcW w:w="1825" w:type="dxa"/>
            <w:noWrap w:val="0"/>
            <w:tcMar>
              <w:left w:w="28" w:type="dxa"/>
              <w:right w:w="28" w:type="dxa"/>
            </w:tcMar>
            <w:vAlign w:val="center"/>
          </w:tcPr>
          <w:p>
            <w:pPr>
              <w:spacing w:beforeLines="0" w:afterLines="0" w:line="240" w:lineRule="auto"/>
              <w:jc w:val="center"/>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以新带老削减量</w:t>
            </w:r>
          </w:p>
          <w:p>
            <w:pPr>
              <w:spacing w:beforeLines="0" w:afterLines="0" w:line="240" w:lineRule="auto"/>
              <w:jc w:val="center"/>
              <w:rPr>
                <w:rFonts w:ascii="黑体" w:hAnsi="黑体" w:eastAsia="黑体"/>
                <w:snapToGrid w:val="0"/>
                <w:color w:val="000000"/>
                <w:spacing w:val="-16"/>
                <w:kern w:val="21"/>
                <w:szCs w:val="21"/>
              </w:rPr>
            </w:pPr>
            <w:r>
              <w:rPr>
                <w:rFonts w:ascii="黑体" w:hAnsi="黑体" w:eastAsia="黑体"/>
                <w:snapToGrid w:val="0"/>
                <w:color w:val="000000"/>
                <w:spacing w:val="-16"/>
                <w:kern w:val="21"/>
                <w:szCs w:val="21"/>
              </w:rPr>
              <w:t>（新建项目不填）</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5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⑤</w:t>
            </w:r>
            <w:r>
              <w:rPr>
                <w:rFonts w:ascii="黑体" w:hAnsi="黑体" w:eastAsia="黑体"/>
                <w:snapToGrid w:val="0"/>
                <w:color w:val="000000"/>
                <w:spacing w:val="-16"/>
                <w:kern w:val="21"/>
                <w:szCs w:val="21"/>
              </w:rPr>
              <w:fldChar w:fldCharType="end"/>
            </w:r>
          </w:p>
        </w:tc>
        <w:tc>
          <w:tcPr>
            <w:tcW w:w="1850" w:type="dxa"/>
            <w:noWrap w:val="0"/>
            <w:tcMar>
              <w:left w:w="28" w:type="dxa"/>
              <w:right w:w="28" w:type="dxa"/>
            </w:tcMar>
            <w:vAlign w:val="center"/>
          </w:tcPr>
          <w:p>
            <w:pPr>
              <w:spacing w:beforeLines="0" w:afterLines="0" w:line="240" w:lineRule="auto"/>
              <w:jc w:val="center"/>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本项目建成后</w:t>
            </w:r>
          </w:p>
          <w:p>
            <w:pPr>
              <w:spacing w:beforeLines="0" w:afterLines="0" w:line="240" w:lineRule="auto"/>
              <w:jc w:val="center"/>
              <w:rPr>
                <w:rFonts w:ascii="黑体" w:hAnsi="黑体" w:eastAsia="黑体"/>
                <w:snapToGrid w:val="0"/>
                <w:color w:val="000000"/>
                <w:spacing w:val="-16"/>
                <w:kern w:val="21"/>
                <w:szCs w:val="21"/>
              </w:rPr>
            </w:pPr>
            <w:r>
              <w:rPr>
                <w:rFonts w:hint="eastAsia" w:ascii="黑体" w:hAnsi="黑体" w:eastAsia="黑体"/>
                <w:snapToGrid w:val="0"/>
                <w:color w:val="000000"/>
                <w:spacing w:val="-16"/>
                <w:kern w:val="21"/>
                <w:szCs w:val="21"/>
              </w:rPr>
              <w:t>全厂</w:t>
            </w:r>
            <w:r>
              <w:rPr>
                <w:rFonts w:ascii="黑体" w:hAnsi="黑体" w:eastAsia="黑体"/>
                <w:snapToGrid w:val="0"/>
                <w:color w:val="000000"/>
                <w:spacing w:val="-16"/>
                <w:kern w:val="21"/>
                <w:szCs w:val="21"/>
              </w:rPr>
              <w:t>排放量（固</w:t>
            </w:r>
            <w:r>
              <w:rPr>
                <w:rFonts w:hint="eastAsia" w:ascii="黑体" w:hAnsi="黑体" w:eastAsia="黑体"/>
                <w:snapToGrid w:val="0"/>
                <w:color w:val="000000"/>
                <w:spacing w:val="-16"/>
                <w:kern w:val="21"/>
                <w:szCs w:val="21"/>
              </w:rPr>
              <w:t>体</w:t>
            </w:r>
            <w:r>
              <w:rPr>
                <w:rFonts w:ascii="黑体" w:hAnsi="黑体" w:eastAsia="黑体"/>
                <w:snapToGrid w:val="0"/>
                <w:color w:val="000000"/>
                <w:spacing w:val="-16"/>
                <w:kern w:val="21"/>
                <w:szCs w:val="21"/>
              </w:rPr>
              <w:t>废</w:t>
            </w:r>
            <w:r>
              <w:rPr>
                <w:rFonts w:hint="eastAsia" w:ascii="黑体" w:hAnsi="黑体" w:eastAsia="黑体"/>
                <w:snapToGrid w:val="0"/>
                <w:color w:val="000000"/>
                <w:spacing w:val="-16"/>
                <w:kern w:val="21"/>
                <w:szCs w:val="21"/>
              </w:rPr>
              <w:t>物</w:t>
            </w:r>
            <w:r>
              <w:rPr>
                <w:rFonts w:ascii="黑体" w:hAnsi="黑体" w:eastAsia="黑体"/>
                <w:snapToGrid w:val="0"/>
                <w:color w:val="000000"/>
                <w:spacing w:val="-16"/>
                <w:kern w:val="21"/>
                <w:szCs w:val="21"/>
              </w:rPr>
              <w:t>产生量）</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6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⑥</w:t>
            </w:r>
            <w:r>
              <w:rPr>
                <w:rFonts w:ascii="黑体" w:hAnsi="黑体" w:eastAsia="黑体"/>
                <w:snapToGrid w:val="0"/>
                <w:color w:val="000000"/>
                <w:spacing w:val="-16"/>
                <w:kern w:val="21"/>
                <w:szCs w:val="21"/>
              </w:rPr>
              <w:fldChar w:fldCharType="end"/>
            </w:r>
          </w:p>
        </w:tc>
        <w:tc>
          <w:tcPr>
            <w:tcW w:w="1203" w:type="dxa"/>
            <w:noWrap w:val="0"/>
            <w:tcMar>
              <w:left w:w="28" w:type="dxa"/>
              <w:right w:w="28" w:type="dxa"/>
            </w:tcMar>
            <w:vAlign w:val="center"/>
          </w:tcPr>
          <w:p>
            <w:pPr>
              <w:spacing w:beforeLines="0" w:afterLines="0" w:line="240" w:lineRule="auto"/>
              <w:jc w:val="center"/>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变化量</w:t>
            </w:r>
          </w:p>
          <w:p>
            <w:pPr>
              <w:spacing w:beforeLines="0" w:afterLines="0" w:line="240" w:lineRule="auto"/>
              <w:jc w:val="center"/>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7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⑦</w:t>
            </w:r>
            <w:r>
              <w:rPr>
                <w:rFonts w:ascii="黑体" w:hAnsi="黑体" w:eastAsia="黑体"/>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194" w:type="dxa"/>
            <w:vMerge w:val="restart"/>
            <w:noWrap w:val="0"/>
            <w:vAlign w:val="center"/>
          </w:tcPr>
          <w:p>
            <w:pPr>
              <w:spacing w:beforeLines="0" w:afterLines="0" w:line="240" w:lineRule="auto"/>
              <w:jc w:val="center"/>
              <w:rPr>
                <w:rFonts w:hint="eastAsia" w:hAnsi="宋体" w:cs="宋体"/>
                <w:snapToGrid w:val="0"/>
                <w:color w:val="000000"/>
                <w:kern w:val="21"/>
                <w:szCs w:val="21"/>
              </w:rPr>
            </w:pPr>
            <w:r>
              <w:rPr>
                <w:rFonts w:hint="eastAsia" w:hAnsi="宋体" w:cs="宋体"/>
                <w:snapToGrid w:val="0"/>
                <w:color w:val="000000"/>
                <w:kern w:val="21"/>
                <w:szCs w:val="21"/>
              </w:rPr>
              <w:t>废气</w:t>
            </w:r>
          </w:p>
        </w:tc>
        <w:tc>
          <w:tcPr>
            <w:tcW w:w="1811" w:type="dxa"/>
            <w:noWrap w:val="0"/>
            <w:vAlign w:val="center"/>
          </w:tcPr>
          <w:p>
            <w:pPr>
              <w:pStyle w:val="40"/>
              <w:bidi w:val="0"/>
              <w:rPr>
                <w:rFonts w:hint="eastAsia"/>
                <w:lang w:val="en-US" w:eastAsia="zh-CN"/>
              </w:rPr>
            </w:pPr>
            <w:r>
              <w:rPr>
                <w:rFonts w:hint="eastAsia"/>
                <w:lang w:val="en-US" w:eastAsia="zh-CN"/>
              </w:rPr>
              <w:t>颗粒物</w:t>
            </w:r>
          </w:p>
        </w:tc>
        <w:tc>
          <w:tcPr>
            <w:tcW w:w="1701" w:type="dxa"/>
            <w:noWrap w:val="0"/>
            <w:vAlign w:val="center"/>
          </w:tcPr>
          <w:p>
            <w:pPr>
              <w:pStyle w:val="40"/>
              <w:bidi w:val="0"/>
              <w:jc w:val="center"/>
              <w:rPr>
                <w:rFonts w:hint="default"/>
                <w:lang w:val="en-US" w:eastAsia="zh-CN"/>
              </w:rPr>
            </w:pPr>
            <w:r>
              <w:rPr>
                <w:rFonts w:hint="eastAsia"/>
                <w:lang w:val="en-US" w:eastAsia="zh-CN"/>
              </w:rPr>
              <w:t>/</w:t>
            </w:r>
          </w:p>
        </w:tc>
        <w:tc>
          <w:tcPr>
            <w:tcW w:w="1117" w:type="dxa"/>
            <w:noWrap w:val="0"/>
            <w:vAlign w:val="center"/>
          </w:tcPr>
          <w:p>
            <w:pPr>
              <w:pStyle w:val="40"/>
              <w:bidi w:val="0"/>
              <w:jc w:val="center"/>
            </w:pPr>
            <w:r>
              <w:rPr>
                <w:rFonts w:hint="eastAsia"/>
                <w:lang w:val="en-US" w:eastAsia="zh-CN"/>
              </w:rPr>
              <w:t>/</w:t>
            </w:r>
          </w:p>
        </w:tc>
        <w:tc>
          <w:tcPr>
            <w:tcW w:w="1600" w:type="dxa"/>
            <w:noWrap w:val="0"/>
            <w:vAlign w:val="center"/>
          </w:tcPr>
          <w:p>
            <w:pPr>
              <w:pStyle w:val="40"/>
              <w:bidi w:val="0"/>
              <w:jc w:val="center"/>
            </w:pPr>
            <w:r>
              <w:rPr>
                <w:rFonts w:hint="eastAsia"/>
                <w:lang w:val="en-US" w:eastAsia="zh-CN"/>
              </w:rPr>
              <w:t>/</w:t>
            </w:r>
          </w:p>
        </w:tc>
        <w:tc>
          <w:tcPr>
            <w:tcW w:w="1487" w:type="dxa"/>
            <w:shd w:val="clear" w:color="auto" w:fill="auto"/>
            <w:noWrap w:val="0"/>
            <w:vAlign w:val="center"/>
          </w:tcPr>
          <w:p>
            <w:pPr>
              <w:pStyle w:val="40"/>
              <w:bidi w:val="0"/>
              <w:rPr>
                <w:rFonts w:hint="default"/>
                <w:lang w:val="en-US" w:eastAsia="zh-CN"/>
              </w:rPr>
            </w:pPr>
            <w:r>
              <w:rPr>
                <w:rFonts w:hint="eastAsia"/>
                <w:lang w:val="en-US" w:eastAsia="zh-CN"/>
              </w:rPr>
              <w:t>3.289t/a</w:t>
            </w:r>
          </w:p>
        </w:tc>
        <w:tc>
          <w:tcPr>
            <w:tcW w:w="1825" w:type="dxa"/>
            <w:noWrap w:val="0"/>
            <w:vAlign w:val="center"/>
          </w:tcPr>
          <w:p>
            <w:pPr>
              <w:pStyle w:val="40"/>
              <w:bidi w:val="0"/>
              <w:jc w:val="center"/>
            </w:pPr>
            <w:r>
              <w:rPr>
                <w:rFonts w:hint="eastAsia"/>
                <w:lang w:val="en-US" w:eastAsia="zh-CN"/>
              </w:rPr>
              <w:t>/</w:t>
            </w:r>
          </w:p>
        </w:tc>
        <w:tc>
          <w:tcPr>
            <w:tcW w:w="1850" w:type="dxa"/>
            <w:noWrap w:val="0"/>
            <w:vAlign w:val="center"/>
          </w:tcPr>
          <w:p>
            <w:pPr>
              <w:pStyle w:val="40"/>
              <w:bidi w:val="0"/>
            </w:pPr>
            <w:r>
              <w:rPr>
                <w:rFonts w:hint="eastAsia"/>
                <w:lang w:val="en-US" w:eastAsia="zh-CN"/>
              </w:rPr>
              <w:t>3.289t/a</w:t>
            </w:r>
          </w:p>
        </w:tc>
        <w:tc>
          <w:tcPr>
            <w:tcW w:w="1203" w:type="dxa"/>
            <w:noWrap w:val="0"/>
            <w:vAlign w:val="center"/>
          </w:tcPr>
          <w:p>
            <w:pPr>
              <w:pStyle w:val="40"/>
              <w:bidi w:val="0"/>
            </w:pPr>
            <w:r>
              <w:rPr>
                <w:rFonts w:hint="eastAsia"/>
                <w:lang w:val="en-US" w:eastAsia="zh-CN"/>
              </w:rPr>
              <w:t>3.289t/a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94" w:type="dxa"/>
            <w:vMerge w:val="continue"/>
            <w:noWrap w:val="0"/>
            <w:vAlign w:val="center"/>
          </w:tcPr>
          <w:p>
            <w:pPr>
              <w:spacing w:beforeLines="0" w:afterLines="0" w:line="240" w:lineRule="auto"/>
              <w:rPr>
                <w:rFonts w:hint="eastAsia" w:hAnsi="宋体" w:cs="宋体"/>
                <w:snapToGrid w:val="0"/>
                <w:color w:val="000000"/>
                <w:kern w:val="21"/>
                <w:szCs w:val="21"/>
              </w:rPr>
            </w:pPr>
          </w:p>
        </w:tc>
        <w:tc>
          <w:tcPr>
            <w:tcW w:w="1811" w:type="dxa"/>
            <w:noWrap w:val="0"/>
            <w:vAlign w:val="center"/>
          </w:tcPr>
          <w:p>
            <w:pPr>
              <w:pStyle w:val="40"/>
              <w:bidi w:val="0"/>
              <w:rPr>
                <w:rFonts w:hint="eastAsia"/>
                <w:lang w:val="en-US" w:eastAsia="zh-CN"/>
              </w:rPr>
            </w:pPr>
            <w:r>
              <w:rPr>
                <w:rFonts w:hint="eastAsia"/>
                <w:lang w:val="en-US" w:eastAsia="zh-CN"/>
              </w:rPr>
              <w:t>食堂油烟</w:t>
            </w:r>
          </w:p>
        </w:tc>
        <w:tc>
          <w:tcPr>
            <w:tcW w:w="1701" w:type="dxa"/>
            <w:noWrap w:val="0"/>
            <w:vAlign w:val="center"/>
          </w:tcPr>
          <w:p>
            <w:pPr>
              <w:pStyle w:val="40"/>
              <w:bidi w:val="0"/>
              <w:jc w:val="center"/>
              <w:rPr>
                <w:rFonts w:hint="default"/>
                <w:lang w:val="en-US" w:eastAsia="zh-CN"/>
              </w:rPr>
            </w:pPr>
            <w:r>
              <w:rPr>
                <w:rFonts w:hint="eastAsia"/>
                <w:lang w:val="en-US" w:eastAsia="zh-CN"/>
              </w:rPr>
              <w:t>/</w:t>
            </w:r>
          </w:p>
        </w:tc>
        <w:tc>
          <w:tcPr>
            <w:tcW w:w="1117" w:type="dxa"/>
            <w:noWrap w:val="0"/>
            <w:vAlign w:val="center"/>
          </w:tcPr>
          <w:p>
            <w:pPr>
              <w:pStyle w:val="40"/>
              <w:bidi w:val="0"/>
              <w:jc w:val="center"/>
            </w:pPr>
            <w:r>
              <w:rPr>
                <w:rFonts w:hint="eastAsia"/>
                <w:lang w:val="en-US" w:eastAsia="zh-CN"/>
              </w:rPr>
              <w:t>/</w:t>
            </w:r>
          </w:p>
        </w:tc>
        <w:tc>
          <w:tcPr>
            <w:tcW w:w="1600" w:type="dxa"/>
            <w:noWrap w:val="0"/>
            <w:vAlign w:val="center"/>
          </w:tcPr>
          <w:p>
            <w:pPr>
              <w:pStyle w:val="40"/>
              <w:bidi w:val="0"/>
              <w:jc w:val="center"/>
            </w:pPr>
            <w:r>
              <w:rPr>
                <w:rFonts w:hint="eastAsia"/>
                <w:lang w:val="en-US" w:eastAsia="zh-CN"/>
              </w:rPr>
              <w:t>/</w:t>
            </w:r>
          </w:p>
        </w:tc>
        <w:tc>
          <w:tcPr>
            <w:tcW w:w="1487" w:type="dxa"/>
            <w:shd w:val="clear" w:color="auto" w:fill="auto"/>
            <w:noWrap w:val="0"/>
            <w:vAlign w:val="center"/>
          </w:tcPr>
          <w:p>
            <w:pPr>
              <w:pStyle w:val="40"/>
              <w:bidi w:val="0"/>
              <w:rPr>
                <w:rFonts w:hint="default"/>
                <w:lang w:val="en-US" w:eastAsia="zh-CN"/>
              </w:rPr>
            </w:pPr>
            <w:r>
              <w:rPr>
                <w:rFonts w:hint="eastAsia"/>
                <w:lang w:val="en-US" w:eastAsia="zh-CN"/>
              </w:rPr>
              <w:t>0.0004t/a</w:t>
            </w:r>
          </w:p>
        </w:tc>
        <w:tc>
          <w:tcPr>
            <w:tcW w:w="1825" w:type="dxa"/>
            <w:noWrap w:val="0"/>
            <w:vAlign w:val="center"/>
          </w:tcPr>
          <w:p>
            <w:pPr>
              <w:pStyle w:val="40"/>
              <w:bidi w:val="0"/>
              <w:jc w:val="center"/>
            </w:pPr>
            <w:r>
              <w:rPr>
                <w:rFonts w:hint="eastAsia"/>
                <w:lang w:val="en-US" w:eastAsia="zh-CN"/>
              </w:rPr>
              <w:t>/</w:t>
            </w:r>
          </w:p>
        </w:tc>
        <w:tc>
          <w:tcPr>
            <w:tcW w:w="1850" w:type="dxa"/>
            <w:noWrap w:val="0"/>
            <w:vAlign w:val="center"/>
          </w:tcPr>
          <w:p>
            <w:pPr>
              <w:pStyle w:val="40"/>
              <w:bidi w:val="0"/>
            </w:pPr>
            <w:r>
              <w:rPr>
                <w:rFonts w:hint="eastAsia"/>
                <w:lang w:val="en-US" w:eastAsia="zh-CN"/>
              </w:rPr>
              <w:t>0.0004t/a</w:t>
            </w:r>
          </w:p>
        </w:tc>
        <w:tc>
          <w:tcPr>
            <w:tcW w:w="1203" w:type="dxa"/>
            <w:noWrap w:val="0"/>
            <w:vAlign w:val="center"/>
          </w:tcPr>
          <w:p>
            <w:pPr>
              <w:pStyle w:val="40"/>
              <w:bidi w:val="0"/>
            </w:pPr>
            <w:r>
              <w:rPr>
                <w:rFonts w:hint="eastAsia"/>
                <w:lang w:val="en-US" w:eastAsia="zh-CN"/>
              </w:rPr>
              <w:t>0.0004t/a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194" w:type="dxa"/>
            <w:vMerge w:val="restart"/>
            <w:noWrap w:val="0"/>
            <w:vAlign w:val="center"/>
          </w:tcPr>
          <w:p>
            <w:pPr>
              <w:spacing w:beforeLines="0" w:afterLines="0" w:line="240" w:lineRule="auto"/>
              <w:jc w:val="center"/>
              <w:rPr>
                <w:rFonts w:hint="eastAsia" w:hAnsi="宋体" w:cs="宋体"/>
                <w:snapToGrid w:val="0"/>
                <w:color w:val="000000"/>
                <w:kern w:val="21"/>
                <w:szCs w:val="21"/>
              </w:rPr>
            </w:pPr>
            <w:r>
              <w:rPr>
                <w:rFonts w:hint="eastAsia" w:hAnsi="宋体" w:cs="宋体"/>
                <w:snapToGrid w:val="0"/>
                <w:color w:val="000000"/>
                <w:kern w:val="21"/>
                <w:szCs w:val="21"/>
              </w:rPr>
              <w:t>废水</w:t>
            </w:r>
          </w:p>
        </w:tc>
        <w:tc>
          <w:tcPr>
            <w:tcW w:w="1811" w:type="dxa"/>
            <w:noWrap w:val="0"/>
            <w:vAlign w:val="center"/>
          </w:tcPr>
          <w:p>
            <w:pPr>
              <w:keepNext w:val="0"/>
              <w:keepLines w:val="0"/>
              <w:suppressLineNumbers w:val="0"/>
              <w:spacing w:before="0" w:beforeAutospacing="0" w:after="0" w:afterAutospacing="0"/>
              <w:ind w:left="0" w:leftChars="0" w:right="0" w:rightChars="0"/>
              <w:jc w:val="center"/>
              <w:rPr>
                <w:rFonts w:hAnsi="宋体" w:cs="宋体"/>
                <w:snapToGrid w:val="0"/>
                <w:color w:val="000000"/>
                <w:kern w:val="21"/>
                <w:szCs w:val="21"/>
              </w:rPr>
            </w:pPr>
            <w:r>
              <w:rPr>
                <w:rFonts w:hint="default" w:ascii="Times New Roman" w:hAnsi="Times New Roman" w:eastAsia="宋体" w:cs="Times New Roman"/>
                <w:szCs w:val="21"/>
                <w:highlight w:val="none"/>
              </w:rPr>
              <w:t>COD</w:t>
            </w:r>
          </w:p>
        </w:tc>
        <w:tc>
          <w:tcPr>
            <w:tcW w:w="1701" w:type="dxa"/>
            <w:noWrap w:val="0"/>
            <w:vAlign w:val="center"/>
          </w:tcPr>
          <w:p>
            <w:pPr>
              <w:spacing w:beforeLines="0" w:afterLines="0" w:line="240" w:lineRule="auto"/>
              <w:jc w:val="center"/>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117"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600"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487"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0.012t/a</w:t>
            </w:r>
          </w:p>
        </w:tc>
        <w:tc>
          <w:tcPr>
            <w:tcW w:w="1825"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850"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0.012t/a</w:t>
            </w:r>
          </w:p>
        </w:tc>
        <w:tc>
          <w:tcPr>
            <w:tcW w:w="1203"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0.012t/a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94" w:type="dxa"/>
            <w:vMerge w:val="continue"/>
            <w:noWrap w:val="0"/>
            <w:vAlign w:val="center"/>
          </w:tcPr>
          <w:p>
            <w:pPr>
              <w:spacing w:beforeLines="0" w:afterLines="0" w:line="240" w:lineRule="auto"/>
              <w:jc w:val="center"/>
              <w:rPr>
                <w:rFonts w:hint="eastAsia" w:hAnsi="宋体" w:cs="宋体"/>
                <w:snapToGrid w:val="0"/>
                <w:color w:val="000000"/>
                <w:kern w:val="21"/>
                <w:szCs w:val="21"/>
              </w:rPr>
            </w:pPr>
          </w:p>
        </w:tc>
        <w:tc>
          <w:tcPr>
            <w:tcW w:w="1811" w:type="dxa"/>
            <w:noWrap w:val="0"/>
            <w:vAlign w:val="center"/>
          </w:tcPr>
          <w:p>
            <w:pPr>
              <w:keepNext w:val="0"/>
              <w:keepLines w:val="0"/>
              <w:suppressLineNumbers w:val="0"/>
              <w:spacing w:before="0" w:beforeAutospacing="0" w:after="0" w:afterAutospacing="0"/>
              <w:ind w:left="0" w:leftChars="0" w:right="0" w:rightChars="0"/>
              <w:jc w:val="center"/>
              <w:rPr>
                <w:rFonts w:hint="eastAsia" w:hAnsi="宋体" w:eastAsia="宋体" w:cs="宋体"/>
                <w:snapToGrid w:val="0"/>
                <w:color w:val="000000"/>
                <w:kern w:val="21"/>
                <w:szCs w:val="21"/>
                <w:lang w:val="en-US" w:eastAsia="zh-CN"/>
              </w:rPr>
            </w:pPr>
            <w:r>
              <w:rPr>
                <w:rFonts w:hint="default" w:ascii="Times New Roman" w:hAnsi="Times New Roman" w:eastAsia="宋体" w:cs="Times New Roman"/>
                <w:szCs w:val="21"/>
                <w:highlight w:val="none"/>
              </w:rPr>
              <w:t>BOD</w:t>
            </w:r>
            <w:r>
              <w:rPr>
                <w:rFonts w:hint="eastAsia" w:cs="Times New Roman"/>
                <w:szCs w:val="21"/>
                <w:highlight w:val="none"/>
                <w:vertAlign w:val="subscript"/>
                <w:lang w:val="en-US" w:eastAsia="zh-CN"/>
              </w:rPr>
              <w:t>5</w:t>
            </w:r>
          </w:p>
        </w:tc>
        <w:tc>
          <w:tcPr>
            <w:tcW w:w="1701" w:type="dxa"/>
            <w:noWrap w:val="0"/>
            <w:vAlign w:val="center"/>
          </w:tcPr>
          <w:p>
            <w:pPr>
              <w:spacing w:beforeLines="0" w:afterLines="0" w:line="240" w:lineRule="auto"/>
              <w:jc w:val="center"/>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117"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600"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487"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0.009t/a</w:t>
            </w:r>
          </w:p>
        </w:tc>
        <w:tc>
          <w:tcPr>
            <w:tcW w:w="1825"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850"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0.009t/a</w:t>
            </w:r>
          </w:p>
        </w:tc>
        <w:tc>
          <w:tcPr>
            <w:tcW w:w="1203"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194" w:type="dxa"/>
            <w:vMerge w:val="continue"/>
            <w:noWrap w:val="0"/>
            <w:vAlign w:val="center"/>
          </w:tcPr>
          <w:p>
            <w:pPr>
              <w:spacing w:beforeLines="0" w:afterLines="0" w:line="240" w:lineRule="auto"/>
              <w:jc w:val="center"/>
              <w:rPr>
                <w:rFonts w:hint="eastAsia" w:hAnsi="宋体" w:cs="宋体"/>
                <w:snapToGrid w:val="0"/>
                <w:color w:val="000000"/>
                <w:kern w:val="21"/>
                <w:szCs w:val="21"/>
              </w:rPr>
            </w:pPr>
          </w:p>
        </w:tc>
        <w:tc>
          <w:tcPr>
            <w:tcW w:w="1811" w:type="dxa"/>
            <w:noWrap w:val="0"/>
            <w:vAlign w:val="center"/>
          </w:tcPr>
          <w:p>
            <w:pPr>
              <w:keepNext w:val="0"/>
              <w:keepLines w:val="0"/>
              <w:suppressLineNumbers w:val="0"/>
              <w:spacing w:before="0" w:beforeAutospacing="0" w:after="0" w:afterAutospacing="0"/>
              <w:ind w:left="0" w:leftChars="0" w:right="0" w:rightChars="0"/>
              <w:jc w:val="center"/>
              <w:rPr>
                <w:rFonts w:hint="eastAsia" w:hAnsi="宋体" w:cs="宋体"/>
                <w:snapToGrid w:val="0"/>
                <w:color w:val="000000"/>
                <w:kern w:val="21"/>
                <w:szCs w:val="21"/>
              </w:rPr>
            </w:pPr>
            <w:r>
              <w:rPr>
                <w:rFonts w:hint="default" w:ascii="Times New Roman" w:hAnsi="Times New Roman" w:eastAsia="宋体" w:cs="Times New Roman"/>
                <w:szCs w:val="21"/>
                <w:highlight w:val="none"/>
              </w:rPr>
              <w:t>SS</w:t>
            </w:r>
          </w:p>
        </w:tc>
        <w:tc>
          <w:tcPr>
            <w:tcW w:w="1701" w:type="dxa"/>
            <w:noWrap w:val="0"/>
            <w:vAlign w:val="center"/>
          </w:tcPr>
          <w:p>
            <w:pPr>
              <w:spacing w:beforeLines="0" w:afterLines="0" w:line="240" w:lineRule="auto"/>
              <w:jc w:val="center"/>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117"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600"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487"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0.007t/a</w:t>
            </w:r>
          </w:p>
        </w:tc>
        <w:tc>
          <w:tcPr>
            <w:tcW w:w="1825"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850"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0.007t/a</w:t>
            </w:r>
          </w:p>
        </w:tc>
        <w:tc>
          <w:tcPr>
            <w:tcW w:w="1203"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94" w:type="dxa"/>
            <w:vMerge w:val="continue"/>
            <w:noWrap w:val="0"/>
            <w:vAlign w:val="center"/>
          </w:tcPr>
          <w:p>
            <w:pPr>
              <w:spacing w:beforeLines="0" w:afterLines="0" w:line="240" w:lineRule="auto"/>
              <w:jc w:val="center"/>
              <w:rPr>
                <w:rFonts w:hint="eastAsia" w:hAnsi="宋体" w:cs="宋体"/>
                <w:snapToGrid w:val="0"/>
                <w:color w:val="000000"/>
                <w:kern w:val="21"/>
                <w:szCs w:val="21"/>
              </w:rPr>
            </w:pPr>
          </w:p>
        </w:tc>
        <w:tc>
          <w:tcPr>
            <w:tcW w:w="1811" w:type="dxa"/>
            <w:noWrap w:val="0"/>
            <w:vAlign w:val="center"/>
          </w:tcPr>
          <w:p>
            <w:pPr>
              <w:keepNext w:val="0"/>
              <w:keepLines w:val="0"/>
              <w:suppressLineNumbers w:val="0"/>
              <w:spacing w:before="0" w:beforeAutospacing="0" w:after="0" w:afterAutospacing="0"/>
              <w:ind w:left="0" w:leftChars="0" w:right="0" w:rightChars="0"/>
              <w:jc w:val="center"/>
              <w:rPr>
                <w:rFonts w:hint="eastAsia" w:hAnsi="宋体" w:cs="宋体"/>
                <w:snapToGrid w:val="0"/>
                <w:color w:val="000000"/>
                <w:kern w:val="21"/>
                <w:szCs w:val="21"/>
              </w:rPr>
            </w:pPr>
            <w:r>
              <w:rPr>
                <w:rFonts w:hint="eastAsia" w:ascii="Times New Roman" w:hAnsi="Times New Roman" w:eastAsia="宋体" w:cs="Times New Roman"/>
                <w:szCs w:val="21"/>
                <w:highlight w:val="none"/>
                <w:lang w:val="en-US" w:eastAsia="zh-CN"/>
              </w:rPr>
              <w:t>氨氮</w:t>
            </w:r>
          </w:p>
        </w:tc>
        <w:tc>
          <w:tcPr>
            <w:tcW w:w="1701" w:type="dxa"/>
            <w:noWrap w:val="0"/>
            <w:vAlign w:val="center"/>
          </w:tcPr>
          <w:p>
            <w:pPr>
              <w:spacing w:beforeLines="0" w:afterLines="0" w:line="240" w:lineRule="auto"/>
              <w:jc w:val="center"/>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117"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600"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487"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0.001t/a</w:t>
            </w:r>
          </w:p>
        </w:tc>
        <w:tc>
          <w:tcPr>
            <w:tcW w:w="1825"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850"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0.001t/a</w:t>
            </w:r>
          </w:p>
        </w:tc>
        <w:tc>
          <w:tcPr>
            <w:tcW w:w="1203"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94" w:type="dxa"/>
            <w:vMerge w:val="continue"/>
            <w:noWrap w:val="0"/>
            <w:vAlign w:val="center"/>
          </w:tcPr>
          <w:p>
            <w:pPr>
              <w:spacing w:beforeLines="0" w:afterLines="0" w:line="240" w:lineRule="auto"/>
              <w:jc w:val="center"/>
              <w:rPr>
                <w:rFonts w:hint="eastAsia" w:hAnsi="宋体" w:cs="宋体"/>
                <w:snapToGrid w:val="0"/>
                <w:color w:val="000000"/>
                <w:kern w:val="21"/>
                <w:szCs w:val="21"/>
              </w:rPr>
            </w:pPr>
          </w:p>
        </w:tc>
        <w:tc>
          <w:tcPr>
            <w:tcW w:w="1811" w:type="dxa"/>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rightChars="0"/>
              <w:jc w:val="center"/>
              <w:rPr>
                <w:rFonts w:hint="eastAsia" w:hAnsi="宋体" w:cs="宋体"/>
                <w:snapToGrid w:val="0"/>
                <w:color w:val="000000"/>
                <w:kern w:val="21"/>
                <w:szCs w:val="21"/>
              </w:rPr>
            </w:pPr>
            <w:r>
              <w:rPr>
                <w:rFonts w:hint="eastAsia" w:ascii="Times New Roman" w:hAnsi="宋体" w:eastAsia="宋体" w:cs="宋体"/>
                <w:snapToGrid w:val="0"/>
                <w:color w:val="000000"/>
                <w:kern w:val="21"/>
                <w:sz w:val="21"/>
                <w:szCs w:val="21"/>
                <w:lang w:val="en-US" w:eastAsia="zh-CN" w:bidi="ar-SA"/>
              </w:rPr>
              <w:t>动植物油</w:t>
            </w:r>
          </w:p>
        </w:tc>
        <w:tc>
          <w:tcPr>
            <w:tcW w:w="1701" w:type="dxa"/>
            <w:noWrap w:val="0"/>
            <w:vAlign w:val="center"/>
          </w:tcPr>
          <w:p>
            <w:pPr>
              <w:spacing w:beforeLines="0" w:afterLines="0" w:line="240" w:lineRule="auto"/>
              <w:jc w:val="center"/>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117"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600"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48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0.003t/a</w:t>
            </w:r>
          </w:p>
        </w:tc>
        <w:tc>
          <w:tcPr>
            <w:tcW w:w="1825"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850"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0.003t/a</w:t>
            </w:r>
          </w:p>
        </w:tc>
        <w:tc>
          <w:tcPr>
            <w:tcW w:w="1203" w:type="dxa"/>
            <w:noWrap w:val="0"/>
            <w:vAlign w:val="center"/>
          </w:tcPr>
          <w:p>
            <w:pPr>
              <w:keepNext w:val="0"/>
              <w:keepLines w:val="0"/>
              <w:widowControl/>
              <w:suppressLineNumbers w:val="0"/>
              <w:jc w:val="center"/>
              <w:textAlignment w:val="center"/>
              <w:rPr>
                <w:rFonts w:hAnsi="宋体" w:cs="宋体"/>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194" w:type="dxa"/>
            <w:vMerge w:val="restart"/>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rPr>
              <w:t>一般工业</w:t>
            </w:r>
          </w:p>
          <w:p>
            <w:pPr>
              <w:spacing w:beforeLines="0" w:afterLines="0" w:line="240" w:lineRule="auto"/>
              <w:jc w:val="center"/>
              <w:rPr>
                <w:rFonts w:hint="eastAsia" w:hAnsi="宋体" w:cs="宋体"/>
                <w:snapToGrid w:val="0"/>
                <w:color w:val="000000"/>
                <w:kern w:val="21"/>
                <w:szCs w:val="21"/>
              </w:rPr>
            </w:pPr>
            <w:r>
              <w:rPr>
                <w:rFonts w:hint="eastAsia" w:hAnsi="宋体" w:cs="宋体"/>
                <w:snapToGrid w:val="0"/>
                <w:color w:val="000000"/>
                <w:kern w:val="21"/>
                <w:szCs w:val="21"/>
              </w:rPr>
              <w:t>固体废物</w:t>
            </w:r>
          </w:p>
        </w:tc>
        <w:tc>
          <w:tcPr>
            <w:tcW w:w="1811" w:type="dxa"/>
            <w:noWrap w:val="0"/>
            <w:vAlign w:val="center"/>
          </w:tcPr>
          <w:p>
            <w:pPr>
              <w:pStyle w:val="40"/>
              <w:bidi w:val="0"/>
              <w:rPr>
                <w:rFonts w:hAnsi="宋体" w:cs="宋体"/>
                <w:snapToGrid w:val="0"/>
                <w:color w:val="000000"/>
                <w:kern w:val="21"/>
                <w:szCs w:val="21"/>
              </w:rPr>
            </w:pPr>
            <w:r>
              <w:rPr>
                <w:rFonts w:hint="default"/>
                <w:highlight w:val="none"/>
                <w:lang w:val="en-US" w:eastAsia="zh-CN"/>
              </w:rPr>
              <w:t>除尘器收集的粉尘</w:t>
            </w:r>
          </w:p>
        </w:tc>
        <w:tc>
          <w:tcPr>
            <w:tcW w:w="1701" w:type="dxa"/>
            <w:noWrap w:val="0"/>
            <w:vAlign w:val="center"/>
          </w:tcPr>
          <w:p>
            <w:pPr>
              <w:pStyle w:val="40"/>
              <w:bidi w:val="0"/>
              <w:jc w:val="center"/>
              <w:rPr>
                <w:rFonts w:hAnsi="宋体" w:cs="宋体"/>
                <w:snapToGrid w:val="0"/>
                <w:color w:val="000000"/>
                <w:kern w:val="21"/>
                <w:szCs w:val="21"/>
              </w:rPr>
            </w:pPr>
            <w:r>
              <w:rPr>
                <w:rFonts w:hint="eastAsia"/>
                <w:lang w:val="en-US" w:eastAsia="zh-CN"/>
              </w:rPr>
              <w:t>/</w:t>
            </w:r>
          </w:p>
        </w:tc>
        <w:tc>
          <w:tcPr>
            <w:tcW w:w="1117" w:type="dxa"/>
            <w:noWrap w:val="0"/>
            <w:vAlign w:val="center"/>
          </w:tcPr>
          <w:p>
            <w:pPr>
              <w:pStyle w:val="40"/>
              <w:bidi w:val="0"/>
              <w:jc w:val="center"/>
              <w:rPr>
                <w:rFonts w:hAnsi="宋体" w:cs="宋体"/>
                <w:snapToGrid w:val="0"/>
                <w:color w:val="000000"/>
                <w:kern w:val="21"/>
                <w:szCs w:val="21"/>
              </w:rPr>
            </w:pPr>
            <w:r>
              <w:rPr>
                <w:rFonts w:hint="eastAsia"/>
                <w:lang w:val="en-US" w:eastAsia="zh-CN"/>
              </w:rPr>
              <w:t>/</w:t>
            </w:r>
          </w:p>
        </w:tc>
        <w:tc>
          <w:tcPr>
            <w:tcW w:w="1600" w:type="dxa"/>
            <w:noWrap w:val="0"/>
            <w:vAlign w:val="center"/>
          </w:tcPr>
          <w:p>
            <w:pPr>
              <w:pStyle w:val="40"/>
              <w:bidi w:val="0"/>
              <w:jc w:val="center"/>
              <w:rPr>
                <w:rFonts w:hAnsi="宋体" w:cs="宋体"/>
                <w:snapToGrid w:val="0"/>
                <w:color w:val="000000"/>
                <w:kern w:val="21"/>
                <w:szCs w:val="21"/>
              </w:rPr>
            </w:pPr>
            <w:r>
              <w:rPr>
                <w:rFonts w:hint="eastAsia"/>
                <w:lang w:val="en-US" w:eastAsia="zh-CN"/>
              </w:rPr>
              <w:t>/</w:t>
            </w:r>
          </w:p>
        </w:tc>
        <w:tc>
          <w:tcPr>
            <w:tcW w:w="1487" w:type="dxa"/>
            <w:noWrap w:val="0"/>
            <w:vAlign w:val="center"/>
          </w:tcPr>
          <w:p>
            <w:pPr>
              <w:pStyle w:val="40"/>
              <w:bidi w:val="0"/>
              <w:rPr>
                <w:rFonts w:hAnsi="宋体" w:cs="宋体"/>
                <w:snapToGrid w:val="0"/>
                <w:color w:val="000000"/>
                <w:kern w:val="21"/>
                <w:szCs w:val="21"/>
              </w:rPr>
            </w:pPr>
            <w:r>
              <w:rPr>
                <w:rFonts w:hint="eastAsia"/>
                <w:highlight w:val="none"/>
                <w:lang w:val="en-US" w:eastAsia="zh-CN"/>
              </w:rPr>
              <w:t>17.767t/a</w:t>
            </w:r>
          </w:p>
        </w:tc>
        <w:tc>
          <w:tcPr>
            <w:tcW w:w="1825" w:type="dxa"/>
            <w:noWrap w:val="0"/>
            <w:vAlign w:val="center"/>
          </w:tcPr>
          <w:p>
            <w:pPr>
              <w:pStyle w:val="40"/>
              <w:bidi w:val="0"/>
              <w:jc w:val="center"/>
              <w:rPr>
                <w:rFonts w:hAnsi="宋体" w:cs="宋体"/>
                <w:snapToGrid w:val="0"/>
                <w:color w:val="000000"/>
                <w:kern w:val="21"/>
                <w:szCs w:val="21"/>
              </w:rPr>
            </w:pPr>
            <w:r>
              <w:rPr>
                <w:rFonts w:hint="eastAsia"/>
                <w:lang w:val="en-US" w:eastAsia="zh-CN"/>
              </w:rPr>
              <w:t>/</w:t>
            </w:r>
          </w:p>
        </w:tc>
        <w:tc>
          <w:tcPr>
            <w:tcW w:w="1850" w:type="dxa"/>
            <w:noWrap w:val="0"/>
            <w:vAlign w:val="center"/>
          </w:tcPr>
          <w:p>
            <w:pPr>
              <w:pStyle w:val="40"/>
              <w:bidi w:val="0"/>
              <w:rPr>
                <w:rFonts w:hAnsi="宋体" w:cs="宋体"/>
                <w:snapToGrid w:val="0"/>
                <w:color w:val="000000"/>
                <w:kern w:val="21"/>
                <w:szCs w:val="21"/>
              </w:rPr>
            </w:pPr>
            <w:r>
              <w:rPr>
                <w:rFonts w:hint="eastAsia"/>
                <w:highlight w:val="none"/>
                <w:lang w:val="en-US" w:eastAsia="zh-CN"/>
              </w:rPr>
              <w:t>17.767t/a</w:t>
            </w:r>
          </w:p>
        </w:tc>
        <w:tc>
          <w:tcPr>
            <w:tcW w:w="1203" w:type="dxa"/>
            <w:noWrap w:val="0"/>
            <w:vAlign w:val="center"/>
          </w:tcPr>
          <w:p>
            <w:pPr>
              <w:pStyle w:val="40"/>
              <w:bidi w:val="0"/>
              <w:rPr>
                <w:rFonts w:hint="eastAsia"/>
                <w:lang w:val="en-US" w:eastAsia="zh-CN"/>
              </w:rPr>
            </w:pPr>
            <w:r>
              <w:rPr>
                <w:rFonts w:hint="eastAsia"/>
                <w:highlight w:val="none"/>
                <w:lang w:val="en-US" w:eastAsia="zh-CN"/>
              </w:rPr>
              <w:t>17.767t/a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94" w:type="dxa"/>
            <w:vMerge w:val="continue"/>
            <w:noWrap w:val="0"/>
            <w:vAlign w:val="center"/>
          </w:tcPr>
          <w:p>
            <w:pPr>
              <w:spacing w:beforeLines="0" w:afterLines="0" w:line="240" w:lineRule="auto"/>
              <w:jc w:val="center"/>
              <w:rPr>
                <w:rFonts w:hAnsi="宋体" w:cs="宋体"/>
                <w:snapToGrid w:val="0"/>
                <w:color w:val="000000"/>
                <w:kern w:val="21"/>
                <w:szCs w:val="21"/>
              </w:rPr>
            </w:pPr>
          </w:p>
        </w:tc>
        <w:tc>
          <w:tcPr>
            <w:tcW w:w="1811" w:type="dxa"/>
            <w:noWrap w:val="0"/>
            <w:vAlign w:val="center"/>
          </w:tcPr>
          <w:p>
            <w:pPr>
              <w:pStyle w:val="40"/>
              <w:bidi w:val="0"/>
              <w:rPr>
                <w:rFonts w:hAnsi="宋体" w:cs="宋体"/>
                <w:snapToGrid w:val="0"/>
                <w:color w:val="000000"/>
                <w:kern w:val="21"/>
                <w:szCs w:val="21"/>
              </w:rPr>
            </w:pPr>
            <w:r>
              <w:rPr>
                <w:rFonts w:hint="default"/>
                <w:highlight w:val="none"/>
                <w:lang w:val="en-US" w:eastAsia="zh-CN"/>
              </w:rPr>
              <w:t>废布袋</w:t>
            </w:r>
          </w:p>
        </w:tc>
        <w:tc>
          <w:tcPr>
            <w:tcW w:w="1701"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117"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600"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487" w:type="dxa"/>
            <w:noWrap w:val="0"/>
            <w:vAlign w:val="center"/>
          </w:tcPr>
          <w:p>
            <w:pPr>
              <w:pStyle w:val="40"/>
              <w:bidi w:val="0"/>
              <w:rPr>
                <w:rFonts w:hAnsi="宋体" w:cs="宋体"/>
                <w:snapToGrid w:val="0"/>
                <w:color w:val="000000"/>
                <w:kern w:val="21"/>
                <w:szCs w:val="21"/>
              </w:rPr>
            </w:pPr>
            <w:r>
              <w:rPr>
                <w:rFonts w:hint="eastAsia"/>
                <w:highlight w:val="none"/>
                <w:lang w:val="en-US" w:eastAsia="zh-CN"/>
              </w:rPr>
              <w:t>0.02t/a</w:t>
            </w:r>
          </w:p>
        </w:tc>
        <w:tc>
          <w:tcPr>
            <w:tcW w:w="1825" w:type="dxa"/>
            <w:noWrap w:val="0"/>
            <w:vAlign w:val="center"/>
          </w:tcPr>
          <w:p>
            <w:pPr>
              <w:spacing w:beforeLines="0" w:afterLines="0" w:line="240" w:lineRule="auto"/>
              <w:jc w:val="center"/>
              <w:rPr>
                <w:rFonts w:hAnsi="宋体" w:cs="宋体"/>
                <w:snapToGrid w:val="0"/>
                <w:color w:val="000000"/>
                <w:kern w:val="21"/>
                <w:szCs w:val="21"/>
              </w:rPr>
            </w:pPr>
            <w:r>
              <w:rPr>
                <w:rFonts w:hint="eastAsia" w:hAnsi="宋体" w:cs="宋体"/>
                <w:snapToGrid w:val="0"/>
                <w:color w:val="000000"/>
                <w:kern w:val="21"/>
                <w:szCs w:val="21"/>
                <w:lang w:val="en-US" w:eastAsia="zh-CN"/>
              </w:rPr>
              <w:t>/</w:t>
            </w:r>
          </w:p>
        </w:tc>
        <w:tc>
          <w:tcPr>
            <w:tcW w:w="1850" w:type="dxa"/>
            <w:noWrap w:val="0"/>
            <w:vAlign w:val="center"/>
          </w:tcPr>
          <w:p>
            <w:pPr>
              <w:pStyle w:val="40"/>
              <w:bidi w:val="0"/>
              <w:rPr>
                <w:rFonts w:hAnsi="宋体" w:cs="宋体"/>
                <w:snapToGrid w:val="0"/>
                <w:color w:val="000000"/>
                <w:kern w:val="21"/>
                <w:szCs w:val="21"/>
              </w:rPr>
            </w:pPr>
            <w:r>
              <w:rPr>
                <w:rFonts w:hint="eastAsia"/>
                <w:highlight w:val="none"/>
                <w:lang w:val="en-US" w:eastAsia="zh-CN"/>
              </w:rPr>
              <w:t>0.02t/a</w:t>
            </w:r>
          </w:p>
        </w:tc>
        <w:tc>
          <w:tcPr>
            <w:tcW w:w="1203" w:type="dxa"/>
            <w:noWrap w:val="0"/>
            <w:vAlign w:val="center"/>
          </w:tcPr>
          <w:p>
            <w:pPr>
              <w:pStyle w:val="40"/>
              <w:bidi w:val="0"/>
              <w:rPr>
                <w:rFonts w:hAnsi="宋体" w:cs="宋体"/>
                <w:snapToGrid w:val="0"/>
                <w:color w:val="000000"/>
                <w:kern w:val="21"/>
                <w:szCs w:val="21"/>
              </w:rPr>
            </w:pPr>
            <w:r>
              <w:rPr>
                <w:rFonts w:hint="eastAsia"/>
                <w:highlight w:val="none"/>
                <w:lang w:val="en-US" w:eastAsia="zh-CN"/>
              </w:rPr>
              <w:t>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94" w:type="dxa"/>
            <w:vMerge w:val="restart"/>
            <w:noWrap w:val="0"/>
            <w:vAlign w:val="center"/>
          </w:tcPr>
          <w:p>
            <w:pPr>
              <w:spacing w:beforeLines="0" w:afterLines="0" w:line="240" w:lineRule="auto"/>
              <w:jc w:val="center"/>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危险废物</w:t>
            </w:r>
          </w:p>
        </w:tc>
        <w:tc>
          <w:tcPr>
            <w:tcW w:w="1811"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eastAsia" w:cs="Times New Roman"/>
                <w:lang w:val="en-US" w:eastAsia="zh-CN"/>
              </w:rPr>
              <w:t>废润滑油</w:t>
            </w:r>
          </w:p>
        </w:tc>
        <w:tc>
          <w:tcPr>
            <w:tcW w:w="1701" w:type="dxa"/>
            <w:noWrap w:val="0"/>
            <w:vAlign w:val="center"/>
          </w:tcPr>
          <w:p>
            <w:pPr>
              <w:spacing w:beforeLines="0" w:afterLines="0" w:line="240" w:lineRule="auto"/>
              <w:jc w:val="center"/>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117" w:type="dxa"/>
            <w:noWrap w:val="0"/>
            <w:vAlign w:val="center"/>
          </w:tcPr>
          <w:p>
            <w:pPr>
              <w:spacing w:beforeLines="0" w:afterLines="0" w:line="240" w:lineRule="auto"/>
              <w:jc w:val="center"/>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600" w:type="dxa"/>
            <w:noWrap w:val="0"/>
            <w:vAlign w:val="center"/>
          </w:tcPr>
          <w:p>
            <w:pPr>
              <w:spacing w:beforeLines="0" w:afterLines="0" w:line="240" w:lineRule="auto"/>
              <w:jc w:val="center"/>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487" w:type="dxa"/>
            <w:noWrap w:val="0"/>
            <w:vAlign w:val="center"/>
          </w:tcPr>
          <w:p>
            <w:pPr>
              <w:keepNext w:val="0"/>
              <w:keepLines w:val="0"/>
              <w:suppressLineNumbers w:val="0"/>
              <w:bidi w:val="0"/>
              <w:spacing w:before="0" w:beforeAutospacing="0" w:after="0" w:afterAutospacing="0"/>
              <w:ind w:left="0" w:leftChars="0" w:right="0" w:rightChars="0"/>
              <w:jc w:val="center"/>
              <w:rPr>
                <w:rFonts w:hint="eastAsia"/>
                <w:highlight w:val="none"/>
                <w:lang w:val="en-US" w:eastAsia="zh-CN"/>
              </w:rPr>
            </w:pPr>
            <w:r>
              <w:rPr>
                <w:rFonts w:hint="eastAsia" w:cs="Times New Roman"/>
                <w:lang w:val="en-US" w:eastAsia="zh-CN"/>
              </w:rPr>
              <w:t>0.1t/a</w:t>
            </w:r>
          </w:p>
        </w:tc>
        <w:tc>
          <w:tcPr>
            <w:tcW w:w="1825" w:type="dxa"/>
            <w:noWrap w:val="0"/>
            <w:vAlign w:val="center"/>
          </w:tcPr>
          <w:p>
            <w:pPr>
              <w:spacing w:beforeLines="0" w:afterLines="0" w:line="240" w:lineRule="auto"/>
              <w:jc w:val="center"/>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850" w:type="dxa"/>
            <w:noWrap w:val="0"/>
            <w:vAlign w:val="center"/>
          </w:tcPr>
          <w:p>
            <w:pPr>
              <w:keepNext w:val="0"/>
              <w:keepLines w:val="0"/>
              <w:suppressLineNumbers w:val="0"/>
              <w:bidi w:val="0"/>
              <w:spacing w:before="0" w:beforeAutospacing="0" w:after="0" w:afterAutospacing="0"/>
              <w:ind w:left="0" w:leftChars="0" w:right="0" w:rightChars="0"/>
              <w:jc w:val="center"/>
              <w:rPr>
                <w:rFonts w:hint="eastAsia"/>
                <w:highlight w:val="none"/>
                <w:lang w:val="en-US" w:eastAsia="zh-CN"/>
              </w:rPr>
            </w:pPr>
            <w:r>
              <w:rPr>
                <w:rFonts w:hint="eastAsia" w:cs="Times New Roman"/>
                <w:lang w:val="en-US" w:eastAsia="zh-CN"/>
              </w:rPr>
              <w:t>0.1t/a</w:t>
            </w:r>
          </w:p>
        </w:tc>
        <w:tc>
          <w:tcPr>
            <w:tcW w:w="1203" w:type="dxa"/>
            <w:noWrap w:val="0"/>
            <w:vAlign w:val="center"/>
          </w:tcPr>
          <w:p>
            <w:pPr>
              <w:keepNext w:val="0"/>
              <w:keepLines w:val="0"/>
              <w:suppressLineNumbers w:val="0"/>
              <w:bidi w:val="0"/>
              <w:spacing w:before="0" w:beforeAutospacing="0" w:after="0" w:afterAutospacing="0"/>
              <w:ind w:left="0" w:leftChars="0" w:right="0" w:rightChars="0"/>
              <w:jc w:val="center"/>
              <w:rPr>
                <w:rFonts w:hint="eastAsia"/>
                <w:highlight w:val="none"/>
                <w:lang w:val="en-US" w:eastAsia="zh-CN"/>
              </w:rPr>
            </w:pPr>
            <w:r>
              <w:rPr>
                <w:rFonts w:hint="eastAsia" w:cs="Times New Roman"/>
                <w:lang w:val="en-US" w:eastAsia="zh-CN"/>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94" w:type="dxa"/>
            <w:vMerge w:val="continue"/>
            <w:noWrap w:val="0"/>
            <w:vAlign w:val="center"/>
          </w:tcPr>
          <w:p>
            <w:pPr>
              <w:spacing w:beforeLines="0" w:afterLines="0" w:line="240" w:lineRule="auto"/>
              <w:jc w:val="center"/>
              <w:rPr>
                <w:rFonts w:hAnsi="宋体" w:cs="宋体"/>
                <w:snapToGrid w:val="0"/>
                <w:color w:val="000000"/>
                <w:kern w:val="21"/>
                <w:szCs w:val="21"/>
              </w:rPr>
            </w:pPr>
          </w:p>
        </w:tc>
        <w:tc>
          <w:tcPr>
            <w:tcW w:w="1811" w:type="dxa"/>
            <w:noWrap w:val="0"/>
            <w:vAlign w:val="center"/>
          </w:tcPr>
          <w:p>
            <w:pPr>
              <w:keepNext w:val="0"/>
              <w:keepLines w:val="0"/>
              <w:suppressLineNumbers w:val="0"/>
              <w:bidi w:val="0"/>
              <w:spacing w:before="0" w:beforeAutospacing="0" w:after="0" w:afterAutospacing="0"/>
              <w:ind w:left="0" w:leftChars="0" w:right="0" w:rightChars="0"/>
              <w:jc w:val="center"/>
              <w:rPr>
                <w:rFonts w:hint="default"/>
                <w:highlight w:val="none"/>
                <w:lang w:val="en-US" w:eastAsia="zh-CN"/>
              </w:rPr>
            </w:pPr>
            <w:r>
              <w:rPr>
                <w:rFonts w:hint="eastAsia" w:cs="Times New Roman"/>
                <w:lang w:val="en-US" w:eastAsia="zh-CN"/>
              </w:rPr>
              <w:t>废润滑油桶</w:t>
            </w:r>
          </w:p>
        </w:tc>
        <w:tc>
          <w:tcPr>
            <w:tcW w:w="1701" w:type="dxa"/>
            <w:noWrap w:val="0"/>
            <w:vAlign w:val="center"/>
          </w:tcPr>
          <w:p>
            <w:pPr>
              <w:spacing w:beforeLines="0" w:afterLines="0" w:line="240" w:lineRule="auto"/>
              <w:jc w:val="center"/>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117" w:type="dxa"/>
            <w:noWrap w:val="0"/>
            <w:vAlign w:val="center"/>
          </w:tcPr>
          <w:p>
            <w:pPr>
              <w:spacing w:beforeLines="0" w:afterLines="0" w:line="240" w:lineRule="auto"/>
              <w:jc w:val="center"/>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600" w:type="dxa"/>
            <w:noWrap w:val="0"/>
            <w:vAlign w:val="center"/>
          </w:tcPr>
          <w:p>
            <w:pPr>
              <w:spacing w:beforeLines="0" w:afterLines="0" w:line="240" w:lineRule="auto"/>
              <w:jc w:val="center"/>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487" w:type="dxa"/>
            <w:noWrap w:val="0"/>
            <w:vAlign w:val="center"/>
          </w:tcPr>
          <w:p>
            <w:pPr>
              <w:keepNext w:val="0"/>
              <w:keepLines w:val="0"/>
              <w:suppressLineNumbers w:val="0"/>
              <w:bidi w:val="0"/>
              <w:spacing w:before="0" w:beforeAutospacing="0" w:after="0" w:afterAutospacing="0"/>
              <w:ind w:left="0" w:leftChars="0" w:right="0" w:rightChars="0"/>
              <w:jc w:val="center"/>
              <w:rPr>
                <w:rFonts w:hint="eastAsia"/>
                <w:highlight w:val="none"/>
                <w:lang w:val="en-US" w:eastAsia="zh-CN"/>
              </w:rPr>
            </w:pPr>
            <w:r>
              <w:rPr>
                <w:rFonts w:hint="eastAsia" w:cs="Times New Roman"/>
                <w:lang w:val="en-US" w:eastAsia="zh-CN"/>
              </w:rPr>
              <w:t>0.01t/a</w:t>
            </w:r>
          </w:p>
        </w:tc>
        <w:tc>
          <w:tcPr>
            <w:tcW w:w="1825" w:type="dxa"/>
            <w:noWrap w:val="0"/>
            <w:vAlign w:val="center"/>
          </w:tcPr>
          <w:p>
            <w:pPr>
              <w:spacing w:beforeLines="0" w:afterLines="0" w:line="240" w:lineRule="auto"/>
              <w:jc w:val="center"/>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850" w:type="dxa"/>
            <w:noWrap w:val="0"/>
            <w:vAlign w:val="center"/>
          </w:tcPr>
          <w:p>
            <w:pPr>
              <w:keepNext w:val="0"/>
              <w:keepLines w:val="0"/>
              <w:suppressLineNumbers w:val="0"/>
              <w:bidi w:val="0"/>
              <w:spacing w:before="0" w:beforeAutospacing="0" w:after="0" w:afterAutospacing="0"/>
              <w:ind w:left="0" w:leftChars="0" w:right="0" w:rightChars="0"/>
              <w:jc w:val="center"/>
              <w:rPr>
                <w:rFonts w:hint="eastAsia"/>
                <w:highlight w:val="none"/>
                <w:lang w:val="en-US" w:eastAsia="zh-CN"/>
              </w:rPr>
            </w:pPr>
            <w:r>
              <w:rPr>
                <w:rFonts w:hint="eastAsia" w:cs="Times New Roman"/>
                <w:lang w:val="en-US" w:eastAsia="zh-CN"/>
              </w:rPr>
              <w:t>0.01t/a</w:t>
            </w:r>
          </w:p>
        </w:tc>
        <w:tc>
          <w:tcPr>
            <w:tcW w:w="1203" w:type="dxa"/>
            <w:noWrap w:val="0"/>
            <w:vAlign w:val="center"/>
          </w:tcPr>
          <w:p>
            <w:pPr>
              <w:keepNext w:val="0"/>
              <w:keepLines w:val="0"/>
              <w:suppressLineNumbers w:val="0"/>
              <w:bidi w:val="0"/>
              <w:spacing w:before="0" w:beforeAutospacing="0" w:after="0" w:afterAutospacing="0"/>
              <w:ind w:left="0" w:leftChars="0" w:right="0" w:rightChars="0"/>
              <w:jc w:val="center"/>
              <w:rPr>
                <w:rFonts w:hint="eastAsia"/>
                <w:highlight w:val="none"/>
                <w:lang w:val="en-US" w:eastAsia="zh-CN"/>
              </w:rPr>
            </w:pPr>
            <w:r>
              <w:rPr>
                <w:rFonts w:hint="eastAsia" w:cs="Times New Roman"/>
                <w:lang w:val="en-US" w:eastAsia="zh-CN"/>
              </w:rPr>
              <w:t>0.01t/a</w:t>
            </w:r>
          </w:p>
        </w:tc>
      </w:tr>
    </w:tbl>
    <w:p>
      <w:pPr>
        <w:spacing w:before="192" w:beforeLines="80" w:after="24"/>
        <w:jc w:val="left"/>
        <w:rPr>
          <w:rFonts w:hint="eastAsia"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rPr>
          <w:rFonts w:hint="eastAsia"/>
        </w:rPr>
      </w:pPr>
    </w:p>
    <w:p>
      <w:pPr>
        <w:rPr>
          <w:rFonts w:ascii="宋体" w:hAnsi="宋体" w:eastAsia="黑体"/>
        </w:rPr>
      </w:pP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8A3AFF-A2DF-4D18-9155-C1A11D2A6D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01938C88-6F66-45FD-A53C-6CF9556E1D8D}"/>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3" w:fontKey="{7830B87F-A3E1-48CF-8C01-DCEAD60BDAE2}"/>
  </w:font>
  <w:font w:name="微软雅黑">
    <w:panose1 w:val="020B0503020204020204"/>
    <w:charset w:val="86"/>
    <w:family w:val="auto"/>
    <w:pitch w:val="default"/>
    <w:sig w:usb0="80000287" w:usb1="280F3C52" w:usb2="00000016" w:usb3="00000000" w:csb0="0004001F" w:csb1="00000000"/>
    <w:embedRegular r:id="rId4" w:fontKey="{E58712DA-18F1-486D-8FF7-6A5DFD7064C6}"/>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3UTeABAADBAwAADgAAAGRycy9lMm9Eb2MueG1srVNLjhMxEN0jcQfL&#10;e+JOk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nq+y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hd1E3gAQAAwQMAAA4AAAAA&#10;AAAAAQAgAAAAHgEAAGRycy9lMm9Eb2MueG1sUEsFBgAAAAAGAAYAWQEAAHA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UaFeEBAADBAwAADgAAAGRycy9lMm9Eb2MueG1srVPNjtMwEL4j8Q6W&#10;7zRpV0J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ovOHPC0sDPP76ff/4+//rG&#10;5uXVV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jBRoV4QEAAMEDAAAOAAAA&#10;AAAAAAEAIAAAAB4BAABkcnMvZTJvRG9jLnhtbFBLBQYAAAAABgAGAFkBAABx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W5UHu4QEAAMEDAAAOAAAA&#10;AAAAAAEAIAAAAB4BAABkcnMvZTJvRG9jLnhtbFBLBQYAAAAABgAGAFkBAABx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911CE"/>
    <w:multiLevelType w:val="singleLevel"/>
    <w:tmpl w:val="94B911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0E54C6"/>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3A08"/>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84B9C"/>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390B"/>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6154"/>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7E6773"/>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C7C49"/>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587E"/>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33FC"/>
    <w:rsid w:val="00BA7142"/>
    <w:rsid w:val="00BB237C"/>
    <w:rsid w:val="00BB41A3"/>
    <w:rsid w:val="00BC32DC"/>
    <w:rsid w:val="00BC35B6"/>
    <w:rsid w:val="00BD1B51"/>
    <w:rsid w:val="00BD4596"/>
    <w:rsid w:val="00BE1405"/>
    <w:rsid w:val="00BE312D"/>
    <w:rsid w:val="00BE32F3"/>
    <w:rsid w:val="00BF1C20"/>
    <w:rsid w:val="00C10578"/>
    <w:rsid w:val="00C135BC"/>
    <w:rsid w:val="00C15C95"/>
    <w:rsid w:val="00C2596A"/>
    <w:rsid w:val="00C27537"/>
    <w:rsid w:val="00C328FE"/>
    <w:rsid w:val="00C33507"/>
    <w:rsid w:val="00C4409D"/>
    <w:rsid w:val="00C44E72"/>
    <w:rsid w:val="00C45A06"/>
    <w:rsid w:val="00C47E5B"/>
    <w:rsid w:val="00C5553C"/>
    <w:rsid w:val="00C61E4B"/>
    <w:rsid w:val="00C64BFF"/>
    <w:rsid w:val="00C704E9"/>
    <w:rsid w:val="00C763C9"/>
    <w:rsid w:val="00C80057"/>
    <w:rsid w:val="00C82232"/>
    <w:rsid w:val="00C82913"/>
    <w:rsid w:val="00C972B1"/>
    <w:rsid w:val="00CA2CCE"/>
    <w:rsid w:val="00CA43FD"/>
    <w:rsid w:val="00CA7EF8"/>
    <w:rsid w:val="00CC39A0"/>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C47AE"/>
    <w:rsid w:val="00ED0639"/>
    <w:rsid w:val="00EF4755"/>
    <w:rsid w:val="00EF7135"/>
    <w:rsid w:val="00F027DB"/>
    <w:rsid w:val="00F14A7A"/>
    <w:rsid w:val="00F22985"/>
    <w:rsid w:val="00F3383E"/>
    <w:rsid w:val="00F460B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2C6A62"/>
    <w:rsid w:val="015D1E09"/>
    <w:rsid w:val="01604C53"/>
    <w:rsid w:val="01695955"/>
    <w:rsid w:val="01762B3B"/>
    <w:rsid w:val="017F775E"/>
    <w:rsid w:val="01830099"/>
    <w:rsid w:val="019909F2"/>
    <w:rsid w:val="01A06D45"/>
    <w:rsid w:val="01A74FC8"/>
    <w:rsid w:val="01B20120"/>
    <w:rsid w:val="01BF14E4"/>
    <w:rsid w:val="01C81F50"/>
    <w:rsid w:val="01C82150"/>
    <w:rsid w:val="01E51591"/>
    <w:rsid w:val="01E644C2"/>
    <w:rsid w:val="0208091F"/>
    <w:rsid w:val="021138F7"/>
    <w:rsid w:val="022C686B"/>
    <w:rsid w:val="02314959"/>
    <w:rsid w:val="02330020"/>
    <w:rsid w:val="023506E7"/>
    <w:rsid w:val="02697903"/>
    <w:rsid w:val="02902A6D"/>
    <w:rsid w:val="02953272"/>
    <w:rsid w:val="02B63411"/>
    <w:rsid w:val="02C1531D"/>
    <w:rsid w:val="02C35A8C"/>
    <w:rsid w:val="02DC5CB3"/>
    <w:rsid w:val="02E1776D"/>
    <w:rsid w:val="02E64D83"/>
    <w:rsid w:val="02F96569"/>
    <w:rsid w:val="030275A7"/>
    <w:rsid w:val="03060627"/>
    <w:rsid w:val="033732BD"/>
    <w:rsid w:val="03393105"/>
    <w:rsid w:val="033D1FCB"/>
    <w:rsid w:val="033E696D"/>
    <w:rsid w:val="0351517A"/>
    <w:rsid w:val="035471B7"/>
    <w:rsid w:val="035C6A0B"/>
    <w:rsid w:val="035E0C66"/>
    <w:rsid w:val="037474BD"/>
    <w:rsid w:val="037A123C"/>
    <w:rsid w:val="038024C9"/>
    <w:rsid w:val="038843B7"/>
    <w:rsid w:val="038C566C"/>
    <w:rsid w:val="03BF6974"/>
    <w:rsid w:val="03C228FB"/>
    <w:rsid w:val="03CA6453"/>
    <w:rsid w:val="03CB6CF3"/>
    <w:rsid w:val="03D251BA"/>
    <w:rsid w:val="03D3257E"/>
    <w:rsid w:val="03E10BF1"/>
    <w:rsid w:val="03E94B2B"/>
    <w:rsid w:val="03EA7B21"/>
    <w:rsid w:val="04221DEB"/>
    <w:rsid w:val="04242B55"/>
    <w:rsid w:val="04280A34"/>
    <w:rsid w:val="043A4BEA"/>
    <w:rsid w:val="0443425C"/>
    <w:rsid w:val="044B36F8"/>
    <w:rsid w:val="047D5A2A"/>
    <w:rsid w:val="04A6769A"/>
    <w:rsid w:val="04B648BA"/>
    <w:rsid w:val="04C506E2"/>
    <w:rsid w:val="04C975C0"/>
    <w:rsid w:val="04CB2C07"/>
    <w:rsid w:val="04E6780F"/>
    <w:rsid w:val="04E71358"/>
    <w:rsid w:val="04E80917"/>
    <w:rsid w:val="04EA50BA"/>
    <w:rsid w:val="04EE335F"/>
    <w:rsid w:val="04EE7093"/>
    <w:rsid w:val="04FC43EA"/>
    <w:rsid w:val="04FF037E"/>
    <w:rsid w:val="05010525"/>
    <w:rsid w:val="0515181D"/>
    <w:rsid w:val="053D188F"/>
    <w:rsid w:val="05431465"/>
    <w:rsid w:val="05486CF4"/>
    <w:rsid w:val="055E50A5"/>
    <w:rsid w:val="056D353A"/>
    <w:rsid w:val="05AF0019"/>
    <w:rsid w:val="05DB4947"/>
    <w:rsid w:val="05E02329"/>
    <w:rsid w:val="05E63D5A"/>
    <w:rsid w:val="05F63B02"/>
    <w:rsid w:val="05F83EAE"/>
    <w:rsid w:val="05FD2B10"/>
    <w:rsid w:val="06191E5D"/>
    <w:rsid w:val="062F196F"/>
    <w:rsid w:val="063E7D85"/>
    <w:rsid w:val="064F7A37"/>
    <w:rsid w:val="066E1317"/>
    <w:rsid w:val="06882524"/>
    <w:rsid w:val="06A25465"/>
    <w:rsid w:val="06CC0D15"/>
    <w:rsid w:val="06E0566B"/>
    <w:rsid w:val="06E670D4"/>
    <w:rsid w:val="06F537E7"/>
    <w:rsid w:val="06F95803"/>
    <w:rsid w:val="06FE3D53"/>
    <w:rsid w:val="06FF6413"/>
    <w:rsid w:val="070B5A1B"/>
    <w:rsid w:val="07293490"/>
    <w:rsid w:val="07293586"/>
    <w:rsid w:val="07295285"/>
    <w:rsid w:val="07317761"/>
    <w:rsid w:val="073652BA"/>
    <w:rsid w:val="073C0E46"/>
    <w:rsid w:val="074107DA"/>
    <w:rsid w:val="07516FC7"/>
    <w:rsid w:val="07611FA8"/>
    <w:rsid w:val="07636392"/>
    <w:rsid w:val="076E3F95"/>
    <w:rsid w:val="07770C56"/>
    <w:rsid w:val="0777244E"/>
    <w:rsid w:val="07796DD3"/>
    <w:rsid w:val="07834FC5"/>
    <w:rsid w:val="079269DC"/>
    <w:rsid w:val="07936827"/>
    <w:rsid w:val="079E45D2"/>
    <w:rsid w:val="07A1396F"/>
    <w:rsid w:val="07A71D8F"/>
    <w:rsid w:val="07A84905"/>
    <w:rsid w:val="07C35693"/>
    <w:rsid w:val="07C733D5"/>
    <w:rsid w:val="07C814EE"/>
    <w:rsid w:val="07CA0988"/>
    <w:rsid w:val="07CD1555"/>
    <w:rsid w:val="07D478A0"/>
    <w:rsid w:val="07E37AE3"/>
    <w:rsid w:val="07E5108A"/>
    <w:rsid w:val="07E77308"/>
    <w:rsid w:val="080566A8"/>
    <w:rsid w:val="08206641"/>
    <w:rsid w:val="0822060B"/>
    <w:rsid w:val="08310DFB"/>
    <w:rsid w:val="085D7896"/>
    <w:rsid w:val="0871351E"/>
    <w:rsid w:val="08922F27"/>
    <w:rsid w:val="08A25DAE"/>
    <w:rsid w:val="08A70B11"/>
    <w:rsid w:val="08B4698B"/>
    <w:rsid w:val="08B57B6C"/>
    <w:rsid w:val="08BC612A"/>
    <w:rsid w:val="08E04924"/>
    <w:rsid w:val="08EB55B0"/>
    <w:rsid w:val="092217DD"/>
    <w:rsid w:val="09231284"/>
    <w:rsid w:val="092E4D8E"/>
    <w:rsid w:val="0933384F"/>
    <w:rsid w:val="093A7294"/>
    <w:rsid w:val="093C1D4C"/>
    <w:rsid w:val="09415B70"/>
    <w:rsid w:val="09554549"/>
    <w:rsid w:val="095F46D1"/>
    <w:rsid w:val="09736C45"/>
    <w:rsid w:val="09751A81"/>
    <w:rsid w:val="097A4477"/>
    <w:rsid w:val="098B24EB"/>
    <w:rsid w:val="099270C7"/>
    <w:rsid w:val="0A0801C9"/>
    <w:rsid w:val="0A097895"/>
    <w:rsid w:val="0A263993"/>
    <w:rsid w:val="0A294FD4"/>
    <w:rsid w:val="0A2D3AC2"/>
    <w:rsid w:val="0A2F5262"/>
    <w:rsid w:val="0A384381"/>
    <w:rsid w:val="0A3F2019"/>
    <w:rsid w:val="0A455BCA"/>
    <w:rsid w:val="0A466107"/>
    <w:rsid w:val="0A586566"/>
    <w:rsid w:val="0A5D6C1D"/>
    <w:rsid w:val="0A690774"/>
    <w:rsid w:val="0A7A4A29"/>
    <w:rsid w:val="0AA755DF"/>
    <w:rsid w:val="0AB47515"/>
    <w:rsid w:val="0AE37EEA"/>
    <w:rsid w:val="0AE442B6"/>
    <w:rsid w:val="0AF81AF7"/>
    <w:rsid w:val="0B120D44"/>
    <w:rsid w:val="0B162D61"/>
    <w:rsid w:val="0B1F0E32"/>
    <w:rsid w:val="0B497EB0"/>
    <w:rsid w:val="0B601D0B"/>
    <w:rsid w:val="0B6E5AFD"/>
    <w:rsid w:val="0B7A250D"/>
    <w:rsid w:val="0BC030EF"/>
    <w:rsid w:val="0BD0037E"/>
    <w:rsid w:val="0BD27BF6"/>
    <w:rsid w:val="0BD97DE4"/>
    <w:rsid w:val="0BDC31C7"/>
    <w:rsid w:val="0BE1433A"/>
    <w:rsid w:val="0BE34556"/>
    <w:rsid w:val="0C086C5C"/>
    <w:rsid w:val="0C0C2D55"/>
    <w:rsid w:val="0C0E4DEB"/>
    <w:rsid w:val="0C0F7D1B"/>
    <w:rsid w:val="0C180AA3"/>
    <w:rsid w:val="0C3721AC"/>
    <w:rsid w:val="0C3A63A8"/>
    <w:rsid w:val="0C3B3C7D"/>
    <w:rsid w:val="0C590374"/>
    <w:rsid w:val="0C653EBA"/>
    <w:rsid w:val="0C6B7D9C"/>
    <w:rsid w:val="0C9376F3"/>
    <w:rsid w:val="0CAB2EAE"/>
    <w:rsid w:val="0CB9190B"/>
    <w:rsid w:val="0CC148DE"/>
    <w:rsid w:val="0CCF0636"/>
    <w:rsid w:val="0CDB6C2D"/>
    <w:rsid w:val="0CDB6FDB"/>
    <w:rsid w:val="0CDF4D1D"/>
    <w:rsid w:val="0CE51D21"/>
    <w:rsid w:val="0CEB6AEF"/>
    <w:rsid w:val="0D194ABC"/>
    <w:rsid w:val="0D1C2066"/>
    <w:rsid w:val="0D2F6C3B"/>
    <w:rsid w:val="0D350DE1"/>
    <w:rsid w:val="0D4074FB"/>
    <w:rsid w:val="0D4A6E5D"/>
    <w:rsid w:val="0D5439A7"/>
    <w:rsid w:val="0D621C7D"/>
    <w:rsid w:val="0D6313F6"/>
    <w:rsid w:val="0D862620"/>
    <w:rsid w:val="0D935B07"/>
    <w:rsid w:val="0D9C10BE"/>
    <w:rsid w:val="0DAC19D9"/>
    <w:rsid w:val="0DB5188A"/>
    <w:rsid w:val="0DC92286"/>
    <w:rsid w:val="0DD35E02"/>
    <w:rsid w:val="0DE809E8"/>
    <w:rsid w:val="0DEB1487"/>
    <w:rsid w:val="0DFC36AD"/>
    <w:rsid w:val="0E045C9D"/>
    <w:rsid w:val="0E0D1CE0"/>
    <w:rsid w:val="0E176739"/>
    <w:rsid w:val="0E26072A"/>
    <w:rsid w:val="0E511CAE"/>
    <w:rsid w:val="0E73034D"/>
    <w:rsid w:val="0E87741A"/>
    <w:rsid w:val="0E895C3F"/>
    <w:rsid w:val="0E941B37"/>
    <w:rsid w:val="0E97118F"/>
    <w:rsid w:val="0EA0672E"/>
    <w:rsid w:val="0EA64FC6"/>
    <w:rsid w:val="0EAE0E4B"/>
    <w:rsid w:val="0EB320EE"/>
    <w:rsid w:val="0EBD3C7A"/>
    <w:rsid w:val="0EEC1973"/>
    <w:rsid w:val="0EF434BD"/>
    <w:rsid w:val="0EF954B1"/>
    <w:rsid w:val="0F136F00"/>
    <w:rsid w:val="0F13775A"/>
    <w:rsid w:val="0F3F0EF7"/>
    <w:rsid w:val="0F5903DB"/>
    <w:rsid w:val="0F5F45FE"/>
    <w:rsid w:val="0F7036E3"/>
    <w:rsid w:val="0F884B27"/>
    <w:rsid w:val="0F894AE5"/>
    <w:rsid w:val="0F9A112B"/>
    <w:rsid w:val="0FA116A2"/>
    <w:rsid w:val="0FAD7159"/>
    <w:rsid w:val="0FBD75EE"/>
    <w:rsid w:val="0FC65D20"/>
    <w:rsid w:val="0FF565EE"/>
    <w:rsid w:val="100E09B0"/>
    <w:rsid w:val="101846EA"/>
    <w:rsid w:val="101B4546"/>
    <w:rsid w:val="10240842"/>
    <w:rsid w:val="10314EBC"/>
    <w:rsid w:val="104650B3"/>
    <w:rsid w:val="105F7F23"/>
    <w:rsid w:val="106865B4"/>
    <w:rsid w:val="106D2F64"/>
    <w:rsid w:val="107A495D"/>
    <w:rsid w:val="10A722DA"/>
    <w:rsid w:val="10A926FD"/>
    <w:rsid w:val="10B63710"/>
    <w:rsid w:val="10C91A2E"/>
    <w:rsid w:val="10CE3388"/>
    <w:rsid w:val="10DC7519"/>
    <w:rsid w:val="10F10820"/>
    <w:rsid w:val="10FD17F7"/>
    <w:rsid w:val="110111FF"/>
    <w:rsid w:val="111C2F7A"/>
    <w:rsid w:val="11343336"/>
    <w:rsid w:val="11513D10"/>
    <w:rsid w:val="11665CA1"/>
    <w:rsid w:val="116903EA"/>
    <w:rsid w:val="116D67AE"/>
    <w:rsid w:val="118B2411"/>
    <w:rsid w:val="119276A7"/>
    <w:rsid w:val="1198607E"/>
    <w:rsid w:val="11A13B01"/>
    <w:rsid w:val="11B038B5"/>
    <w:rsid w:val="11C044F1"/>
    <w:rsid w:val="11C54312"/>
    <w:rsid w:val="11C57246"/>
    <w:rsid w:val="11F806C6"/>
    <w:rsid w:val="121A2353"/>
    <w:rsid w:val="12330252"/>
    <w:rsid w:val="12577104"/>
    <w:rsid w:val="12765E44"/>
    <w:rsid w:val="12845D1F"/>
    <w:rsid w:val="12962A8F"/>
    <w:rsid w:val="12C52BC1"/>
    <w:rsid w:val="12D35CB3"/>
    <w:rsid w:val="12D6667E"/>
    <w:rsid w:val="12E96050"/>
    <w:rsid w:val="12F903B1"/>
    <w:rsid w:val="132F62D2"/>
    <w:rsid w:val="13306071"/>
    <w:rsid w:val="13457FBA"/>
    <w:rsid w:val="135D1605"/>
    <w:rsid w:val="13642FE4"/>
    <w:rsid w:val="1367781A"/>
    <w:rsid w:val="13723B46"/>
    <w:rsid w:val="137B62A1"/>
    <w:rsid w:val="13835C8E"/>
    <w:rsid w:val="13906D71"/>
    <w:rsid w:val="139323BD"/>
    <w:rsid w:val="1394708A"/>
    <w:rsid w:val="13951726"/>
    <w:rsid w:val="13963C5C"/>
    <w:rsid w:val="13965FED"/>
    <w:rsid w:val="13A472FC"/>
    <w:rsid w:val="13A520F1"/>
    <w:rsid w:val="13AD4FA0"/>
    <w:rsid w:val="13C0796B"/>
    <w:rsid w:val="13C94031"/>
    <w:rsid w:val="13D432E5"/>
    <w:rsid w:val="13DB164B"/>
    <w:rsid w:val="13DF3833"/>
    <w:rsid w:val="13DF4365"/>
    <w:rsid w:val="13E26254"/>
    <w:rsid w:val="13E67280"/>
    <w:rsid w:val="13F84916"/>
    <w:rsid w:val="14070F0E"/>
    <w:rsid w:val="1409045C"/>
    <w:rsid w:val="141F00F5"/>
    <w:rsid w:val="142959A0"/>
    <w:rsid w:val="14396509"/>
    <w:rsid w:val="143E0B10"/>
    <w:rsid w:val="14571AE5"/>
    <w:rsid w:val="14593E9D"/>
    <w:rsid w:val="145A46C9"/>
    <w:rsid w:val="145C6C53"/>
    <w:rsid w:val="1463591C"/>
    <w:rsid w:val="14642AF7"/>
    <w:rsid w:val="147A532B"/>
    <w:rsid w:val="14975EDD"/>
    <w:rsid w:val="14AE3FFC"/>
    <w:rsid w:val="14B95E54"/>
    <w:rsid w:val="14BF71E2"/>
    <w:rsid w:val="14CA788A"/>
    <w:rsid w:val="14D92F25"/>
    <w:rsid w:val="14DD2C3C"/>
    <w:rsid w:val="151C4634"/>
    <w:rsid w:val="151F30DC"/>
    <w:rsid w:val="15222ADC"/>
    <w:rsid w:val="1528650F"/>
    <w:rsid w:val="152B2749"/>
    <w:rsid w:val="152C7AB1"/>
    <w:rsid w:val="15316DEE"/>
    <w:rsid w:val="154371B0"/>
    <w:rsid w:val="154D2A40"/>
    <w:rsid w:val="155362A8"/>
    <w:rsid w:val="15706E92"/>
    <w:rsid w:val="15720884"/>
    <w:rsid w:val="157D50D3"/>
    <w:rsid w:val="15A648EC"/>
    <w:rsid w:val="15A9749E"/>
    <w:rsid w:val="15CD7C7F"/>
    <w:rsid w:val="15D91238"/>
    <w:rsid w:val="15DD73B6"/>
    <w:rsid w:val="15EF7929"/>
    <w:rsid w:val="15F37E48"/>
    <w:rsid w:val="15F728FC"/>
    <w:rsid w:val="15FC493A"/>
    <w:rsid w:val="1606156C"/>
    <w:rsid w:val="16087E1D"/>
    <w:rsid w:val="16300397"/>
    <w:rsid w:val="1630253C"/>
    <w:rsid w:val="163E44B3"/>
    <w:rsid w:val="16800E8A"/>
    <w:rsid w:val="16842470"/>
    <w:rsid w:val="16952DDC"/>
    <w:rsid w:val="16A14DF1"/>
    <w:rsid w:val="16BD39C5"/>
    <w:rsid w:val="16CE51CA"/>
    <w:rsid w:val="16D2671D"/>
    <w:rsid w:val="16DC22CD"/>
    <w:rsid w:val="16FF4228"/>
    <w:rsid w:val="17167524"/>
    <w:rsid w:val="17175636"/>
    <w:rsid w:val="171F3122"/>
    <w:rsid w:val="172163E8"/>
    <w:rsid w:val="173043C7"/>
    <w:rsid w:val="173613BC"/>
    <w:rsid w:val="173A32CD"/>
    <w:rsid w:val="17512123"/>
    <w:rsid w:val="17562080"/>
    <w:rsid w:val="175C7A9E"/>
    <w:rsid w:val="17701D14"/>
    <w:rsid w:val="17735226"/>
    <w:rsid w:val="17795D6E"/>
    <w:rsid w:val="178F37BE"/>
    <w:rsid w:val="17BD796A"/>
    <w:rsid w:val="17E05DED"/>
    <w:rsid w:val="17E972F9"/>
    <w:rsid w:val="17EC7880"/>
    <w:rsid w:val="1800344C"/>
    <w:rsid w:val="18015B42"/>
    <w:rsid w:val="18131D1F"/>
    <w:rsid w:val="1818048A"/>
    <w:rsid w:val="18227677"/>
    <w:rsid w:val="1837463A"/>
    <w:rsid w:val="183D3240"/>
    <w:rsid w:val="184C3483"/>
    <w:rsid w:val="184E76DB"/>
    <w:rsid w:val="18571360"/>
    <w:rsid w:val="185C455F"/>
    <w:rsid w:val="187A1D9E"/>
    <w:rsid w:val="18826EA4"/>
    <w:rsid w:val="189F624C"/>
    <w:rsid w:val="18B06DC6"/>
    <w:rsid w:val="18C80262"/>
    <w:rsid w:val="18CE5F1F"/>
    <w:rsid w:val="18D45636"/>
    <w:rsid w:val="18E04F84"/>
    <w:rsid w:val="18E772F1"/>
    <w:rsid w:val="18FA41A0"/>
    <w:rsid w:val="19054FE6"/>
    <w:rsid w:val="191658C0"/>
    <w:rsid w:val="191C71E3"/>
    <w:rsid w:val="192322DC"/>
    <w:rsid w:val="193059E0"/>
    <w:rsid w:val="19365D15"/>
    <w:rsid w:val="195A663E"/>
    <w:rsid w:val="19625E7D"/>
    <w:rsid w:val="1965265A"/>
    <w:rsid w:val="19831DCC"/>
    <w:rsid w:val="198A0323"/>
    <w:rsid w:val="199B6F7F"/>
    <w:rsid w:val="19A5109C"/>
    <w:rsid w:val="19BF28B1"/>
    <w:rsid w:val="19C47A1F"/>
    <w:rsid w:val="19C77265"/>
    <w:rsid w:val="19D056FA"/>
    <w:rsid w:val="19D67B22"/>
    <w:rsid w:val="19DF16C9"/>
    <w:rsid w:val="19E05888"/>
    <w:rsid w:val="1A002777"/>
    <w:rsid w:val="1A0813A3"/>
    <w:rsid w:val="1A0F193E"/>
    <w:rsid w:val="1A1C66C0"/>
    <w:rsid w:val="1A2E6111"/>
    <w:rsid w:val="1A382380"/>
    <w:rsid w:val="1A3C00E8"/>
    <w:rsid w:val="1A404921"/>
    <w:rsid w:val="1A42393B"/>
    <w:rsid w:val="1A443A2F"/>
    <w:rsid w:val="1A580283"/>
    <w:rsid w:val="1A790A03"/>
    <w:rsid w:val="1A797714"/>
    <w:rsid w:val="1A9D1D74"/>
    <w:rsid w:val="1AAD45DE"/>
    <w:rsid w:val="1AC57566"/>
    <w:rsid w:val="1ADF133B"/>
    <w:rsid w:val="1AE94FB9"/>
    <w:rsid w:val="1AE96D67"/>
    <w:rsid w:val="1AF06347"/>
    <w:rsid w:val="1AFF47DC"/>
    <w:rsid w:val="1B001596"/>
    <w:rsid w:val="1B046F80"/>
    <w:rsid w:val="1B0E4A1F"/>
    <w:rsid w:val="1B3267B5"/>
    <w:rsid w:val="1B40161D"/>
    <w:rsid w:val="1B441859"/>
    <w:rsid w:val="1B6606B1"/>
    <w:rsid w:val="1B6C0EE8"/>
    <w:rsid w:val="1B754A9E"/>
    <w:rsid w:val="1BAD248A"/>
    <w:rsid w:val="1BBD6FEA"/>
    <w:rsid w:val="1BBE01F3"/>
    <w:rsid w:val="1BC021BE"/>
    <w:rsid w:val="1BD3204F"/>
    <w:rsid w:val="1BE43586"/>
    <w:rsid w:val="1BF914BA"/>
    <w:rsid w:val="1C014B44"/>
    <w:rsid w:val="1C057370"/>
    <w:rsid w:val="1C2B0811"/>
    <w:rsid w:val="1C33298F"/>
    <w:rsid w:val="1C35495A"/>
    <w:rsid w:val="1C403123"/>
    <w:rsid w:val="1C4E1577"/>
    <w:rsid w:val="1C5306F5"/>
    <w:rsid w:val="1C582FB6"/>
    <w:rsid w:val="1C5E7925"/>
    <w:rsid w:val="1C630CB9"/>
    <w:rsid w:val="1C6F14EE"/>
    <w:rsid w:val="1C73363F"/>
    <w:rsid w:val="1C7733D9"/>
    <w:rsid w:val="1CA7790F"/>
    <w:rsid w:val="1CB42E67"/>
    <w:rsid w:val="1CB44085"/>
    <w:rsid w:val="1CB735C0"/>
    <w:rsid w:val="1CB87339"/>
    <w:rsid w:val="1CBD494F"/>
    <w:rsid w:val="1CCE51CD"/>
    <w:rsid w:val="1CD64FCE"/>
    <w:rsid w:val="1CF5235C"/>
    <w:rsid w:val="1CFD070F"/>
    <w:rsid w:val="1CFD2F9D"/>
    <w:rsid w:val="1D025CA0"/>
    <w:rsid w:val="1D0D1432"/>
    <w:rsid w:val="1D0F5E5E"/>
    <w:rsid w:val="1D161EA0"/>
    <w:rsid w:val="1D181B85"/>
    <w:rsid w:val="1D1A14B9"/>
    <w:rsid w:val="1D3072F8"/>
    <w:rsid w:val="1D4A2936"/>
    <w:rsid w:val="1D5F6196"/>
    <w:rsid w:val="1D6132A5"/>
    <w:rsid w:val="1D632E00"/>
    <w:rsid w:val="1D6A793A"/>
    <w:rsid w:val="1D713370"/>
    <w:rsid w:val="1D7D0529"/>
    <w:rsid w:val="1D8A5818"/>
    <w:rsid w:val="1D8E56D5"/>
    <w:rsid w:val="1DA84E19"/>
    <w:rsid w:val="1DAA3EE2"/>
    <w:rsid w:val="1DAB18D8"/>
    <w:rsid w:val="1DAB47A7"/>
    <w:rsid w:val="1DE33F41"/>
    <w:rsid w:val="1DEB181E"/>
    <w:rsid w:val="1DF05690"/>
    <w:rsid w:val="1E012619"/>
    <w:rsid w:val="1E22252A"/>
    <w:rsid w:val="1E281B04"/>
    <w:rsid w:val="1E392745"/>
    <w:rsid w:val="1E3B7ACD"/>
    <w:rsid w:val="1E447DED"/>
    <w:rsid w:val="1E4A684B"/>
    <w:rsid w:val="1E4C3CE7"/>
    <w:rsid w:val="1E5604B5"/>
    <w:rsid w:val="1E7862CD"/>
    <w:rsid w:val="1E7A43DA"/>
    <w:rsid w:val="1E990EF4"/>
    <w:rsid w:val="1EA32B03"/>
    <w:rsid w:val="1EB200F0"/>
    <w:rsid w:val="1EB73758"/>
    <w:rsid w:val="1EBB28AD"/>
    <w:rsid w:val="1ED85149"/>
    <w:rsid w:val="1EDB09B6"/>
    <w:rsid w:val="1EE40724"/>
    <w:rsid w:val="1F086EC9"/>
    <w:rsid w:val="1F101F8D"/>
    <w:rsid w:val="1F165DC8"/>
    <w:rsid w:val="1F311290"/>
    <w:rsid w:val="1F391B5C"/>
    <w:rsid w:val="1F62491C"/>
    <w:rsid w:val="1F672DAF"/>
    <w:rsid w:val="1F6C3DDC"/>
    <w:rsid w:val="1F6D36F1"/>
    <w:rsid w:val="1F8A0413"/>
    <w:rsid w:val="1F933359"/>
    <w:rsid w:val="1F971487"/>
    <w:rsid w:val="1F9E1B8E"/>
    <w:rsid w:val="1FBE4C66"/>
    <w:rsid w:val="1FE7539E"/>
    <w:rsid w:val="1FF21ED4"/>
    <w:rsid w:val="1FFE5062"/>
    <w:rsid w:val="2007660D"/>
    <w:rsid w:val="201A430D"/>
    <w:rsid w:val="201C395F"/>
    <w:rsid w:val="202D5948"/>
    <w:rsid w:val="20456F19"/>
    <w:rsid w:val="20671BE0"/>
    <w:rsid w:val="2088088F"/>
    <w:rsid w:val="208E4B8B"/>
    <w:rsid w:val="20963CB8"/>
    <w:rsid w:val="209C2D1A"/>
    <w:rsid w:val="209D2ACD"/>
    <w:rsid w:val="20A81A1B"/>
    <w:rsid w:val="20B07FB6"/>
    <w:rsid w:val="20B646FB"/>
    <w:rsid w:val="20BC0A98"/>
    <w:rsid w:val="20BC341D"/>
    <w:rsid w:val="20D67642"/>
    <w:rsid w:val="20D964A6"/>
    <w:rsid w:val="20DC6345"/>
    <w:rsid w:val="211663DC"/>
    <w:rsid w:val="213B74B1"/>
    <w:rsid w:val="21441968"/>
    <w:rsid w:val="214462C3"/>
    <w:rsid w:val="214C5241"/>
    <w:rsid w:val="21517BF2"/>
    <w:rsid w:val="215A2310"/>
    <w:rsid w:val="2160182E"/>
    <w:rsid w:val="21780E44"/>
    <w:rsid w:val="21852C8B"/>
    <w:rsid w:val="21A02C6F"/>
    <w:rsid w:val="21A749AB"/>
    <w:rsid w:val="21A826CF"/>
    <w:rsid w:val="21B46321"/>
    <w:rsid w:val="21DE318A"/>
    <w:rsid w:val="21EF5B80"/>
    <w:rsid w:val="21F77FBB"/>
    <w:rsid w:val="21F901D7"/>
    <w:rsid w:val="21FC1985"/>
    <w:rsid w:val="22162B37"/>
    <w:rsid w:val="222E163B"/>
    <w:rsid w:val="222E2BD0"/>
    <w:rsid w:val="223B6555"/>
    <w:rsid w:val="224A45F6"/>
    <w:rsid w:val="22576990"/>
    <w:rsid w:val="2266366D"/>
    <w:rsid w:val="227F4693"/>
    <w:rsid w:val="2280028D"/>
    <w:rsid w:val="22910410"/>
    <w:rsid w:val="22944989"/>
    <w:rsid w:val="22CC1040"/>
    <w:rsid w:val="22D60519"/>
    <w:rsid w:val="22DB5B2F"/>
    <w:rsid w:val="22ED34EB"/>
    <w:rsid w:val="22F369D5"/>
    <w:rsid w:val="22F47480"/>
    <w:rsid w:val="22F97F47"/>
    <w:rsid w:val="22FF1100"/>
    <w:rsid w:val="23052BAC"/>
    <w:rsid w:val="230E1A60"/>
    <w:rsid w:val="230F5C1D"/>
    <w:rsid w:val="2339265A"/>
    <w:rsid w:val="23406BC7"/>
    <w:rsid w:val="23477859"/>
    <w:rsid w:val="234C022A"/>
    <w:rsid w:val="23574571"/>
    <w:rsid w:val="23577D16"/>
    <w:rsid w:val="23690890"/>
    <w:rsid w:val="23735D67"/>
    <w:rsid w:val="2384090A"/>
    <w:rsid w:val="23895199"/>
    <w:rsid w:val="238B30B1"/>
    <w:rsid w:val="23904EC8"/>
    <w:rsid w:val="23A8052E"/>
    <w:rsid w:val="23B6282D"/>
    <w:rsid w:val="23C232D7"/>
    <w:rsid w:val="23C7019A"/>
    <w:rsid w:val="23DE1C48"/>
    <w:rsid w:val="23EB29FA"/>
    <w:rsid w:val="23EF1892"/>
    <w:rsid w:val="23F2473C"/>
    <w:rsid w:val="23FA3304"/>
    <w:rsid w:val="240210CD"/>
    <w:rsid w:val="240C2A44"/>
    <w:rsid w:val="240F7BF8"/>
    <w:rsid w:val="242529E4"/>
    <w:rsid w:val="242B5451"/>
    <w:rsid w:val="243948BB"/>
    <w:rsid w:val="246412AA"/>
    <w:rsid w:val="24654347"/>
    <w:rsid w:val="24792598"/>
    <w:rsid w:val="24A40099"/>
    <w:rsid w:val="24BC413A"/>
    <w:rsid w:val="24BF09F7"/>
    <w:rsid w:val="24C50845"/>
    <w:rsid w:val="24D32E6D"/>
    <w:rsid w:val="24D33F00"/>
    <w:rsid w:val="24D942F0"/>
    <w:rsid w:val="24DD5B8E"/>
    <w:rsid w:val="24E24F53"/>
    <w:rsid w:val="24F074D1"/>
    <w:rsid w:val="25055BCA"/>
    <w:rsid w:val="250E3F9A"/>
    <w:rsid w:val="25297736"/>
    <w:rsid w:val="252D53FE"/>
    <w:rsid w:val="25304989"/>
    <w:rsid w:val="25440C67"/>
    <w:rsid w:val="256B13EC"/>
    <w:rsid w:val="257B0F03"/>
    <w:rsid w:val="25964D2E"/>
    <w:rsid w:val="25985D9D"/>
    <w:rsid w:val="259F3511"/>
    <w:rsid w:val="25A80255"/>
    <w:rsid w:val="25AF4496"/>
    <w:rsid w:val="25B83F05"/>
    <w:rsid w:val="25CE0415"/>
    <w:rsid w:val="25EC2D81"/>
    <w:rsid w:val="25F355F5"/>
    <w:rsid w:val="25F74063"/>
    <w:rsid w:val="25F82FBF"/>
    <w:rsid w:val="26053E18"/>
    <w:rsid w:val="260D402E"/>
    <w:rsid w:val="262B2C60"/>
    <w:rsid w:val="262F72CD"/>
    <w:rsid w:val="263469AD"/>
    <w:rsid w:val="263C086C"/>
    <w:rsid w:val="26455660"/>
    <w:rsid w:val="265B3DF5"/>
    <w:rsid w:val="2661459D"/>
    <w:rsid w:val="26625B52"/>
    <w:rsid w:val="26712A32"/>
    <w:rsid w:val="26823237"/>
    <w:rsid w:val="268C1915"/>
    <w:rsid w:val="26D071C9"/>
    <w:rsid w:val="26EA3076"/>
    <w:rsid w:val="26EA5448"/>
    <w:rsid w:val="26F0367E"/>
    <w:rsid w:val="26F94586"/>
    <w:rsid w:val="26FA3F74"/>
    <w:rsid w:val="272E0923"/>
    <w:rsid w:val="27347067"/>
    <w:rsid w:val="2739091A"/>
    <w:rsid w:val="273B044F"/>
    <w:rsid w:val="274041B2"/>
    <w:rsid w:val="274B5200"/>
    <w:rsid w:val="274E68CF"/>
    <w:rsid w:val="275B2C31"/>
    <w:rsid w:val="27644345"/>
    <w:rsid w:val="276D4B15"/>
    <w:rsid w:val="277057A2"/>
    <w:rsid w:val="27706FD2"/>
    <w:rsid w:val="27731DE8"/>
    <w:rsid w:val="277B0590"/>
    <w:rsid w:val="279F537D"/>
    <w:rsid w:val="27A358FB"/>
    <w:rsid w:val="27DE6737"/>
    <w:rsid w:val="27F03E2A"/>
    <w:rsid w:val="27F40B59"/>
    <w:rsid w:val="27F6425C"/>
    <w:rsid w:val="28074CD0"/>
    <w:rsid w:val="28157197"/>
    <w:rsid w:val="281B1B54"/>
    <w:rsid w:val="2829733C"/>
    <w:rsid w:val="28322F4C"/>
    <w:rsid w:val="283E688B"/>
    <w:rsid w:val="28400121"/>
    <w:rsid w:val="285C6197"/>
    <w:rsid w:val="286A598B"/>
    <w:rsid w:val="288B43AB"/>
    <w:rsid w:val="289D72E9"/>
    <w:rsid w:val="289F315B"/>
    <w:rsid w:val="28CB11F0"/>
    <w:rsid w:val="28DC386E"/>
    <w:rsid w:val="28E026ED"/>
    <w:rsid w:val="28E77027"/>
    <w:rsid w:val="28FB7588"/>
    <w:rsid w:val="2914249C"/>
    <w:rsid w:val="29183639"/>
    <w:rsid w:val="29206EB8"/>
    <w:rsid w:val="293A37B7"/>
    <w:rsid w:val="29595666"/>
    <w:rsid w:val="29631AC4"/>
    <w:rsid w:val="29707F5B"/>
    <w:rsid w:val="2987256D"/>
    <w:rsid w:val="29874881"/>
    <w:rsid w:val="298760C9"/>
    <w:rsid w:val="2999069F"/>
    <w:rsid w:val="29991E9F"/>
    <w:rsid w:val="299F4469"/>
    <w:rsid w:val="29A66D91"/>
    <w:rsid w:val="29AF73CD"/>
    <w:rsid w:val="29B828A7"/>
    <w:rsid w:val="29C05EE8"/>
    <w:rsid w:val="29CD2F63"/>
    <w:rsid w:val="29DF4157"/>
    <w:rsid w:val="29E325E0"/>
    <w:rsid w:val="29EA557F"/>
    <w:rsid w:val="29F9365D"/>
    <w:rsid w:val="29FD1A01"/>
    <w:rsid w:val="2A0153F7"/>
    <w:rsid w:val="2A0F7A1E"/>
    <w:rsid w:val="2A207891"/>
    <w:rsid w:val="2A214D06"/>
    <w:rsid w:val="2A452503"/>
    <w:rsid w:val="2A6D3510"/>
    <w:rsid w:val="2A6E55F9"/>
    <w:rsid w:val="2A6F00C2"/>
    <w:rsid w:val="2A7710C9"/>
    <w:rsid w:val="2A792529"/>
    <w:rsid w:val="2A8820F8"/>
    <w:rsid w:val="2AA20CC3"/>
    <w:rsid w:val="2AA84B49"/>
    <w:rsid w:val="2AAE0C0C"/>
    <w:rsid w:val="2AC31382"/>
    <w:rsid w:val="2AD01CF1"/>
    <w:rsid w:val="2AD91EB9"/>
    <w:rsid w:val="2AE16A50"/>
    <w:rsid w:val="2AEF3F25"/>
    <w:rsid w:val="2AF6688D"/>
    <w:rsid w:val="2AF97F56"/>
    <w:rsid w:val="2AFC05D2"/>
    <w:rsid w:val="2B035C23"/>
    <w:rsid w:val="2B075F1F"/>
    <w:rsid w:val="2B2C517A"/>
    <w:rsid w:val="2B2D2579"/>
    <w:rsid w:val="2B4148B6"/>
    <w:rsid w:val="2B4E3FCD"/>
    <w:rsid w:val="2B550C2B"/>
    <w:rsid w:val="2B7D59D5"/>
    <w:rsid w:val="2B807542"/>
    <w:rsid w:val="2B852ADC"/>
    <w:rsid w:val="2B98426B"/>
    <w:rsid w:val="2BA936A8"/>
    <w:rsid w:val="2BC2788C"/>
    <w:rsid w:val="2BC7050E"/>
    <w:rsid w:val="2BCB60FF"/>
    <w:rsid w:val="2BD8182E"/>
    <w:rsid w:val="2BEF61A7"/>
    <w:rsid w:val="2BF97ECA"/>
    <w:rsid w:val="2C2220D9"/>
    <w:rsid w:val="2C315A5A"/>
    <w:rsid w:val="2C4B1C25"/>
    <w:rsid w:val="2C5F157F"/>
    <w:rsid w:val="2C647BB4"/>
    <w:rsid w:val="2C6E0837"/>
    <w:rsid w:val="2C70553A"/>
    <w:rsid w:val="2CB3474D"/>
    <w:rsid w:val="2CC06138"/>
    <w:rsid w:val="2CCA0648"/>
    <w:rsid w:val="2CCA2E9C"/>
    <w:rsid w:val="2CD8733B"/>
    <w:rsid w:val="2CD930DF"/>
    <w:rsid w:val="2CF23C8A"/>
    <w:rsid w:val="2CFA4941"/>
    <w:rsid w:val="2CFD0ECB"/>
    <w:rsid w:val="2D327D11"/>
    <w:rsid w:val="2D3302F4"/>
    <w:rsid w:val="2D390181"/>
    <w:rsid w:val="2D3C0C46"/>
    <w:rsid w:val="2D3C77E2"/>
    <w:rsid w:val="2D487A37"/>
    <w:rsid w:val="2D513B91"/>
    <w:rsid w:val="2D546C0A"/>
    <w:rsid w:val="2D87543F"/>
    <w:rsid w:val="2D8901E6"/>
    <w:rsid w:val="2D9B539F"/>
    <w:rsid w:val="2D9E56F5"/>
    <w:rsid w:val="2DB866E7"/>
    <w:rsid w:val="2DE633E5"/>
    <w:rsid w:val="2DF4181D"/>
    <w:rsid w:val="2E020ED5"/>
    <w:rsid w:val="2E255EB0"/>
    <w:rsid w:val="2E36630F"/>
    <w:rsid w:val="2E4D60BC"/>
    <w:rsid w:val="2E504721"/>
    <w:rsid w:val="2E5E2714"/>
    <w:rsid w:val="2E667F96"/>
    <w:rsid w:val="2E8226AB"/>
    <w:rsid w:val="2E8B0F17"/>
    <w:rsid w:val="2EAE6C4B"/>
    <w:rsid w:val="2EB72ED2"/>
    <w:rsid w:val="2ED61D35"/>
    <w:rsid w:val="2F141663"/>
    <w:rsid w:val="2F652B7A"/>
    <w:rsid w:val="2F736A5D"/>
    <w:rsid w:val="2F8C3686"/>
    <w:rsid w:val="2FA54BEE"/>
    <w:rsid w:val="2FBD0DC9"/>
    <w:rsid w:val="2FD065E6"/>
    <w:rsid w:val="2FD96870"/>
    <w:rsid w:val="2FE51D9B"/>
    <w:rsid w:val="300F74FE"/>
    <w:rsid w:val="30124480"/>
    <w:rsid w:val="30133697"/>
    <w:rsid w:val="301F5CDF"/>
    <w:rsid w:val="30203B82"/>
    <w:rsid w:val="302C79CA"/>
    <w:rsid w:val="30312711"/>
    <w:rsid w:val="304E11AB"/>
    <w:rsid w:val="30526F2D"/>
    <w:rsid w:val="30564A47"/>
    <w:rsid w:val="30580BC9"/>
    <w:rsid w:val="30AF4D78"/>
    <w:rsid w:val="30D16C82"/>
    <w:rsid w:val="30D2231F"/>
    <w:rsid w:val="30DA1BE6"/>
    <w:rsid w:val="30E812F1"/>
    <w:rsid w:val="30E95113"/>
    <w:rsid w:val="30ED2830"/>
    <w:rsid w:val="30F524B2"/>
    <w:rsid w:val="30F87B1B"/>
    <w:rsid w:val="310E70CF"/>
    <w:rsid w:val="31173D7B"/>
    <w:rsid w:val="311E2ED7"/>
    <w:rsid w:val="312052C8"/>
    <w:rsid w:val="31336B36"/>
    <w:rsid w:val="313517E0"/>
    <w:rsid w:val="31436D79"/>
    <w:rsid w:val="31464495"/>
    <w:rsid w:val="31495561"/>
    <w:rsid w:val="315619EE"/>
    <w:rsid w:val="315C449C"/>
    <w:rsid w:val="316D1DE3"/>
    <w:rsid w:val="3178492C"/>
    <w:rsid w:val="317B2DD6"/>
    <w:rsid w:val="31815AF3"/>
    <w:rsid w:val="318B0720"/>
    <w:rsid w:val="318D4498"/>
    <w:rsid w:val="31AD26F1"/>
    <w:rsid w:val="31B636B0"/>
    <w:rsid w:val="31B82709"/>
    <w:rsid w:val="31B859B9"/>
    <w:rsid w:val="31C0486E"/>
    <w:rsid w:val="31C619DD"/>
    <w:rsid w:val="31D05482"/>
    <w:rsid w:val="31DA24E5"/>
    <w:rsid w:val="31FD7870"/>
    <w:rsid w:val="32073EEF"/>
    <w:rsid w:val="32285F6F"/>
    <w:rsid w:val="322E1E8E"/>
    <w:rsid w:val="322F1D9F"/>
    <w:rsid w:val="32400B34"/>
    <w:rsid w:val="32480412"/>
    <w:rsid w:val="32513584"/>
    <w:rsid w:val="326C67A3"/>
    <w:rsid w:val="32843AED"/>
    <w:rsid w:val="32891D61"/>
    <w:rsid w:val="32931F82"/>
    <w:rsid w:val="329E6876"/>
    <w:rsid w:val="32A52F64"/>
    <w:rsid w:val="32BF4133"/>
    <w:rsid w:val="32E53E60"/>
    <w:rsid w:val="32E93950"/>
    <w:rsid w:val="32ED1692"/>
    <w:rsid w:val="32F32A21"/>
    <w:rsid w:val="32FA2ADB"/>
    <w:rsid w:val="32FE389F"/>
    <w:rsid w:val="33223B5C"/>
    <w:rsid w:val="332C482A"/>
    <w:rsid w:val="332D5F33"/>
    <w:rsid w:val="332E24F4"/>
    <w:rsid w:val="333015F2"/>
    <w:rsid w:val="334B6320"/>
    <w:rsid w:val="337A5FAB"/>
    <w:rsid w:val="338A78BB"/>
    <w:rsid w:val="339E298D"/>
    <w:rsid w:val="33A31D51"/>
    <w:rsid w:val="33B1543F"/>
    <w:rsid w:val="33C219D7"/>
    <w:rsid w:val="33CF4073"/>
    <w:rsid w:val="33D60378"/>
    <w:rsid w:val="33D934D4"/>
    <w:rsid w:val="33E5680D"/>
    <w:rsid w:val="33F151B2"/>
    <w:rsid w:val="33FE2F6A"/>
    <w:rsid w:val="340E07E5"/>
    <w:rsid w:val="340F121A"/>
    <w:rsid w:val="341B1CD8"/>
    <w:rsid w:val="341E1D1F"/>
    <w:rsid w:val="34235BF7"/>
    <w:rsid w:val="344A2B52"/>
    <w:rsid w:val="344C3A0C"/>
    <w:rsid w:val="34602FDD"/>
    <w:rsid w:val="34635C93"/>
    <w:rsid w:val="34666A21"/>
    <w:rsid w:val="34677222"/>
    <w:rsid w:val="34894E90"/>
    <w:rsid w:val="34A246FE"/>
    <w:rsid w:val="34A8028D"/>
    <w:rsid w:val="34AF2977"/>
    <w:rsid w:val="34B40DD0"/>
    <w:rsid w:val="34DA0225"/>
    <w:rsid w:val="34EA2EB6"/>
    <w:rsid w:val="34F07218"/>
    <w:rsid w:val="34F767F8"/>
    <w:rsid w:val="34F82570"/>
    <w:rsid w:val="34F95CB9"/>
    <w:rsid w:val="350F6802"/>
    <w:rsid w:val="353335A8"/>
    <w:rsid w:val="353926C0"/>
    <w:rsid w:val="3565270E"/>
    <w:rsid w:val="35714F81"/>
    <w:rsid w:val="358160C2"/>
    <w:rsid w:val="358C5FA8"/>
    <w:rsid w:val="359170F9"/>
    <w:rsid w:val="35AE2C2F"/>
    <w:rsid w:val="35C15DF1"/>
    <w:rsid w:val="35E14063"/>
    <w:rsid w:val="35E77612"/>
    <w:rsid w:val="35E77E27"/>
    <w:rsid w:val="35F51433"/>
    <w:rsid w:val="36074A7F"/>
    <w:rsid w:val="36101C06"/>
    <w:rsid w:val="361F4D6A"/>
    <w:rsid w:val="362461B3"/>
    <w:rsid w:val="362C0724"/>
    <w:rsid w:val="3633238A"/>
    <w:rsid w:val="36353436"/>
    <w:rsid w:val="3639699D"/>
    <w:rsid w:val="36403911"/>
    <w:rsid w:val="36443374"/>
    <w:rsid w:val="364C0E2D"/>
    <w:rsid w:val="36545EB5"/>
    <w:rsid w:val="365A133A"/>
    <w:rsid w:val="366F31E8"/>
    <w:rsid w:val="368023A6"/>
    <w:rsid w:val="368A5C1D"/>
    <w:rsid w:val="36923549"/>
    <w:rsid w:val="369F4346"/>
    <w:rsid w:val="36A72209"/>
    <w:rsid w:val="36B75FBF"/>
    <w:rsid w:val="36BB24F6"/>
    <w:rsid w:val="36BD0C45"/>
    <w:rsid w:val="36CF72CD"/>
    <w:rsid w:val="36EB29C2"/>
    <w:rsid w:val="36EC66E5"/>
    <w:rsid w:val="36EE0578"/>
    <w:rsid w:val="36F909D9"/>
    <w:rsid w:val="37014010"/>
    <w:rsid w:val="37023232"/>
    <w:rsid w:val="3702718A"/>
    <w:rsid w:val="37166CDE"/>
    <w:rsid w:val="372D69A6"/>
    <w:rsid w:val="374101FF"/>
    <w:rsid w:val="37461780"/>
    <w:rsid w:val="37625465"/>
    <w:rsid w:val="37A46016"/>
    <w:rsid w:val="37BF2D2F"/>
    <w:rsid w:val="37BF362C"/>
    <w:rsid w:val="37C1103E"/>
    <w:rsid w:val="37C329C2"/>
    <w:rsid w:val="37C552E7"/>
    <w:rsid w:val="37DC3A83"/>
    <w:rsid w:val="37E00298"/>
    <w:rsid w:val="37EB23BA"/>
    <w:rsid w:val="37EC403B"/>
    <w:rsid w:val="38093522"/>
    <w:rsid w:val="380D46D1"/>
    <w:rsid w:val="382007BD"/>
    <w:rsid w:val="38561C89"/>
    <w:rsid w:val="3874040C"/>
    <w:rsid w:val="3891726E"/>
    <w:rsid w:val="38A02530"/>
    <w:rsid w:val="38A67381"/>
    <w:rsid w:val="38AF0F24"/>
    <w:rsid w:val="38B302F9"/>
    <w:rsid w:val="38B8411D"/>
    <w:rsid w:val="38BB7B3D"/>
    <w:rsid w:val="38C52C59"/>
    <w:rsid w:val="38F12CD3"/>
    <w:rsid w:val="38F94775"/>
    <w:rsid w:val="38FE0016"/>
    <w:rsid w:val="39077C38"/>
    <w:rsid w:val="39102ED9"/>
    <w:rsid w:val="391E02A2"/>
    <w:rsid w:val="392971ED"/>
    <w:rsid w:val="392A3862"/>
    <w:rsid w:val="392F3B88"/>
    <w:rsid w:val="39317DFF"/>
    <w:rsid w:val="39325651"/>
    <w:rsid w:val="393F4973"/>
    <w:rsid w:val="395A7356"/>
    <w:rsid w:val="396509C3"/>
    <w:rsid w:val="39797168"/>
    <w:rsid w:val="397D02D4"/>
    <w:rsid w:val="397D0FAF"/>
    <w:rsid w:val="39AC5A52"/>
    <w:rsid w:val="39BB1B69"/>
    <w:rsid w:val="39DE703E"/>
    <w:rsid w:val="39E6508D"/>
    <w:rsid w:val="3A0A0D7C"/>
    <w:rsid w:val="3A165282"/>
    <w:rsid w:val="3A425253"/>
    <w:rsid w:val="3A4B5033"/>
    <w:rsid w:val="3A4F678F"/>
    <w:rsid w:val="3A804D20"/>
    <w:rsid w:val="3A812174"/>
    <w:rsid w:val="3A872856"/>
    <w:rsid w:val="3A8B103A"/>
    <w:rsid w:val="3A8F302F"/>
    <w:rsid w:val="3AAC2BD4"/>
    <w:rsid w:val="3AD07D35"/>
    <w:rsid w:val="3AE25532"/>
    <w:rsid w:val="3AF65A28"/>
    <w:rsid w:val="3AFE1F54"/>
    <w:rsid w:val="3B183024"/>
    <w:rsid w:val="3B253993"/>
    <w:rsid w:val="3B3763D1"/>
    <w:rsid w:val="3B4262F3"/>
    <w:rsid w:val="3B9D099D"/>
    <w:rsid w:val="3B9F00CF"/>
    <w:rsid w:val="3BA1188F"/>
    <w:rsid w:val="3BAE5A56"/>
    <w:rsid w:val="3BB93D77"/>
    <w:rsid w:val="3BDF3DFC"/>
    <w:rsid w:val="3BE455FD"/>
    <w:rsid w:val="3BFC229D"/>
    <w:rsid w:val="3C101EF8"/>
    <w:rsid w:val="3C130D4F"/>
    <w:rsid w:val="3C1474E4"/>
    <w:rsid w:val="3C1A2A15"/>
    <w:rsid w:val="3C236693"/>
    <w:rsid w:val="3C270B87"/>
    <w:rsid w:val="3C2974B3"/>
    <w:rsid w:val="3C2F6E1E"/>
    <w:rsid w:val="3C334D03"/>
    <w:rsid w:val="3C3519B4"/>
    <w:rsid w:val="3C4340D1"/>
    <w:rsid w:val="3C4F64BA"/>
    <w:rsid w:val="3C5067EE"/>
    <w:rsid w:val="3C5941FC"/>
    <w:rsid w:val="3C990195"/>
    <w:rsid w:val="3CA04A46"/>
    <w:rsid w:val="3CA7753A"/>
    <w:rsid w:val="3CA8487C"/>
    <w:rsid w:val="3CCD68B2"/>
    <w:rsid w:val="3CDA245A"/>
    <w:rsid w:val="3CDB1E9E"/>
    <w:rsid w:val="3D1E06B7"/>
    <w:rsid w:val="3D695DB9"/>
    <w:rsid w:val="3D7E4729"/>
    <w:rsid w:val="3D9A2417"/>
    <w:rsid w:val="3DA4156D"/>
    <w:rsid w:val="3DAD04CA"/>
    <w:rsid w:val="3DBD4389"/>
    <w:rsid w:val="3DBE6FB6"/>
    <w:rsid w:val="3DC1402E"/>
    <w:rsid w:val="3DC3787C"/>
    <w:rsid w:val="3DC47494"/>
    <w:rsid w:val="3DC672DE"/>
    <w:rsid w:val="3DD03BAF"/>
    <w:rsid w:val="3DD16A03"/>
    <w:rsid w:val="3DD5344F"/>
    <w:rsid w:val="3E072672"/>
    <w:rsid w:val="3E246E12"/>
    <w:rsid w:val="3E256187"/>
    <w:rsid w:val="3E2717D1"/>
    <w:rsid w:val="3E330317"/>
    <w:rsid w:val="3E356043"/>
    <w:rsid w:val="3E382184"/>
    <w:rsid w:val="3E3D025B"/>
    <w:rsid w:val="3E42636D"/>
    <w:rsid w:val="3E4617C3"/>
    <w:rsid w:val="3E4B1963"/>
    <w:rsid w:val="3E4B458A"/>
    <w:rsid w:val="3E55633E"/>
    <w:rsid w:val="3E674A82"/>
    <w:rsid w:val="3E726EF0"/>
    <w:rsid w:val="3E9450B8"/>
    <w:rsid w:val="3EA11583"/>
    <w:rsid w:val="3EA2228D"/>
    <w:rsid w:val="3EA24AFB"/>
    <w:rsid w:val="3EAE0D78"/>
    <w:rsid w:val="3EAF2804"/>
    <w:rsid w:val="3EC07EDD"/>
    <w:rsid w:val="3EC314F9"/>
    <w:rsid w:val="3ECA6436"/>
    <w:rsid w:val="3ED53805"/>
    <w:rsid w:val="3EDA0523"/>
    <w:rsid w:val="3F035D9A"/>
    <w:rsid w:val="3F1C5008"/>
    <w:rsid w:val="3F2743DB"/>
    <w:rsid w:val="3F3643C1"/>
    <w:rsid w:val="3F695775"/>
    <w:rsid w:val="3F85380D"/>
    <w:rsid w:val="3F9F3E63"/>
    <w:rsid w:val="3FB11A38"/>
    <w:rsid w:val="3FBA13AD"/>
    <w:rsid w:val="3FD074F4"/>
    <w:rsid w:val="400D3A17"/>
    <w:rsid w:val="401069C0"/>
    <w:rsid w:val="40175E66"/>
    <w:rsid w:val="40324B88"/>
    <w:rsid w:val="405B1DFD"/>
    <w:rsid w:val="4069280F"/>
    <w:rsid w:val="407A6407"/>
    <w:rsid w:val="407C4056"/>
    <w:rsid w:val="40970D2C"/>
    <w:rsid w:val="40B43174"/>
    <w:rsid w:val="40B90E6A"/>
    <w:rsid w:val="40BA4B7E"/>
    <w:rsid w:val="40DB5220"/>
    <w:rsid w:val="40E23A1F"/>
    <w:rsid w:val="40EB4D37"/>
    <w:rsid w:val="40F84914"/>
    <w:rsid w:val="41775363"/>
    <w:rsid w:val="41A263F5"/>
    <w:rsid w:val="41A75102"/>
    <w:rsid w:val="41AF4DF5"/>
    <w:rsid w:val="4200449D"/>
    <w:rsid w:val="423A3BCC"/>
    <w:rsid w:val="423B3A9C"/>
    <w:rsid w:val="42443965"/>
    <w:rsid w:val="424566C9"/>
    <w:rsid w:val="424E57D2"/>
    <w:rsid w:val="42B26C49"/>
    <w:rsid w:val="42BC7885"/>
    <w:rsid w:val="42CD2946"/>
    <w:rsid w:val="42F8373B"/>
    <w:rsid w:val="42F97BDF"/>
    <w:rsid w:val="42FA5706"/>
    <w:rsid w:val="430D3587"/>
    <w:rsid w:val="43236FBC"/>
    <w:rsid w:val="433A6FE6"/>
    <w:rsid w:val="433C1DEB"/>
    <w:rsid w:val="43454BD3"/>
    <w:rsid w:val="43480868"/>
    <w:rsid w:val="4350713C"/>
    <w:rsid w:val="436653E0"/>
    <w:rsid w:val="43805C0B"/>
    <w:rsid w:val="43A143C3"/>
    <w:rsid w:val="43A7763B"/>
    <w:rsid w:val="43B21394"/>
    <w:rsid w:val="43C01E9E"/>
    <w:rsid w:val="43C4431A"/>
    <w:rsid w:val="43C90256"/>
    <w:rsid w:val="43D61F90"/>
    <w:rsid w:val="43D93577"/>
    <w:rsid w:val="43DA3956"/>
    <w:rsid w:val="440F51E1"/>
    <w:rsid w:val="44175C4F"/>
    <w:rsid w:val="441D78FE"/>
    <w:rsid w:val="441E2883"/>
    <w:rsid w:val="442D0F7F"/>
    <w:rsid w:val="442F13DF"/>
    <w:rsid w:val="446077EA"/>
    <w:rsid w:val="44613C8E"/>
    <w:rsid w:val="446F2608"/>
    <w:rsid w:val="447D3E32"/>
    <w:rsid w:val="448036AF"/>
    <w:rsid w:val="448D70AF"/>
    <w:rsid w:val="449F7933"/>
    <w:rsid w:val="44B00199"/>
    <w:rsid w:val="44B6565C"/>
    <w:rsid w:val="44B951CC"/>
    <w:rsid w:val="44B96E67"/>
    <w:rsid w:val="44CD14E0"/>
    <w:rsid w:val="44CF4B08"/>
    <w:rsid w:val="44D65FFB"/>
    <w:rsid w:val="44DE67F0"/>
    <w:rsid w:val="44DF352F"/>
    <w:rsid w:val="44E91C8C"/>
    <w:rsid w:val="44F20B0B"/>
    <w:rsid w:val="44F20D8A"/>
    <w:rsid w:val="44F36AD5"/>
    <w:rsid w:val="44F543D6"/>
    <w:rsid w:val="451900C5"/>
    <w:rsid w:val="45213CE7"/>
    <w:rsid w:val="452503B2"/>
    <w:rsid w:val="45277225"/>
    <w:rsid w:val="452E5F4C"/>
    <w:rsid w:val="453D665F"/>
    <w:rsid w:val="45576E3F"/>
    <w:rsid w:val="45612018"/>
    <w:rsid w:val="458946E9"/>
    <w:rsid w:val="458D1B95"/>
    <w:rsid w:val="45A042EE"/>
    <w:rsid w:val="45A47C0E"/>
    <w:rsid w:val="45C801D1"/>
    <w:rsid w:val="45CD7101"/>
    <w:rsid w:val="45E83F3B"/>
    <w:rsid w:val="45EF52CA"/>
    <w:rsid w:val="45F70027"/>
    <w:rsid w:val="46032B23"/>
    <w:rsid w:val="461C011D"/>
    <w:rsid w:val="46353023"/>
    <w:rsid w:val="463D7DE3"/>
    <w:rsid w:val="46492C2C"/>
    <w:rsid w:val="46577FD6"/>
    <w:rsid w:val="465E7D59"/>
    <w:rsid w:val="466912C1"/>
    <w:rsid w:val="46715CDF"/>
    <w:rsid w:val="46717A8D"/>
    <w:rsid w:val="467361B6"/>
    <w:rsid w:val="468E4DBA"/>
    <w:rsid w:val="46D955A7"/>
    <w:rsid w:val="46DD3374"/>
    <w:rsid w:val="46FD7795"/>
    <w:rsid w:val="4704592B"/>
    <w:rsid w:val="47081D3E"/>
    <w:rsid w:val="47133957"/>
    <w:rsid w:val="471A0124"/>
    <w:rsid w:val="471A59DA"/>
    <w:rsid w:val="47267EBE"/>
    <w:rsid w:val="476A1563"/>
    <w:rsid w:val="476B4933"/>
    <w:rsid w:val="477261B2"/>
    <w:rsid w:val="47881532"/>
    <w:rsid w:val="47A07E0C"/>
    <w:rsid w:val="47A479CC"/>
    <w:rsid w:val="47AA6EFF"/>
    <w:rsid w:val="47AD5E1D"/>
    <w:rsid w:val="47BB1907"/>
    <w:rsid w:val="47F658E7"/>
    <w:rsid w:val="47F95F8C"/>
    <w:rsid w:val="47FA0FC6"/>
    <w:rsid w:val="480942D2"/>
    <w:rsid w:val="480E465D"/>
    <w:rsid w:val="481B33E2"/>
    <w:rsid w:val="48270292"/>
    <w:rsid w:val="48382F58"/>
    <w:rsid w:val="4842294C"/>
    <w:rsid w:val="48650157"/>
    <w:rsid w:val="48687BA7"/>
    <w:rsid w:val="4870272E"/>
    <w:rsid w:val="488A796D"/>
    <w:rsid w:val="48901F03"/>
    <w:rsid w:val="48961A2D"/>
    <w:rsid w:val="48A26623"/>
    <w:rsid w:val="48B40105"/>
    <w:rsid w:val="48B607CE"/>
    <w:rsid w:val="48BD5CAC"/>
    <w:rsid w:val="48C55A37"/>
    <w:rsid w:val="48E56510"/>
    <w:rsid w:val="48E84C9E"/>
    <w:rsid w:val="48F56A45"/>
    <w:rsid w:val="49027F7D"/>
    <w:rsid w:val="49395233"/>
    <w:rsid w:val="49441489"/>
    <w:rsid w:val="49530CC1"/>
    <w:rsid w:val="495B7CC5"/>
    <w:rsid w:val="49755985"/>
    <w:rsid w:val="49847478"/>
    <w:rsid w:val="49882275"/>
    <w:rsid w:val="498D0628"/>
    <w:rsid w:val="4994656B"/>
    <w:rsid w:val="499556B2"/>
    <w:rsid w:val="49B019E5"/>
    <w:rsid w:val="49B763BB"/>
    <w:rsid w:val="49C40F8B"/>
    <w:rsid w:val="49C600F0"/>
    <w:rsid w:val="49CE6C14"/>
    <w:rsid w:val="49DC7715"/>
    <w:rsid w:val="49FC521A"/>
    <w:rsid w:val="4A023139"/>
    <w:rsid w:val="4A03115C"/>
    <w:rsid w:val="4A0A4480"/>
    <w:rsid w:val="4A156FFD"/>
    <w:rsid w:val="4A4756E0"/>
    <w:rsid w:val="4A5519FB"/>
    <w:rsid w:val="4A7B576F"/>
    <w:rsid w:val="4A8316E8"/>
    <w:rsid w:val="4A881849"/>
    <w:rsid w:val="4A9E2693"/>
    <w:rsid w:val="4AC929FC"/>
    <w:rsid w:val="4AEA6060"/>
    <w:rsid w:val="4AEC2FAB"/>
    <w:rsid w:val="4AF4315E"/>
    <w:rsid w:val="4AF561A9"/>
    <w:rsid w:val="4B0A243B"/>
    <w:rsid w:val="4B0F707F"/>
    <w:rsid w:val="4B3D0885"/>
    <w:rsid w:val="4B66403D"/>
    <w:rsid w:val="4B68484A"/>
    <w:rsid w:val="4B6E6C91"/>
    <w:rsid w:val="4B7507FF"/>
    <w:rsid w:val="4BB91839"/>
    <w:rsid w:val="4BCE701C"/>
    <w:rsid w:val="4BEA4569"/>
    <w:rsid w:val="4BEE7C6E"/>
    <w:rsid w:val="4BFF5C46"/>
    <w:rsid w:val="4C056DDE"/>
    <w:rsid w:val="4C0937B3"/>
    <w:rsid w:val="4C3103EA"/>
    <w:rsid w:val="4C336C95"/>
    <w:rsid w:val="4C3D683F"/>
    <w:rsid w:val="4C4A0649"/>
    <w:rsid w:val="4C4D2D4A"/>
    <w:rsid w:val="4C781B79"/>
    <w:rsid w:val="4C7D53DD"/>
    <w:rsid w:val="4C7E5ECA"/>
    <w:rsid w:val="4C876AA5"/>
    <w:rsid w:val="4C9A446B"/>
    <w:rsid w:val="4CA77A95"/>
    <w:rsid w:val="4CB55893"/>
    <w:rsid w:val="4CB701C3"/>
    <w:rsid w:val="4CF61714"/>
    <w:rsid w:val="4D0E00FB"/>
    <w:rsid w:val="4D176606"/>
    <w:rsid w:val="4D223085"/>
    <w:rsid w:val="4D2246C1"/>
    <w:rsid w:val="4D2C043A"/>
    <w:rsid w:val="4D53613E"/>
    <w:rsid w:val="4D56252A"/>
    <w:rsid w:val="4D59639E"/>
    <w:rsid w:val="4D64659D"/>
    <w:rsid w:val="4D6D2423"/>
    <w:rsid w:val="4DA01C46"/>
    <w:rsid w:val="4DCA28A4"/>
    <w:rsid w:val="4DE624DE"/>
    <w:rsid w:val="4DE772AA"/>
    <w:rsid w:val="4DEC4FB0"/>
    <w:rsid w:val="4DF23BA9"/>
    <w:rsid w:val="4E035DB6"/>
    <w:rsid w:val="4E075D8A"/>
    <w:rsid w:val="4E477751"/>
    <w:rsid w:val="4E5F470C"/>
    <w:rsid w:val="4E6879C7"/>
    <w:rsid w:val="4E7A703F"/>
    <w:rsid w:val="4E881E17"/>
    <w:rsid w:val="4E8B1908"/>
    <w:rsid w:val="4E8C7B5A"/>
    <w:rsid w:val="4E91624C"/>
    <w:rsid w:val="4EA57EB3"/>
    <w:rsid w:val="4EB003E4"/>
    <w:rsid w:val="4EB62A4C"/>
    <w:rsid w:val="4EC00FAD"/>
    <w:rsid w:val="4EC61FFA"/>
    <w:rsid w:val="4EC866B8"/>
    <w:rsid w:val="4EE40EC6"/>
    <w:rsid w:val="4F193C4A"/>
    <w:rsid w:val="4F1A3FDD"/>
    <w:rsid w:val="4F231B40"/>
    <w:rsid w:val="4F2A6D95"/>
    <w:rsid w:val="4F314BCD"/>
    <w:rsid w:val="4F381BF2"/>
    <w:rsid w:val="4F443F90"/>
    <w:rsid w:val="4F844CD5"/>
    <w:rsid w:val="4F8D49C4"/>
    <w:rsid w:val="4F9843DC"/>
    <w:rsid w:val="4F9B0C94"/>
    <w:rsid w:val="4FAB1C62"/>
    <w:rsid w:val="4FAC11CC"/>
    <w:rsid w:val="4FAF7EFA"/>
    <w:rsid w:val="4FC62A8C"/>
    <w:rsid w:val="4FE20F0D"/>
    <w:rsid w:val="4FE51552"/>
    <w:rsid w:val="4FEB32EB"/>
    <w:rsid w:val="500B6D29"/>
    <w:rsid w:val="503B7E59"/>
    <w:rsid w:val="50483F54"/>
    <w:rsid w:val="50504C4B"/>
    <w:rsid w:val="50633C92"/>
    <w:rsid w:val="508425C3"/>
    <w:rsid w:val="508B1C97"/>
    <w:rsid w:val="509C6E7C"/>
    <w:rsid w:val="50A65EDA"/>
    <w:rsid w:val="50B9315A"/>
    <w:rsid w:val="50BD2F04"/>
    <w:rsid w:val="50BE16CD"/>
    <w:rsid w:val="50C11DAD"/>
    <w:rsid w:val="50FB0238"/>
    <w:rsid w:val="50FB2336"/>
    <w:rsid w:val="50FB2D75"/>
    <w:rsid w:val="51033BD7"/>
    <w:rsid w:val="51114346"/>
    <w:rsid w:val="51250BD6"/>
    <w:rsid w:val="51323F3D"/>
    <w:rsid w:val="514566E6"/>
    <w:rsid w:val="5162104E"/>
    <w:rsid w:val="5176064D"/>
    <w:rsid w:val="517D214D"/>
    <w:rsid w:val="518A27DC"/>
    <w:rsid w:val="51990092"/>
    <w:rsid w:val="51BE3164"/>
    <w:rsid w:val="51E04C60"/>
    <w:rsid w:val="51E15998"/>
    <w:rsid w:val="52073B85"/>
    <w:rsid w:val="522D3402"/>
    <w:rsid w:val="52475F8B"/>
    <w:rsid w:val="52637ABA"/>
    <w:rsid w:val="526861E8"/>
    <w:rsid w:val="528374C6"/>
    <w:rsid w:val="528B67F0"/>
    <w:rsid w:val="52C415F6"/>
    <w:rsid w:val="52D14564"/>
    <w:rsid w:val="52DE46FC"/>
    <w:rsid w:val="530323B4"/>
    <w:rsid w:val="53057EDB"/>
    <w:rsid w:val="5307508F"/>
    <w:rsid w:val="531D7740"/>
    <w:rsid w:val="533F5E6B"/>
    <w:rsid w:val="53436CB1"/>
    <w:rsid w:val="534F5FD2"/>
    <w:rsid w:val="53672AE2"/>
    <w:rsid w:val="53901E9A"/>
    <w:rsid w:val="5398055B"/>
    <w:rsid w:val="539B2C80"/>
    <w:rsid w:val="53A039CC"/>
    <w:rsid w:val="53A1505A"/>
    <w:rsid w:val="53A43C04"/>
    <w:rsid w:val="53A9454A"/>
    <w:rsid w:val="53B35B89"/>
    <w:rsid w:val="53BE6FFD"/>
    <w:rsid w:val="53F95BFF"/>
    <w:rsid w:val="5403561A"/>
    <w:rsid w:val="54063E08"/>
    <w:rsid w:val="54273E81"/>
    <w:rsid w:val="54301324"/>
    <w:rsid w:val="543437E8"/>
    <w:rsid w:val="54701DC0"/>
    <w:rsid w:val="54EA7388"/>
    <w:rsid w:val="54F73313"/>
    <w:rsid w:val="54F80955"/>
    <w:rsid w:val="550146D2"/>
    <w:rsid w:val="550762CE"/>
    <w:rsid w:val="55172916"/>
    <w:rsid w:val="551F0D2D"/>
    <w:rsid w:val="5527575F"/>
    <w:rsid w:val="552A1E7A"/>
    <w:rsid w:val="552C7A66"/>
    <w:rsid w:val="55366A71"/>
    <w:rsid w:val="555170A7"/>
    <w:rsid w:val="5563538C"/>
    <w:rsid w:val="55717AA9"/>
    <w:rsid w:val="557669E2"/>
    <w:rsid w:val="5587536D"/>
    <w:rsid w:val="558C48E3"/>
    <w:rsid w:val="55922EE3"/>
    <w:rsid w:val="559B1486"/>
    <w:rsid w:val="559B174B"/>
    <w:rsid w:val="55BC2260"/>
    <w:rsid w:val="55C537CA"/>
    <w:rsid w:val="55CE0CF4"/>
    <w:rsid w:val="55D65B5E"/>
    <w:rsid w:val="56430B7F"/>
    <w:rsid w:val="566155E4"/>
    <w:rsid w:val="568B6949"/>
    <w:rsid w:val="569750AD"/>
    <w:rsid w:val="56B22A9C"/>
    <w:rsid w:val="56C0241F"/>
    <w:rsid w:val="56CD0A43"/>
    <w:rsid w:val="56CF0B03"/>
    <w:rsid w:val="56D71CC3"/>
    <w:rsid w:val="56E802B3"/>
    <w:rsid w:val="56ED7603"/>
    <w:rsid w:val="56F74802"/>
    <w:rsid w:val="56FD3580"/>
    <w:rsid w:val="57281234"/>
    <w:rsid w:val="572F5526"/>
    <w:rsid w:val="57340D8E"/>
    <w:rsid w:val="574F20C7"/>
    <w:rsid w:val="5756456E"/>
    <w:rsid w:val="575D64CC"/>
    <w:rsid w:val="576F626A"/>
    <w:rsid w:val="577055B6"/>
    <w:rsid w:val="57726482"/>
    <w:rsid w:val="57762CC5"/>
    <w:rsid w:val="5780342F"/>
    <w:rsid w:val="579006F1"/>
    <w:rsid w:val="57AC4DC9"/>
    <w:rsid w:val="57B123DF"/>
    <w:rsid w:val="57B33005"/>
    <w:rsid w:val="57B72A76"/>
    <w:rsid w:val="57C3426C"/>
    <w:rsid w:val="57CE1F93"/>
    <w:rsid w:val="57F5621E"/>
    <w:rsid w:val="57F8000E"/>
    <w:rsid w:val="58152645"/>
    <w:rsid w:val="581C4814"/>
    <w:rsid w:val="58380DEE"/>
    <w:rsid w:val="583B614D"/>
    <w:rsid w:val="58466FCB"/>
    <w:rsid w:val="58533496"/>
    <w:rsid w:val="58705DF6"/>
    <w:rsid w:val="58770FEB"/>
    <w:rsid w:val="588743D1"/>
    <w:rsid w:val="5887701A"/>
    <w:rsid w:val="58881CA7"/>
    <w:rsid w:val="588C1B36"/>
    <w:rsid w:val="58DA7713"/>
    <w:rsid w:val="58ED59D3"/>
    <w:rsid w:val="58ED7447"/>
    <w:rsid w:val="58F06442"/>
    <w:rsid w:val="592B61C1"/>
    <w:rsid w:val="59394B1F"/>
    <w:rsid w:val="593F65D8"/>
    <w:rsid w:val="594A2AEB"/>
    <w:rsid w:val="595C281E"/>
    <w:rsid w:val="596C024D"/>
    <w:rsid w:val="596D4A2C"/>
    <w:rsid w:val="597C3D3A"/>
    <w:rsid w:val="597F7258"/>
    <w:rsid w:val="59814033"/>
    <w:rsid w:val="598C3104"/>
    <w:rsid w:val="599B3347"/>
    <w:rsid w:val="59C0439F"/>
    <w:rsid w:val="59CA776B"/>
    <w:rsid w:val="59E124D6"/>
    <w:rsid w:val="59E7658C"/>
    <w:rsid w:val="59EF4922"/>
    <w:rsid w:val="59F713C6"/>
    <w:rsid w:val="59FB55E7"/>
    <w:rsid w:val="5A103FE5"/>
    <w:rsid w:val="5A2450EA"/>
    <w:rsid w:val="5A325957"/>
    <w:rsid w:val="5A33260F"/>
    <w:rsid w:val="5A343B61"/>
    <w:rsid w:val="5A3E6FFA"/>
    <w:rsid w:val="5A680140"/>
    <w:rsid w:val="5A6B1C8A"/>
    <w:rsid w:val="5A755946"/>
    <w:rsid w:val="5A76212E"/>
    <w:rsid w:val="5A80766E"/>
    <w:rsid w:val="5A855F3F"/>
    <w:rsid w:val="5A885B39"/>
    <w:rsid w:val="5AA31298"/>
    <w:rsid w:val="5AA4622B"/>
    <w:rsid w:val="5AA770DD"/>
    <w:rsid w:val="5AA81586"/>
    <w:rsid w:val="5ABA133E"/>
    <w:rsid w:val="5ABE2233"/>
    <w:rsid w:val="5ABE6E38"/>
    <w:rsid w:val="5AC1379A"/>
    <w:rsid w:val="5AF43886"/>
    <w:rsid w:val="5AFD42EC"/>
    <w:rsid w:val="5AFD5AA5"/>
    <w:rsid w:val="5B1615D4"/>
    <w:rsid w:val="5B247D38"/>
    <w:rsid w:val="5B350055"/>
    <w:rsid w:val="5B414137"/>
    <w:rsid w:val="5B4517BC"/>
    <w:rsid w:val="5B523ED9"/>
    <w:rsid w:val="5B583BEB"/>
    <w:rsid w:val="5B89775C"/>
    <w:rsid w:val="5B9F5159"/>
    <w:rsid w:val="5BA34735"/>
    <w:rsid w:val="5BB701E0"/>
    <w:rsid w:val="5BB83E66"/>
    <w:rsid w:val="5BCE6E89"/>
    <w:rsid w:val="5BDF5D95"/>
    <w:rsid w:val="5BF53335"/>
    <w:rsid w:val="5BF60452"/>
    <w:rsid w:val="5BFE7528"/>
    <w:rsid w:val="5C0351D3"/>
    <w:rsid w:val="5C4C1BF7"/>
    <w:rsid w:val="5C942FA3"/>
    <w:rsid w:val="5C9522CF"/>
    <w:rsid w:val="5C98591B"/>
    <w:rsid w:val="5C9D193F"/>
    <w:rsid w:val="5CA36A1D"/>
    <w:rsid w:val="5CBD35D4"/>
    <w:rsid w:val="5CC6142A"/>
    <w:rsid w:val="5CCA7065"/>
    <w:rsid w:val="5CD373C4"/>
    <w:rsid w:val="5CD538DB"/>
    <w:rsid w:val="5CD8418D"/>
    <w:rsid w:val="5CE648D9"/>
    <w:rsid w:val="5CF03243"/>
    <w:rsid w:val="5D1C2AA8"/>
    <w:rsid w:val="5D1F470D"/>
    <w:rsid w:val="5D333896"/>
    <w:rsid w:val="5D497736"/>
    <w:rsid w:val="5D6E48CE"/>
    <w:rsid w:val="5DBE5856"/>
    <w:rsid w:val="5DC81396"/>
    <w:rsid w:val="5DCA5FA9"/>
    <w:rsid w:val="5DD21301"/>
    <w:rsid w:val="5DE35D38"/>
    <w:rsid w:val="5E053D08"/>
    <w:rsid w:val="5E086D76"/>
    <w:rsid w:val="5E14191A"/>
    <w:rsid w:val="5E145B91"/>
    <w:rsid w:val="5E2467F1"/>
    <w:rsid w:val="5E580CDF"/>
    <w:rsid w:val="5E5E7D91"/>
    <w:rsid w:val="5E7423B8"/>
    <w:rsid w:val="5E7A6E94"/>
    <w:rsid w:val="5E903ABB"/>
    <w:rsid w:val="5EAC3A23"/>
    <w:rsid w:val="5EE65064"/>
    <w:rsid w:val="5EF63A7D"/>
    <w:rsid w:val="5F0A7995"/>
    <w:rsid w:val="5F155949"/>
    <w:rsid w:val="5F1A2B43"/>
    <w:rsid w:val="5F3470C8"/>
    <w:rsid w:val="5F5C5FB8"/>
    <w:rsid w:val="5F6C6437"/>
    <w:rsid w:val="5F6F214A"/>
    <w:rsid w:val="5F8C1D0B"/>
    <w:rsid w:val="5F8C60D7"/>
    <w:rsid w:val="5F952235"/>
    <w:rsid w:val="5FB14851"/>
    <w:rsid w:val="5FB837BB"/>
    <w:rsid w:val="5FCB6008"/>
    <w:rsid w:val="5FF17B2D"/>
    <w:rsid w:val="60002155"/>
    <w:rsid w:val="602045A6"/>
    <w:rsid w:val="603D40D7"/>
    <w:rsid w:val="60586C19"/>
    <w:rsid w:val="605B55DE"/>
    <w:rsid w:val="605E61C5"/>
    <w:rsid w:val="60974649"/>
    <w:rsid w:val="60991EE6"/>
    <w:rsid w:val="609F6707"/>
    <w:rsid w:val="60B8658C"/>
    <w:rsid w:val="60CC405A"/>
    <w:rsid w:val="60E83CC0"/>
    <w:rsid w:val="60ED62A8"/>
    <w:rsid w:val="60F732F5"/>
    <w:rsid w:val="61083365"/>
    <w:rsid w:val="610B5122"/>
    <w:rsid w:val="611475B8"/>
    <w:rsid w:val="61332535"/>
    <w:rsid w:val="61714D75"/>
    <w:rsid w:val="617378A8"/>
    <w:rsid w:val="617D31F2"/>
    <w:rsid w:val="61800C2D"/>
    <w:rsid w:val="618361EC"/>
    <w:rsid w:val="619F599E"/>
    <w:rsid w:val="61B03F22"/>
    <w:rsid w:val="61B76844"/>
    <w:rsid w:val="61BF394A"/>
    <w:rsid w:val="61D45A52"/>
    <w:rsid w:val="61E215D8"/>
    <w:rsid w:val="61E44EB8"/>
    <w:rsid w:val="61E61FC2"/>
    <w:rsid w:val="61EB0BE3"/>
    <w:rsid w:val="61F11AF4"/>
    <w:rsid w:val="61F21FBB"/>
    <w:rsid w:val="61FC2982"/>
    <w:rsid w:val="62165C60"/>
    <w:rsid w:val="62180FB2"/>
    <w:rsid w:val="621B3775"/>
    <w:rsid w:val="62364782"/>
    <w:rsid w:val="62593D9F"/>
    <w:rsid w:val="628315FC"/>
    <w:rsid w:val="62975F54"/>
    <w:rsid w:val="62AA0157"/>
    <w:rsid w:val="62B31701"/>
    <w:rsid w:val="62BE432C"/>
    <w:rsid w:val="62BE733C"/>
    <w:rsid w:val="62C03CEC"/>
    <w:rsid w:val="62C819A9"/>
    <w:rsid w:val="630248CD"/>
    <w:rsid w:val="63051AE8"/>
    <w:rsid w:val="63070387"/>
    <w:rsid w:val="630E06E5"/>
    <w:rsid w:val="631F12B9"/>
    <w:rsid w:val="63293771"/>
    <w:rsid w:val="633151E2"/>
    <w:rsid w:val="634265E1"/>
    <w:rsid w:val="637675BB"/>
    <w:rsid w:val="638C3D00"/>
    <w:rsid w:val="6394356A"/>
    <w:rsid w:val="63A257B4"/>
    <w:rsid w:val="63A421B8"/>
    <w:rsid w:val="63A87707"/>
    <w:rsid w:val="63AE03BF"/>
    <w:rsid w:val="63B140AE"/>
    <w:rsid w:val="63B4579E"/>
    <w:rsid w:val="63C61B2C"/>
    <w:rsid w:val="63C86D15"/>
    <w:rsid w:val="63D40BE9"/>
    <w:rsid w:val="63E703DA"/>
    <w:rsid w:val="63EB37C3"/>
    <w:rsid w:val="63F35B2D"/>
    <w:rsid w:val="640A266C"/>
    <w:rsid w:val="64102431"/>
    <w:rsid w:val="64127C96"/>
    <w:rsid w:val="64191A38"/>
    <w:rsid w:val="64330CD2"/>
    <w:rsid w:val="644111F0"/>
    <w:rsid w:val="64464C65"/>
    <w:rsid w:val="644E4FAE"/>
    <w:rsid w:val="64561191"/>
    <w:rsid w:val="64596820"/>
    <w:rsid w:val="645A51F0"/>
    <w:rsid w:val="646144B1"/>
    <w:rsid w:val="64721148"/>
    <w:rsid w:val="6472739A"/>
    <w:rsid w:val="64771E53"/>
    <w:rsid w:val="647B3D4D"/>
    <w:rsid w:val="64852C29"/>
    <w:rsid w:val="64925346"/>
    <w:rsid w:val="64A37D88"/>
    <w:rsid w:val="64A5243A"/>
    <w:rsid w:val="64B038FD"/>
    <w:rsid w:val="64B36731"/>
    <w:rsid w:val="64B452BD"/>
    <w:rsid w:val="64C16862"/>
    <w:rsid w:val="64DD2A65"/>
    <w:rsid w:val="64E75799"/>
    <w:rsid w:val="64E84E8D"/>
    <w:rsid w:val="64F531DE"/>
    <w:rsid w:val="64FB113D"/>
    <w:rsid w:val="65164DA3"/>
    <w:rsid w:val="6532453E"/>
    <w:rsid w:val="65373578"/>
    <w:rsid w:val="656059DD"/>
    <w:rsid w:val="656F7435"/>
    <w:rsid w:val="65882DCF"/>
    <w:rsid w:val="6595362A"/>
    <w:rsid w:val="659B50E5"/>
    <w:rsid w:val="65C03BDE"/>
    <w:rsid w:val="65CC39A5"/>
    <w:rsid w:val="65CF2D2A"/>
    <w:rsid w:val="65D35C16"/>
    <w:rsid w:val="65E120E1"/>
    <w:rsid w:val="65F8567D"/>
    <w:rsid w:val="66013596"/>
    <w:rsid w:val="6603474E"/>
    <w:rsid w:val="660F4DA3"/>
    <w:rsid w:val="661F0F8B"/>
    <w:rsid w:val="6627720D"/>
    <w:rsid w:val="663E5786"/>
    <w:rsid w:val="66B93974"/>
    <w:rsid w:val="66BA4931"/>
    <w:rsid w:val="66D71894"/>
    <w:rsid w:val="66DE0D17"/>
    <w:rsid w:val="66E12A04"/>
    <w:rsid w:val="67130EC3"/>
    <w:rsid w:val="671C0386"/>
    <w:rsid w:val="671F124A"/>
    <w:rsid w:val="67256FD3"/>
    <w:rsid w:val="672579DC"/>
    <w:rsid w:val="674C7A2E"/>
    <w:rsid w:val="676F196F"/>
    <w:rsid w:val="677A33C6"/>
    <w:rsid w:val="6791267E"/>
    <w:rsid w:val="67925DC6"/>
    <w:rsid w:val="67967A16"/>
    <w:rsid w:val="679715F1"/>
    <w:rsid w:val="679E3484"/>
    <w:rsid w:val="67BF5C4F"/>
    <w:rsid w:val="67C25DBB"/>
    <w:rsid w:val="67C577E1"/>
    <w:rsid w:val="67C86935"/>
    <w:rsid w:val="67DF67EA"/>
    <w:rsid w:val="67EE6D37"/>
    <w:rsid w:val="67F22B46"/>
    <w:rsid w:val="67F86D1A"/>
    <w:rsid w:val="67FB4C6E"/>
    <w:rsid w:val="67FD51CC"/>
    <w:rsid w:val="68000819"/>
    <w:rsid w:val="6817628E"/>
    <w:rsid w:val="681F6961"/>
    <w:rsid w:val="682403B2"/>
    <w:rsid w:val="6835025A"/>
    <w:rsid w:val="683D585C"/>
    <w:rsid w:val="683F73E6"/>
    <w:rsid w:val="68420E31"/>
    <w:rsid w:val="68610A2F"/>
    <w:rsid w:val="68647937"/>
    <w:rsid w:val="6875280B"/>
    <w:rsid w:val="68805514"/>
    <w:rsid w:val="689F1260"/>
    <w:rsid w:val="68AE2ACF"/>
    <w:rsid w:val="68C9321C"/>
    <w:rsid w:val="68D636CE"/>
    <w:rsid w:val="69026F3E"/>
    <w:rsid w:val="69165D50"/>
    <w:rsid w:val="69206308"/>
    <w:rsid w:val="69316E2F"/>
    <w:rsid w:val="69427B3D"/>
    <w:rsid w:val="694E2071"/>
    <w:rsid w:val="69746AE3"/>
    <w:rsid w:val="69766163"/>
    <w:rsid w:val="697A3B33"/>
    <w:rsid w:val="69A979CD"/>
    <w:rsid w:val="69C11892"/>
    <w:rsid w:val="69D44760"/>
    <w:rsid w:val="69E41A55"/>
    <w:rsid w:val="69E82B0F"/>
    <w:rsid w:val="69FB1962"/>
    <w:rsid w:val="6A0740E0"/>
    <w:rsid w:val="6A21430D"/>
    <w:rsid w:val="6A252C91"/>
    <w:rsid w:val="6A3771F7"/>
    <w:rsid w:val="6A3F726A"/>
    <w:rsid w:val="6A520EC7"/>
    <w:rsid w:val="6A581808"/>
    <w:rsid w:val="6A5E3F97"/>
    <w:rsid w:val="6A6C26E4"/>
    <w:rsid w:val="6A701688"/>
    <w:rsid w:val="6A75729C"/>
    <w:rsid w:val="6A8B678C"/>
    <w:rsid w:val="6AAD1319"/>
    <w:rsid w:val="6ACA1723"/>
    <w:rsid w:val="6AE032BD"/>
    <w:rsid w:val="6AE15F3E"/>
    <w:rsid w:val="6AEC4D58"/>
    <w:rsid w:val="6AF87E20"/>
    <w:rsid w:val="6B056872"/>
    <w:rsid w:val="6B194E6B"/>
    <w:rsid w:val="6B1C5B5B"/>
    <w:rsid w:val="6B203CC9"/>
    <w:rsid w:val="6B230430"/>
    <w:rsid w:val="6B322639"/>
    <w:rsid w:val="6B3709F5"/>
    <w:rsid w:val="6B3A7059"/>
    <w:rsid w:val="6B7F02C7"/>
    <w:rsid w:val="6B813CCC"/>
    <w:rsid w:val="6B9D6AAA"/>
    <w:rsid w:val="6B9E7BDB"/>
    <w:rsid w:val="6BA73E07"/>
    <w:rsid w:val="6BA74C05"/>
    <w:rsid w:val="6BD16BCB"/>
    <w:rsid w:val="6BE26A2E"/>
    <w:rsid w:val="6C031E71"/>
    <w:rsid w:val="6C102F3E"/>
    <w:rsid w:val="6C234431"/>
    <w:rsid w:val="6C272E42"/>
    <w:rsid w:val="6C2D3162"/>
    <w:rsid w:val="6C4B29AA"/>
    <w:rsid w:val="6C4C04D0"/>
    <w:rsid w:val="6C505121"/>
    <w:rsid w:val="6C5717B0"/>
    <w:rsid w:val="6C636C38"/>
    <w:rsid w:val="6C7C0991"/>
    <w:rsid w:val="6CC22541"/>
    <w:rsid w:val="6CC509FF"/>
    <w:rsid w:val="6CCD639F"/>
    <w:rsid w:val="6CE53B50"/>
    <w:rsid w:val="6CF63401"/>
    <w:rsid w:val="6CFB0F22"/>
    <w:rsid w:val="6CFB10D7"/>
    <w:rsid w:val="6D197416"/>
    <w:rsid w:val="6D1E4526"/>
    <w:rsid w:val="6D450781"/>
    <w:rsid w:val="6D527259"/>
    <w:rsid w:val="6D52740E"/>
    <w:rsid w:val="6D5520A6"/>
    <w:rsid w:val="6D5C4743"/>
    <w:rsid w:val="6D633425"/>
    <w:rsid w:val="6D837F22"/>
    <w:rsid w:val="6D853785"/>
    <w:rsid w:val="6D883B3E"/>
    <w:rsid w:val="6D8B4F44"/>
    <w:rsid w:val="6D9143ED"/>
    <w:rsid w:val="6DB34098"/>
    <w:rsid w:val="6DB545B6"/>
    <w:rsid w:val="6DB979E0"/>
    <w:rsid w:val="6DBB76BC"/>
    <w:rsid w:val="6DD14348"/>
    <w:rsid w:val="6DE02FB4"/>
    <w:rsid w:val="6DEC1F6B"/>
    <w:rsid w:val="6E0A23F1"/>
    <w:rsid w:val="6E0F12B3"/>
    <w:rsid w:val="6E291CCC"/>
    <w:rsid w:val="6E2F1909"/>
    <w:rsid w:val="6E3467C8"/>
    <w:rsid w:val="6E3B4203"/>
    <w:rsid w:val="6E514CED"/>
    <w:rsid w:val="6E6B5930"/>
    <w:rsid w:val="6E6C4E5A"/>
    <w:rsid w:val="6E6E7F51"/>
    <w:rsid w:val="6E836FCE"/>
    <w:rsid w:val="6E896EA8"/>
    <w:rsid w:val="6EAA00F3"/>
    <w:rsid w:val="6EB24661"/>
    <w:rsid w:val="6EB563D5"/>
    <w:rsid w:val="6EC46A44"/>
    <w:rsid w:val="6EC535B4"/>
    <w:rsid w:val="6ECE1304"/>
    <w:rsid w:val="6ED92677"/>
    <w:rsid w:val="6EEB0330"/>
    <w:rsid w:val="6EFC5B8B"/>
    <w:rsid w:val="6F03625E"/>
    <w:rsid w:val="6F06705D"/>
    <w:rsid w:val="6F0C184C"/>
    <w:rsid w:val="6F1C418A"/>
    <w:rsid w:val="6F225983"/>
    <w:rsid w:val="6F24478F"/>
    <w:rsid w:val="6F2C5F93"/>
    <w:rsid w:val="6F6A17B0"/>
    <w:rsid w:val="6F764B0B"/>
    <w:rsid w:val="6F840B90"/>
    <w:rsid w:val="6FA042B4"/>
    <w:rsid w:val="6FA41ADB"/>
    <w:rsid w:val="6FE85359"/>
    <w:rsid w:val="6FED7B49"/>
    <w:rsid w:val="6FEF2BB1"/>
    <w:rsid w:val="6FFC5590"/>
    <w:rsid w:val="7014016C"/>
    <w:rsid w:val="702D0361"/>
    <w:rsid w:val="70673B2B"/>
    <w:rsid w:val="70687184"/>
    <w:rsid w:val="706908FB"/>
    <w:rsid w:val="706D1DD0"/>
    <w:rsid w:val="70774738"/>
    <w:rsid w:val="70856B87"/>
    <w:rsid w:val="708A15C7"/>
    <w:rsid w:val="70911369"/>
    <w:rsid w:val="7098054B"/>
    <w:rsid w:val="709F453F"/>
    <w:rsid w:val="70A50B23"/>
    <w:rsid w:val="70AE6124"/>
    <w:rsid w:val="70C33777"/>
    <w:rsid w:val="70C44AD9"/>
    <w:rsid w:val="70D527EE"/>
    <w:rsid w:val="70E21403"/>
    <w:rsid w:val="70F13180"/>
    <w:rsid w:val="710F55E3"/>
    <w:rsid w:val="71416302"/>
    <w:rsid w:val="715951C8"/>
    <w:rsid w:val="715B5300"/>
    <w:rsid w:val="715D33FF"/>
    <w:rsid w:val="71704BE3"/>
    <w:rsid w:val="717C738C"/>
    <w:rsid w:val="7185070D"/>
    <w:rsid w:val="7187365E"/>
    <w:rsid w:val="719637A5"/>
    <w:rsid w:val="71A32941"/>
    <w:rsid w:val="71C50B09"/>
    <w:rsid w:val="71D27F8A"/>
    <w:rsid w:val="71D40D4C"/>
    <w:rsid w:val="71FD64F5"/>
    <w:rsid w:val="72037883"/>
    <w:rsid w:val="72111911"/>
    <w:rsid w:val="721F290F"/>
    <w:rsid w:val="722241AD"/>
    <w:rsid w:val="723D0FE7"/>
    <w:rsid w:val="725400DF"/>
    <w:rsid w:val="72553024"/>
    <w:rsid w:val="725A30B6"/>
    <w:rsid w:val="726C0A86"/>
    <w:rsid w:val="727D77DF"/>
    <w:rsid w:val="72897E25"/>
    <w:rsid w:val="72CD5368"/>
    <w:rsid w:val="72DB688B"/>
    <w:rsid w:val="72EC0317"/>
    <w:rsid w:val="72ED4AB1"/>
    <w:rsid w:val="72F40829"/>
    <w:rsid w:val="730218E9"/>
    <w:rsid w:val="73042E7C"/>
    <w:rsid w:val="73122968"/>
    <w:rsid w:val="731E6976"/>
    <w:rsid w:val="731F5D5E"/>
    <w:rsid w:val="7323078C"/>
    <w:rsid w:val="733D0DD5"/>
    <w:rsid w:val="734B0695"/>
    <w:rsid w:val="7367613B"/>
    <w:rsid w:val="737C5977"/>
    <w:rsid w:val="739015EB"/>
    <w:rsid w:val="73917D4E"/>
    <w:rsid w:val="73981998"/>
    <w:rsid w:val="73A250AB"/>
    <w:rsid w:val="73A51EAE"/>
    <w:rsid w:val="73AB5788"/>
    <w:rsid w:val="73BC6B9B"/>
    <w:rsid w:val="73C51AD5"/>
    <w:rsid w:val="73C64781"/>
    <w:rsid w:val="73CF2113"/>
    <w:rsid w:val="73D44B7B"/>
    <w:rsid w:val="73DA2455"/>
    <w:rsid w:val="73E34897"/>
    <w:rsid w:val="73F87AB0"/>
    <w:rsid w:val="741E793C"/>
    <w:rsid w:val="7431366F"/>
    <w:rsid w:val="74363F40"/>
    <w:rsid w:val="74434E90"/>
    <w:rsid w:val="744F2DF0"/>
    <w:rsid w:val="745E3944"/>
    <w:rsid w:val="7461442E"/>
    <w:rsid w:val="74823F2A"/>
    <w:rsid w:val="748B3EC4"/>
    <w:rsid w:val="74A8289C"/>
    <w:rsid w:val="74AF312B"/>
    <w:rsid w:val="74BF3F20"/>
    <w:rsid w:val="74C7103C"/>
    <w:rsid w:val="74CE54BD"/>
    <w:rsid w:val="74D116DC"/>
    <w:rsid w:val="75041948"/>
    <w:rsid w:val="75095313"/>
    <w:rsid w:val="751853F4"/>
    <w:rsid w:val="752124FA"/>
    <w:rsid w:val="753C50EB"/>
    <w:rsid w:val="75664928"/>
    <w:rsid w:val="756D1BE3"/>
    <w:rsid w:val="75745736"/>
    <w:rsid w:val="75786D3D"/>
    <w:rsid w:val="75923093"/>
    <w:rsid w:val="759D5CC4"/>
    <w:rsid w:val="759F24C0"/>
    <w:rsid w:val="75C56D6B"/>
    <w:rsid w:val="75D66FE5"/>
    <w:rsid w:val="75E17C62"/>
    <w:rsid w:val="75E42AD0"/>
    <w:rsid w:val="75E83B07"/>
    <w:rsid w:val="75EA640D"/>
    <w:rsid w:val="75EC5B14"/>
    <w:rsid w:val="75EF084A"/>
    <w:rsid w:val="760836BA"/>
    <w:rsid w:val="7635099D"/>
    <w:rsid w:val="76377AFB"/>
    <w:rsid w:val="76587CCB"/>
    <w:rsid w:val="76640619"/>
    <w:rsid w:val="766712D2"/>
    <w:rsid w:val="76685F07"/>
    <w:rsid w:val="767A350B"/>
    <w:rsid w:val="7682521B"/>
    <w:rsid w:val="76A62463"/>
    <w:rsid w:val="76B173C2"/>
    <w:rsid w:val="76C40CBE"/>
    <w:rsid w:val="76CD246C"/>
    <w:rsid w:val="76D56CA6"/>
    <w:rsid w:val="76ED6DCB"/>
    <w:rsid w:val="77071BC4"/>
    <w:rsid w:val="7725204A"/>
    <w:rsid w:val="7734129A"/>
    <w:rsid w:val="77762421"/>
    <w:rsid w:val="7791329A"/>
    <w:rsid w:val="77942F41"/>
    <w:rsid w:val="779E51BB"/>
    <w:rsid w:val="77AF2BAE"/>
    <w:rsid w:val="77B03613"/>
    <w:rsid w:val="77B56B1F"/>
    <w:rsid w:val="77CB733A"/>
    <w:rsid w:val="77E74028"/>
    <w:rsid w:val="78075A8E"/>
    <w:rsid w:val="780C2CAE"/>
    <w:rsid w:val="780F09F4"/>
    <w:rsid w:val="7812577F"/>
    <w:rsid w:val="78161D16"/>
    <w:rsid w:val="78232A2D"/>
    <w:rsid w:val="782A7918"/>
    <w:rsid w:val="782F13D2"/>
    <w:rsid w:val="78370129"/>
    <w:rsid w:val="784E1AF7"/>
    <w:rsid w:val="78623417"/>
    <w:rsid w:val="78693F11"/>
    <w:rsid w:val="789065FF"/>
    <w:rsid w:val="78A3585C"/>
    <w:rsid w:val="78A90480"/>
    <w:rsid w:val="78A97D4B"/>
    <w:rsid w:val="78B91F92"/>
    <w:rsid w:val="78BF251B"/>
    <w:rsid w:val="78C16E18"/>
    <w:rsid w:val="78C7052E"/>
    <w:rsid w:val="78D41F79"/>
    <w:rsid w:val="78F30588"/>
    <w:rsid w:val="790179E9"/>
    <w:rsid w:val="79243ED0"/>
    <w:rsid w:val="792A3C45"/>
    <w:rsid w:val="79384AC1"/>
    <w:rsid w:val="794C5FB4"/>
    <w:rsid w:val="79682359"/>
    <w:rsid w:val="79962FB3"/>
    <w:rsid w:val="79A4734B"/>
    <w:rsid w:val="79AC4C43"/>
    <w:rsid w:val="79C3722A"/>
    <w:rsid w:val="79D4016E"/>
    <w:rsid w:val="79E33C4F"/>
    <w:rsid w:val="79E65AC0"/>
    <w:rsid w:val="79FB590B"/>
    <w:rsid w:val="79FF6B82"/>
    <w:rsid w:val="7A006B0A"/>
    <w:rsid w:val="7A0D5B55"/>
    <w:rsid w:val="7A364017"/>
    <w:rsid w:val="7A3F1D7D"/>
    <w:rsid w:val="7A483B71"/>
    <w:rsid w:val="7A5864EB"/>
    <w:rsid w:val="7A727DE6"/>
    <w:rsid w:val="7A8265E1"/>
    <w:rsid w:val="7A8B158A"/>
    <w:rsid w:val="7A8F2B36"/>
    <w:rsid w:val="7ABB6F4D"/>
    <w:rsid w:val="7AC3421B"/>
    <w:rsid w:val="7ADA556E"/>
    <w:rsid w:val="7AE619D3"/>
    <w:rsid w:val="7B0D52CF"/>
    <w:rsid w:val="7B156722"/>
    <w:rsid w:val="7B30127B"/>
    <w:rsid w:val="7B3A2770"/>
    <w:rsid w:val="7B3C410A"/>
    <w:rsid w:val="7B6018A2"/>
    <w:rsid w:val="7B686D42"/>
    <w:rsid w:val="7B6A54B4"/>
    <w:rsid w:val="7B713AB0"/>
    <w:rsid w:val="7B810374"/>
    <w:rsid w:val="7B841746"/>
    <w:rsid w:val="7B885B65"/>
    <w:rsid w:val="7B9A28D0"/>
    <w:rsid w:val="7BBD4F47"/>
    <w:rsid w:val="7BD66FCB"/>
    <w:rsid w:val="7BDF4EBD"/>
    <w:rsid w:val="7C0B3F04"/>
    <w:rsid w:val="7C175B4C"/>
    <w:rsid w:val="7C2A43E9"/>
    <w:rsid w:val="7C556F2D"/>
    <w:rsid w:val="7C5D20C8"/>
    <w:rsid w:val="7C6C5AC7"/>
    <w:rsid w:val="7C8E6F15"/>
    <w:rsid w:val="7CAA2001"/>
    <w:rsid w:val="7CB83DD0"/>
    <w:rsid w:val="7CC6544B"/>
    <w:rsid w:val="7CCE0618"/>
    <w:rsid w:val="7CEC1655"/>
    <w:rsid w:val="7CED2482"/>
    <w:rsid w:val="7CF91FAF"/>
    <w:rsid w:val="7D0239FF"/>
    <w:rsid w:val="7D120891"/>
    <w:rsid w:val="7D143BBA"/>
    <w:rsid w:val="7D197F5B"/>
    <w:rsid w:val="7D2A01DD"/>
    <w:rsid w:val="7D3A0587"/>
    <w:rsid w:val="7D3C0B67"/>
    <w:rsid w:val="7D3D4081"/>
    <w:rsid w:val="7D4A45B8"/>
    <w:rsid w:val="7D5E40CD"/>
    <w:rsid w:val="7D6E77E9"/>
    <w:rsid w:val="7D7E65E5"/>
    <w:rsid w:val="7D807229"/>
    <w:rsid w:val="7D821FA4"/>
    <w:rsid w:val="7DA31893"/>
    <w:rsid w:val="7DAD0637"/>
    <w:rsid w:val="7DB57369"/>
    <w:rsid w:val="7DBB4461"/>
    <w:rsid w:val="7DCA7993"/>
    <w:rsid w:val="7DCD56F2"/>
    <w:rsid w:val="7DE25387"/>
    <w:rsid w:val="7DF12C86"/>
    <w:rsid w:val="7DF93C9A"/>
    <w:rsid w:val="7DFC1D56"/>
    <w:rsid w:val="7E447259"/>
    <w:rsid w:val="7E4C5AD4"/>
    <w:rsid w:val="7E551467"/>
    <w:rsid w:val="7E566324"/>
    <w:rsid w:val="7E657E8A"/>
    <w:rsid w:val="7E7365EF"/>
    <w:rsid w:val="7E7B4494"/>
    <w:rsid w:val="7E9417C7"/>
    <w:rsid w:val="7ECF2291"/>
    <w:rsid w:val="7EEA75BB"/>
    <w:rsid w:val="7EEB0984"/>
    <w:rsid w:val="7F001CE7"/>
    <w:rsid w:val="7F0B40D9"/>
    <w:rsid w:val="7F2B2825"/>
    <w:rsid w:val="7F2F28EA"/>
    <w:rsid w:val="7F503D69"/>
    <w:rsid w:val="7F563E28"/>
    <w:rsid w:val="7F8C614C"/>
    <w:rsid w:val="7FA02BB5"/>
    <w:rsid w:val="7FAD02C4"/>
    <w:rsid w:val="7FB82010"/>
    <w:rsid w:val="7FC22B2C"/>
    <w:rsid w:val="7FD3472D"/>
    <w:rsid w:val="7FE01C69"/>
    <w:rsid w:val="7FE47E50"/>
    <w:rsid w:val="7FF16A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qFormat="1" w:uiPriority="99"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qFormat="1"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locked/>
    <w:uiPriority w:val="99"/>
    <w:pPr>
      <w:keepNext/>
      <w:wordWrap w:val="0"/>
      <w:overflowPunct w:val="0"/>
      <w:snapToGrid w:val="0"/>
      <w:spacing w:line="520" w:lineRule="exact"/>
      <w:ind w:left="0" w:firstLine="0"/>
      <w:jc w:val="left"/>
      <w:outlineLvl w:val="0"/>
    </w:pPr>
    <w:rPr>
      <w:rFonts w:ascii="Times New Roman" w:hAnsi="Times New Roman" w:eastAsia="宋体"/>
      <w:b/>
      <w:bCs/>
      <w:color w:val="000000"/>
      <w:kern w:val="44"/>
      <w:sz w:val="24"/>
      <w:szCs w:val="30"/>
    </w:rPr>
  </w:style>
  <w:style w:type="paragraph" w:styleId="3">
    <w:name w:val="heading 2"/>
    <w:basedOn w:val="1"/>
    <w:next w:val="1"/>
    <w:unhideWhenUsed/>
    <w:qFormat/>
    <w:locked/>
    <w:uiPriority w:val="0"/>
    <w:pPr>
      <w:keepNext/>
      <w:keepLines/>
      <w:spacing w:beforeLines="0" w:beforeAutospacing="0" w:afterLines="0" w:afterAutospacing="0" w:line="420" w:lineRule="exact"/>
      <w:ind w:firstLine="0" w:firstLineChars="0"/>
      <w:outlineLvl w:val="1"/>
    </w:pPr>
    <w:rPr>
      <w:rFonts w:ascii="Arial" w:hAnsi="Arial" w:eastAsia="仿宋_GB2312"/>
      <w:b/>
      <w:sz w:val="32"/>
    </w:rPr>
  </w:style>
  <w:style w:type="paragraph" w:styleId="4">
    <w:name w:val="heading 4"/>
    <w:basedOn w:val="1"/>
    <w:next w:val="1"/>
    <w:qFormat/>
    <w:locked/>
    <w:uiPriority w:val="0"/>
    <w:pPr>
      <w:keepNext/>
      <w:keepLines/>
      <w:tabs>
        <w:tab w:val="left" w:pos="0"/>
        <w:tab w:val="left" w:pos="420"/>
        <w:tab w:val="left" w:pos="425"/>
      </w:tabs>
      <w:spacing w:before="280" w:beforeLines="0" w:after="290" w:afterLines="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locked/>
    <w:uiPriority w:val="0"/>
    <w:pPr>
      <w:ind w:firstLine="420" w:firstLineChars="200"/>
    </w:pPr>
  </w:style>
  <w:style w:type="paragraph" w:customStyle="1" w:styleId="6">
    <w:name w:val="Char Char Char Char Char Char Char Char Char1 Char"/>
    <w:basedOn w:val="1"/>
    <w:next w:val="7"/>
    <w:qFormat/>
    <w:uiPriority w:val="0"/>
    <w:pPr>
      <w:spacing w:line="360" w:lineRule="auto"/>
      <w:ind w:firstLine="200" w:firstLineChars="200"/>
    </w:pPr>
    <w:rPr>
      <w:rFonts w:hAnsi="宋体" w:cs="宋体"/>
      <w:spacing w:val="5"/>
      <w:sz w:val="24"/>
    </w:rPr>
  </w:style>
  <w:style w:type="paragraph" w:styleId="7">
    <w:name w:val="Body Text First Indent"/>
    <w:basedOn w:val="8"/>
    <w:next w:val="1"/>
    <w:qFormat/>
    <w:locked/>
    <w:uiPriority w:val="0"/>
    <w:pPr>
      <w:ind w:firstLine="420" w:firstLineChars="100"/>
    </w:pPr>
  </w:style>
  <w:style w:type="paragraph" w:styleId="8">
    <w:name w:val="Body Text"/>
    <w:basedOn w:val="1"/>
    <w:link w:val="32"/>
    <w:qFormat/>
    <w:uiPriority w:val="0"/>
    <w:pPr>
      <w:widowControl/>
      <w:wordWrap/>
      <w:snapToGrid w:val="0"/>
      <w:spacing w:line="520" w:lineRule="exact"/>
      <w:ind w:right="0" w:firstLine="720" w:firstLineChars="200"/>
    </w:pPr>
    <w:rPr>
      <w:rFonts w:ascii="Times New Roman" w:hAnsi="Times New Roman" w:eastAsia="宋体"/>
      <w:kern w:val="0"/>
      <w:sz w:val="24"/>
      <w:szCs w:val="20"/>
    </w:rPr>
  </w:style>
  <w:style w:type="paragraph" w:styleId="9">
    <w:name w:val="annotation text"/>
    <w:basedOn w:val="1"/>
    <w:link w:val="31"/>
    <w:qFormat/>
    <w:uiPriority w:val="0"/>
    <w:pPr>
      <w:jc w:val="left"/>
    </w:pPr>
    <w:rPr>
      <w:kern w:val="0"/>
      <w:sz w:val="24"/>
      <w:szCs w:val="20"/>
    </w:rPr>
  </w:style>
  <w:style w:type="paragraph" w:styleId="10">
    <w:name w:val="Body Text Indent"/>
    <w:basedOn w:val="1"/>
    <w:link w:val="33"/>
    <w:qFormat/>
    <w:uiPriority w:val="0"/>
    <w:pPr>
      <w:spacing w:after="120"/>
      <w:ind w:left="420" w:leftChars="200"/>
    </w:pPr>
    <w:rPr>
      <w:kern w:val="0"/>
      <w:sz w:val="24"/>
      <w:szCs w:val="20"/>
    </w:rPr>
  </w:style>
  <w:style w:type="paragraph" w:styleId="11">
    <w:name w:val="List 2"/>
    <w:basedOn w:val="1"/>
    <w:unhideWhenUsed/>
    <w:qFormat/>
    <w:locked/>
    <w:uiPriority w:val="0"/>
    <w:pPr>
      <w:widowControl w:val="0"/>
      <w:adjustRightInd/>
      <w:snapToGrid/>
      <w:ind w:left="100" w:leftChars="200" w:hanging="200" w:hangingChars="200"/>
      <w:contextualSpacing/>
    </w:pPr>
    <w:rPr>
      <w:szCs w:val="22"/>
      <w:lang w:bidi="ar-SA"/>
    </w:rPr>
  </w:style>
  <w:style w:type="paragraph" w:styleId="12">
    <w:name w:val="Date"/>
    <w:basedOn w:val="1"/>
    <w:next w:val="1"/>
    <w:link w:val="34"/>
    <w:qFormat/>
    <w:uiPriority w:val="0"/>
    <w:pPr>
      <w:ind w:left="100" w:leftChars="2500"/>
    </w:pPr>
    <w:rPr>
      <w:kern w:val="0"/>
      <w:sz w:val="24"/>
      <w:szCs w:val="20"/>
    </w:rPr>
  </w:style>
  <w:style w:type="paragraph" w:styleId="13">
    <w:name w:val="Balloon Text"/>
    <w:basedOn w:val="1"/>
    <w:link w:val="35"/>
    <w:semiHidden/>
    <w:qFormat/>
    <w:uiPriority w:val="0"/>
    <w:rPr>
      <w:kern w:val="0"/>
      <w:sz w:val="18"/>
      <w:szCs w:val="20"/>
    </w:rPr>
  </w:style>
  <w:style w:type="paragraph" w:styleId="14">
    <w:name w:val="footer"/>
    <w:basedOn w:val="1"/>
    <w:link w:val="36"/>
    <w:qFormat/>
    <w:uiPriority w:val="99"/>
    <w:pPr>
      <w:tabs>
        <w:tab w:val="center" w:pos="4153"/>
        <w:tab w:val="right" w:pos="8306"/>
      </w:tabs>
      <w:snapToGrid w:val="0"/>
      <w:jc w:val="left"/>
    </w:pPr>
    <w:rPr>
      <w:kern w:val="0"/>
      <w:sz w:val="18"/>
      <w:szCs w:val="20"/>
    </w:rPr>
  </w:style>
  <w:style w:type="paragraph" w:styleId="15">
    <w:name w:val="header"/>
    <w:basedOn w:val="1"/>
    <w:link w:val="37"/>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List"/>
    <w:basedOn w:val="1"/>
    <w:next w:val="7"/>
    <w:qFormat/>
    <w:locked/>
    <w:uiPriority w:val="0"/>
    <w:pPr>
      <w:ind w:left="200" w:hanging="200" w:hangingChars="200"/>
    </w:pPr>
    <w:rPr>
      <w:rFonts w:ascii="Times New Roman" w:hAnsi="Times New Roman" w:eastAsia="宋体" w:cs="Times New Roman"/>
      <w:szCs w:val="24"/>
    </w:rPr>
  </w:style>
  <w:style w:type="paragraph" w:styleId="17">
    <w:name w:val="table of figures"/>
    <w:basedOn w:val="1"/>
    <w:next w:val="1"/>
    <w:unhideWhenUsed/>
    <w:qFormat/>
    <w:locked/>
    <w:uiPriority w:val="99"/>
    <w:pPr>
      <w:jc w:val="center"/>
    </w:pPr>
    <w:rPr>
      <w:sz w:val="24"/>
    </w:rPr>
  </w:style>
  <w:style w:type="paragraph" w:styleId="18">
    <w:name w:val="Normal (Web)"/>
    <w:basedOn w:val="1"/>
    <w:link w:val="38"/>
    <w:qFormat/>
    <w:uiPriority w:val="0"/>
    <w:pPr>
      <w:widowControl/>
      <w:spacing w:before="100" w:beforeAutospacing="1" w:after="100" w:afterAutospacing="1"/>
      <w:jc w:val="left"/>
    </w:pPr>
    <w:rPr>
      <w:rFonts w:ascii="宋体" w:hAnsi="宋体"/>
      <w:kern w:val="0"/>
      <w:sz w:val="24"/>
      <w:szCs w:val="20"/>
    </w:rPr>
  </w:style>
  <w:style w:type="paragraph" w:styleId="19">
    <w:name w:val="Title"/>
    <w:basedOn w:val="1"/>
    <w:next w:val="1"/>
    <w:qFormat/>
    <w:locked/>
    <w:uiPriority w:val="0"/>
    <w:pPr>
      <w:spacing w:line="240" w:lineRule="auto"/>
      <w:jc w:val="left"/>
    </w:pPr>
    <w:rPr>
      <w:rFonts w:ascii="Times New Roman" w:hAnsi="Times New Roman"/>
      <w:b/>
      <w:bCs/>
      <w:color w:val="000000"/>
      <w:szCs w:val="20"/>
    </w:rPr>
  </w:style>
  <w:style w:type="paragraph" w:styleId="20">
    <w:name w:val="annotation subject"/>
    <w:basedOn w:val="9"/>
    <w:next w:val="9"/>
    <w:link w:val="39"/>
    <w:semiHidden/>
    <w:qFormat/>
    <w:uiPriority w:val="0"/>
    <w:rPr>
      <w:b/>
      <w:sz w:val="24"/>
      <w:szCs w:val="20"/>
    </w:rPr>
  </w:style>
  <w:style w:type="paragraph" w:styleId="21">
    <w:name w:val="Body Text First Indent 2"/>
    <w:basedOn w:val="10"/>
    <w:qFormat/>
    <w:locked/>
    <w:uiPriority w:val="0"/>
    <w:pPr>
      <w:ind w:firstLine="420" w:firstLineChars="200"/>
    </w:pPr>
    <w:rPr>
      <w:rFonts w:ascii="Times New Roman" w:hAnsi="Times New Roman" w:eastAsia="宋体" w:cs="Times New Roman"/>
    </w:rPr>
  </w:style>
  <w:style w:type="table" w:styleId="23">
    <w:name w:val="Table Grid"/>
    <w:basedOn w:val="22"/>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locked/>
    <w:uiPriority w:val="0"/>
    <w:rPr>
      <w:b/>
    </w:rPr>
  </w:style>
  <w:style w:type="character" w:styleId="26">
    <w:name w:val="page number"/>
    <w:basedOn w:val="24"/>
    <w:qFormat/>
    <w:locked/>
    <w:uiPriority w:val="0"/>
  </w:style>
  <w:style w:type="character" w:styleId="27">
    <w:name w:val="annotation reference"/>
    <w:semiHidden/>
    <w:qFormat/>
    <w:uiPriority w:val="0"/>
    <w:rPr>
      <w:sz w:val="21"/>
    </w:rPr>
  </w:style>
  <w:style w:type="paragraph" w:customStyle="1" w:styleId="28">
    <w:name w:val="Default"/>
    <w:basedOn w:val="29"/>
    <w:next w:val="1"/>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29">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30">
    <w:name w:val="默认段落"/>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customStyle="1" w:styleId="31">
    <w:name w:val="批注文字 Char"/>
    <w:link w:val="9"/>
    <w:qFormat/>
    <w:locked/>
    <w:uiPriority w:val="0"/>
    <w:rPr>
      <w:rFonts w:ascii="Times New Roman" w:hAnsi="Times New Roman" w:eastAsia="宋体"/>
      <w:sz w:val="24"/>
    </w:rPr>
  </w:style>
  <w:style w:type="character" w:customStyle="1" w:styleId="32">
    <w:name w:val="正文文本 Char"/>
    <w:link w:val="8"/>
    <w:qFormat/>
    <w:locked/>
    <w:uiPriority w:val="0"/>
    <w:rPr>
      <w:rFonts w:ascii="Times New Roman" w:hAnsi="Times New Roman" w:eastAsia="宋体"/>
      <w:sz w:val="24"/>
    </w:rPr>
  </w:style>
  <w:style w:type="character" w:customStyle="1" w:styleId="33">
    <w:name w:val="正文文本缩进 Char"/>
    <w:link w:val="10"/>
    <w:semiHidden/>
    <w:qFormat/>
    <w:locked/>
    <w:uiPriority w:val="0"/>
    <w:rPr>
      <w:rFonts w:ascii="Times New Roman" w:hAnsi="Times New Roman" w:eastAsia="宋体"/>
      <w:sz w:val="24"/>
    </w:rPr>
  </w:style>
  <w:style w:type="character" w:customStyle="1" w:styleId="34">
    <w:name w:val="日期 Char"/>
    <w:link w:val="12"/>
    <w:qFormat/>
    <w:locked/>
    <w:uiPriority w:val="0"/>
    <w:rPr>
      <w:rFonts w:ascii="Times New Roman" w:hAnsi="Times New Roman" w:eastAsia="宋体"/>
      <w:sz w:val="24"/>
    </w:rPr>
  </w:style>
  <w:style w:type="character" w:customStyle="1" w:styleId="35">
    <w:name w:val="批注框文本 Char"/>
    <w:link w:val="13"/>
    <w:semiHidden/>
    <w:qFormat/>
    <w:locked/>
    <w:uiPriority w:val="0"/>
    <w:rPr>
      <w:rFonts w:ascii="Times New Roman" w:hAnsi="Times New Roman" w:eastAsia="宋体"/>
      <w:sz w:val="18"/>
    </w:rPr>
  </w:style>
  <w:style w:type="character" w:customStyle="1" w:styleId="36">
    <w:name w:val="页脚 Char"/>
    <w:link w:val="14"/>
    <w:qFormat/>
    <w:locked/>
    <w:uiPriority w:val="99"/>
    <w:rPr>
      <w:sz w:val="18"/>
    </w:rPr>
  </w:style>
  <w:style w:type="character" w:customStyle="1" w:styleId="37">
    <w:name w:val="页眉 Char"/>
    <w:link w:val="15"/>
    <w:qFormat/>
    <w:locked/>
    <w:uiPriority w:val="0"/>
    <w:rPr>
      <w:sz w:val="18"/>
    </w:rPr>
  </w:style>
  <w:style w:type="character" w:customStyle="1" w:styleId="38">
    <w:name w:val="普通(网站) Char"/>
    <w:link w:val="18"/>
    <w:qFormat/>
    <w:locked/>
    <w:uiPriority w:val="0"/>
    <w:rPr>
      <w:rFonts w:ascii="宋体" w:hAnsi="宋体" w:eastAsia="宋体"/>
      <w:sz w:val="24"/>
    </w:rPr>
  </w:style>
  <w:style w:type="character" w:customStyle="1" w:styleId="39">
    <w:name w:val="批注主题 Char"/>
    <w:link w:val="20"/>
    <w:semiHidden/>
    <w:qFormat/>
    <w:locked/>
    <w:uiPriority w:val="0"/>
    <w:rPr>
      <w:rFonts w:ascii="Times New Roman" w:hAnsi="Times New Roman" w:eastAsia="宋体"/>
      <w:b/>
      <w:kern w:val="2"/>
      <w:sz w:val="24"/>
    </w:rPr>
  </w:style>
  <w:style w:type="paragraph" w:customStyle="1" w:styleId="40">
    <w:name w:val="111表格内"/>
    <w:basedOn w:val="1"/>
    <w:link w:val="41"/>
    <w:qFormat/>
    <w:uiPriority w:val="0"/>
    <w:pPr>
      <w:wordWrap w:val="0"/>
      <w:jc w:val="center"/>
    </w:pPr>
    <w:rPr>
      <w:rFonts w:ascii="Times New Roman" w:hAnsi="Times New Roman" w:eastAsia="宋体"/>
      <w:szCs w:val="21"/>
    </w:rPr>
  </w:style>
  <w:style w:type="character" w:customStyle="1" w:styleId="41">
    <w:name w:val="表格里面啊啊啊啊 Char"/>
    <w:link w:val="40"/>
    <w:qFormat/>
    <w:uiPriority w:val="0"/>
    <w:rPr>
      <w:rFonts w:ascii="Times New Roman" w:hAnsi="Times New Roman" w:eastAsia="宋体" w:cs="Times New Roman"/>
      <w:szCs w:val="21"/>
    </w:rPr>
  </w:style>
  <w:style w:type="paragraph" w:customStyle="1" w:styleId="42">
    <w:name w:val="111表头"/>
    <w:basedOn w:val="1"/>
    <w:link w:val="43"/>
    <w:qFormat/>
    <w:uiPriority w:val="0"/>
    <w:pPr>
      <w:adjustRightInd w:val="0"/>
      <w:snapToGrid w:val="0"/>
      <w:jc w:val="center"/>
    </w:pPr>
    <w:rPr>
      <w:rFonts w:hint="eastAsia" w:ascii="Times New Roman" w:hAnsi="Times New Roman" w:eastAsia="宋体" w:cs="宋体"/>
      <w:b/>
      <w:szCs w:val="21"/>
    </w:rPr>
  </w:style>
  <w:style w:type="character" w:customStyle="1" w:styleId="43">
    <w:name w:val="111表头 Char"/>
    <w:link w:val="42"/>
    <w:qFormat/>
    <w:uiPriority w:val="0"/>
    <w:rPr>
      <w:rFonts w:hint="eastAsia" w:ascii="Times New Roman" w:hAnsi="Times New Roman" w:eastAsia="宋体" w:cs="宋体"/>
      <w:b/>
      <w:szCs w:val="21"/>
    </w:rPr>
  </w:style>
  <w:style w:type="paragraph" w:customStyle="1" w:styleId="44">
    <w:name w:val="正文格式啊啊啊啊"/>
    <w:basedOn w:val="1"/>
    <w:qFormat/>
    <w:uiPriority w:val="0"/>
    <w:pPr>
      <w:wordWrap w:val="0"/>
      <w:adjustRightInd w:val="0"/>
      <w:snapToGrid w:val="0"/>
      <w:spacing w:line="520" w:lineRule="exact"/>
      <w:ind w:firstLine="720" w:firstLineChars="200"/>
      <w:jc w:val="left"/>
    </w:pPr>
    <w:rPr>
      <w:rFonts w:ascii="Times New Roman" w:hAnsi="Times New Roman" w:eastAsia="宋体" w:cs="宋体"/>
      <w:kern w:val="0"/>
      <w:sz w:val="24"/>
    </w:rPr>
  </w:style>
  <w:style w:type="paragraph" w:customStyle="1" w:styleId="45">
    <w:name w:val="正文啊啊"/>
    <w:link w:val="68"/>
    <w:qFormat/>
    <w:uiPriority w:val="0"/>
    <w:pPr>
      <w:widowControl w:val="0"/>
      <w:spacing w:line="520" w:lineRule="exact"/>
      <w:ind w:firstLine="720" w:firstLineChars="200"/>
      <w:jc w:val="both"/>
    </w:pPr>
    <w:rPr>
      <w:rFonts w:ascii="Times New Roman" w:hAnsi="Times New Roman" w:eastAsia="宋体" w:cs="宋体"/>
      <w:kern w:val="2"/>
      <w:sz w:val="24"/>
      <w:szCs w:val="24"/>
      <w:lang w:val="en-US" w:eastAsia="zh-CN" w:bidi="ar-SA"/>
    </w:rPr>
  </w:style>
  <w:style w:type="paragraph" w:customStyle="1" w:styleId="46">
    <w:name w:val="表格"/>
    <w:basedOn w:val="1"/>
    <w:next w:val="1"/>
    <w:qFormat/>
    <w:uiPriority w:val="0"/>
    <w:pPr>
      <w:adjustRightInd w:val="0"/>
      <w:snapToGrid w:val="0"/>
      <w:spacing w:line="240" w:lineRule="auto"/>
      <w:jc w:val="center"/>
    </w:pPr>
    <w:rPr>
      <w:rFonts w:ascii="Times New Roman" w:hAnsi="Times New Roman" w:eastAsia="宋体"/>
      <w:kern w:val="0"/>
      <w:szCs w:val="21"/>
    </w:rPr>
  </w:style>
  <w:style w:type="character" w:customStyle="1" w:styleId="47">
    <w:name w:val="A正文啊啊啊啊啊 Char"/>
    <w:link w:val="48"/>
    <w:qFormat/>
    <w:uiPriority w:val="0"/>
    <w:rPr>
      <w:rFonts w:ascii="Times New Roman" w:hAnsi="Times New Roman" w:eastAsia="宋体" w:cs="宋体"/>
      <w:sz w:val="24"/>
      <w:szCs w:val="24"/>
    </w:rPr>
  </w:style>
  <w:style w:type="paragraph" w:customStyle="1" w:styleId="48">
    <w:name w:val="A正文啊啊啊啊啊"/>
    <w:basedOn w:val="1"/>
    <w:link w:val="47"/>
    <w:qFormat/>
    <w:uiPriority w:val="0"/>
    <w:pPr>
      <w:spacing w:line="520" w:lineRule="exact"/>
      <w:ind w:firstLine="720" w:firstLineChars="200"/>
    </w:pPr>
    <w:rPr>
      <w:rFonts w:ascii="Times New Roman" w:hAnsi="Times New Roman" w:eastAsia="宋体" w:cs="宋体"/>
      <w:sz w:val="24"/>
      <w:szCs w:val="24"/>
    </w:rPr>
  </w:style>
  <w:style w:type="paragraph" w:customStyle="1" w:styleId="49">
    <w:name w:val="小标题呗"/>
    <w:basedOn w:val="1"/>
    <w:qFormat/>
    <w:uiPriority w:val="0"/>
    <w:pPr>
      <w:widowControl/>
      <w:wordWrap w:val="0"/>
      <w:snapToGrid w:val="0"/>
      <w:spacing w:line="520" w:lineRule="exact"/>
      <w:jc w:val="left"/>
    </w:pPr>
    <w:rPr>
      <w:rFonts w:hint="eastAsia" w:ascii="Times New Roman" w:hAnsi="Times New Roman" w:eastAsia="宋体"/>
      <w:b/>
      <w:kern w:val="0"/>
      <w:sz w:val="24"/>
      <w:szCs w:val="24"/>
    </w:rPr>
  </w:style>
  <w:style w:type="paragraph" w:customStyle="1" w:styleId="50">
    <w:name w:val="正文格式"/>
    <w:basedOn w:val="1"/>
    <w:qFormat/>
    <w:uiPriority w:val="0"/>
    <w:pPr>
      <w:wordWrap w:val="0"/>
      <w:spacing w:line="520" w:lineRule="exact"/>
      <w:ind w:firstLine="720" w:firstLineChars="200"/>
    </w:pPr>
    <w:rPr>
      <w:rFonts w:hint="eastAsia" w:ascii="Times New Roman" w:hAnsi="Times New Roman" w:eastAsia="宋体"/>
      <w:sz w:val="24"/>
    </w:rPr>
  </w:style>
  <w:style w:type="paragraph" w:customStyle="1" w:styleId="51">
    <w:name w:val="正文啊啊啊"/>
    <w:link w:val="69"/>
    <w:qFormat/>
    <w:uiPriority w:val="0"/>
    <w:pPr>
      <w:widowControl w:val="0"/>
      <w:wordWrap w:val="0"/>
      <w:adjustRightInd w:val="0"/>
      <w:snapToGrid w:val="0"/>
      <w:spacing w:line="520" w:lineRule="exact"/>
      <w:ind w:firstLine="720" w:firstLineChars="200"/>
      <w:jc w:val="left"/>
    </w:pPr>
    <w:rPr>
      <w:rFonts w:hint="eastAsia" w:ascii="Times New Roman" w:hAnsi="Times New Roman" w:eastAsia="宋体" w:cs="宋体"/>
      <w:bCs/>
      <w:kern w:val="2"/>
      <w:sz w:val="24"/>
      <w:szCs w:val="24"/>
      <w:lang w:val="en-US" w:eastAsia="zh-CN" w:bidi="ar-SA"/>
    </w:rPr>
  </w:style>
  <w:style w:type="character" w:customStyle="1" w:styleId="52">
    <w:name w:val="标题 1 Char1"/>
    <w:link w:val="2"/>
    <w:qFormat/>
    <w:uiPriority w:val="99"/>
    <w:rPr>
      <w:rFonts w:ascii="Times New Roman" w:hAnsi="Times New Roman" w:eastAsia="宋体"/>
      <w:b/>
      <w:bCs/>
      <w:color w:val="000000"/>
      <w:kern w:val="44"/>
      <w:sz w:val="24"/>
      <w:szCs w:val="30"/>
    </w:rPr>
  </w:style>
  <w:style w:type="paragraph" w:customStyle="1" w:styleId="53">
    <w:name w:val="1正文"/>
    <w:link w:val="64"/>
    <w:qFormat/>
    <w:uiPriority w:val="0"/>
    <w:pPr>
      <w:widowControl w:val="0"/>
      <w:autoSpaceDE/>
      <w:autoSpaceDN/>
      <w:adjustRightInd/>
      <w:spacing w:line="520" w:lineRule="exact"/>
      <w:ind w:firstLine="720" w:firstLineChars="200"/>
      <w:jc w:val="both"/>
      <w:textAlignment w:val="baseline"/>
    </w:pPr>
    <w:rPr>
      <w:rFonts w:ascii="Times New Roman" w:hAnsi="Times New Roman" w:eastAsia="宋体" w:cs="Times New Roman"/>
      <w:sz w:val="24"/>
      <w:lang w:val="en-US" w:eastAsia="zh-CN" w:bidi="ar-SA"/>
    </w:rPr>
  </w:style>
  <w:style w:type="paragraph" w:customStyle="1" w:styleId="54">
    <w:name w:val="正文1"/>
    <w:basedOn w:val="5"/>
    <w:next w:val="1"/>
    <w:qFormat/>
    <w:uiPriority w:val="0"/>
    <w:rPr>
      <w:szCs w:val="20"/>
    </w:rPr>
  </w:style>
  <w:style w:type="paragraph" w:customStyle="1" w:styleId="55">
    <w:name w:val="表头"/>
    <w:basedOn w:val="1"/>
    <w:link w:val="66"/>
    <w:qFormat/>
    <w:uiPriority w:val="0"/>
    <w:pPr>
      <w:adjustRightInd w:val="0"/>
      <w:snapToGrid w:val="0"/>
      <w:spacing w:line="240" w:lineRule="auto"/>
      <w:jc w:val="center"/>
    </w:pPr>
    <w:rPr>
      <w:rFonts w:ascii="宋体" w:hAnsi="宋体" w:eastAsia="宋体"/>
      <w:b/>
      <w:kern w:val="0"/>
      <w:szCs w:val="20"/>
    </w:rPr>
  </w:style>
  <w:style w:type="paragraph" w:customStyle="1" w:styleId="56">
    <w:name w:val="表头啊啊啊啊"/>
    <w:basedOn w:val="1"/>
    <w:qFormat/>
    <w:uiPriority w:val="0"/>
    <w:pPr>
      <w:adjustRightInd w:val="0"/>
      <w:snapToGrid w:val="0"/>
      <w:spacing w:line="240" w:lineRule="auto"/>
      <w:jc w:val="center"/>
    </w:pPr>
    <w:rPr>
      <w:rFonts w:hint="eastAsia" w:ascii="Times New Roman" w:hAnsi="Times New Roman" w:eastAsia="宋体" w:cs="宋体"/>
      <w:b/>
      <w:bCs/>
      <w:color w:val="auto"/>
      <w:szCs w:val="21"/>
    </w:rPr>
  </w:style>
  <w:style w:type="paragraph" w:customStyle="1" w:styleId="57">
    <w:name w:val="表格里面啊啊啊啊"/>
    <w:basedOn w:val="1"/>
    <w:qFormat/>
    <w:uiPriority w:val="0"/>
    <w:pPr>
      <w:jc w:val="center"/>
    </w:pPr>
    <w:rPr>
      <w:rFonts w:ascii="Times New Roman" w:hAnsi="Times New Roman" w:eastAsia="宋体" w:cs="Times New Roman"/>
      <w:szCs w:val="21"/>
    </w:rPr>
  </w:style>
  <w:style w:type="paragraph" w:customStyle="1" w:styleId="58">
    <w:name w:val="表格内文字"/>
    <w:qFormat/>
    <w:uiPriority w:val="0"/>
    <w:pPr>
      <w:bidi w:val="0"/>
      <w:spacing w:line="240" w:lineRule="auto"/>
      <w:ind w:firstLine="0" w:firstLineChars="0"/>
      <w:jc w:val="center"/>
    </w:pPr>
    <w:rPr>
      <w:rFonts w:ascii="Times New Roman" w:hAnsi="Times New Roman" w:eastAsia="宋体" w:cs="Times New Roman"/>
      <w:kern w:val="2"/>
      <w:sz w:val="21"/>
      <w:lang w:val="en-US" w:eastAsia="zh-CN" w:bidi="ar-SA"/>
    </w:rPr>
  </w:style>
  <w:style w:type="paragraph" w:customStyle="1" w:styleId="59">
    <w:name w:val="A小标题啊啊啊啊啊"/>
    <w:basedOn w:val="1"/>
    <w:qFormat/>
    <w:uiPriority w:val="0"/>
    <w:pPr>
      <w:spacing w:line="520" w:lineRule="exact"/>
      <w:jc w:val="left"/>
    </w:pPr>
    <w:rPr>
      <w:rFonts w:ascii="Times New Roman" w:hAnsi="Times New Roman" w:cs="宋体"/>
      <w:b/>
      <w:bCs/>
      <w:kern w:val="0"/>
      <w:sz w:val="24"/>
      <w:szCs w:val="24"/>
    </w:rPr>
  </w:style>
  <w:style w:type="paragraph" w:customStyle="1" w:styleId="60">
    <w:name w:val="A表格内文字啊啊啊"/>
    <w:basedOn w:val="1"/>
    <w:qFormat/>
    <w:uiPriority w:val="0"/>
    <w:pPr>
      <w:jc w:val="center"/>
    </w:pPr>
    <w:rPr>
      <w:rFonts w:ascii="Times New Roman" w:hAnsi="Times New Roman" w:cs="宋体"/>
      <w:kern w:val="0"/>
      <w:sz w:val="21"/>
      <w:szCs w:val="21"/>
    </w:rPr>
  </w:style>
  <w:style w:type="paragraph" w:customStyle="1" w:styleId="61">
    <w:name w:val="表内文字啊啊啊"/>
    <w:unhideWhenUsed/>
    <w:qFormat/>
    <w:uiPriority w:val="0"/>
    <w:pPr>
      <w:widowControl w:val="0"/>
      <w:adjustRightInd w:val="0"/>
      <w:snapToGrid w:val="0"/>
      <w:spacing w:beforeLines="0" w:afterLines="0"/>
      <w:jc w:val="center"/>
    </w:pPr>
    <w:rPr>
      <w:rFonts w:hint="eastAsia" w:ascii="Times New Roman" w:hAnsi="Times New Roman" w:eastAsia="宋体" w:cs="宋体"/>
      <w:color w:val="auto"/>
      <w:kern w:val="2"/>
      <w:sz w:val="21"/>
      <w:szCs w:val="21"/>
      <w:lang w:val="en-US" w:eastAsia="zh-CN" w:bidi="ar-SA"/>
    </w:rPr>
  </w:style>
  <w:style w:type="paragraph" w:customStyle="1" w:styleId="62">
    <w:name w:val="小标题啊啊啊啊啊"/>
    <w:basedOn w:val="1"/>
    <w:qFormat/>
    <w:uiPriority w:val="0"/>
    <w:pPr>
      <w:adjustRightInd w:val="0"/>
      <w:snapToGrid w:val="0"/>
      <w:spacing w:line="520" w:lineRule="exact"/>
      <w:jc w:val="left"/>
    </w:pPr>
    <w:rPr>
      <w:rFonts w:ascii="Times New Roman" w:hAnsi="Times New Roman" w:eastAsia="宋体" w:cs="宋体"/>
      <w:b/>
      <w:kern w:val="0"/>
      <w:sz w:val="24"/>
    </w:rPr>
  </w:style>
  <w:style w:type="paragraph" w:customStyle="1" w:styleId="63">
    <w:name w:val="表头啊啊啊啊啊"/>
    <w:basedOn w:val="1"/>
    <w:qFormat/>
    <w:uiPriority w:val="0"/>
    <w:pPr>
      <w:jc w:val="center"/>
    </w:pPr>
    <w:rPr>
      <w:rFonts w:ascii="Times New Roman" w:hAnsi="Times New Roman" w:eastAsia="宋体" w:cs="Times New Roman"/>
      <w:b/>
      <w:bCs/>
      <w:szCs w:val="21"/>
    </w:rPr>
  </w:style>
  <w:style w:type="character" w:customStyle="1" w:styleId="64">
    <w:name w:val="1正文 Char"/>
    <w:link w:val="53"/>
    <w:qFormat/>
    <w:uiPriority w:val="0"/>
    <w:rPr>
      <w:rFonts w:ascii="Times New Roman" w:hAnsi="Times New Roman" w:eastAsia="宋体" w:cs="Times New Roman"/>
      <w:sz w:val="24"/>
      <w:lang w:val="en-US" w:eastAsia="zh-CN" w:bidi="ar-SA"/>
    </w:rPr>
  </w:style>
  <w:style w:type="paragraph" w:styleId="65">
    <w:name w:val="No Spacing"/>
    <w:basedOn w:val="16"/>
    <w:next w:val="1"/>
    <w:qFormat/>
    <w:uiPriority w:val="1"/>
    <w:pPr>
      <w:spacing w:line="240" w:lineRule="auto"/>
      <w:ind w:left="0" w:firstLine="0" w:firstLineChars="0"/>
      <w:jc w:val="center"/>
    </w:pPr>
    <w:rPr>
      <w:sz w:val="21"/>
    </w:rPr>
  </w:style>
  <w:style w:type="character" w:customStyle="1" w:styleId="66">
    <w:name w:val="表头 Char"/>
    <w:link w:val="55"/>
    <w:qFormat/>
    <w:uiPriority w:val="0"/>
    <w:rPr>
      <w:rFonts w:ascii="宋体" w:hAnsi="宋体" w:eastAsia="宋体"/>
      <w:b/>
      <w:kern w:val="0"/>
      <w:szCs w:val="20"/>
    </w:rPr>
  </w:style>
  <w:style w:type="paragraph" w:customStyle="1" w:styleId="67">
    <w:name w:val="小标题啊啊啊"/>
    <w:qFormat/>
    <w:uiPriority w:val="0"/>
    <w:pPr>
      <w:widowControl w:val="0"/>
      <w:adjustRightInd w:val="0"/>
      <w:snapToGrid w:val="0"/>
      <w:spacing w:line="520" w:lineRule="exact"/>
      <w:jc w:val="left"/>
    </w:pPr>
    <w:rPr>
      <w:rFonts w:ascii="Times New Roman" w:hAnsi="Times New Roman" w:eastAsia="宋体" w:cs="宋体"/>
      <w:b/>
      <w:bCs/>
      <w:color w:val="auto"/>
      <w:kern w:val="2"/>
      <w:sz w:val="24"/>
      <w:szCs w:val="24"/>
      <w:lang w:val="en-US" w:eastAsia="zh-CN" w:bidi="ar-SA"/>
    </w:rPr>
  </w:style>
  <w:style w:type="character" w:customStyle="1" w:styleId="68">
    <w:name w:val="正文啊啊 Char"/>
    <w:link w:val="45"/>
    <w:qFormat/>
    <w:uiPriority w:val="0"/>
    <w:rPr>
      <w:rFonts w:ascii="Times New Roman" w:hAnsi="Times New Roman" w:eastAsia="宋体" w:cs="宋体"/>
      <w:kern w:val="2"/>
      <w:sz w:val="24"/>
      <w:szCs w:val="24"/>
      <w:lang w:val="en-US" w:eastAsia="zh-CN" w:bidi="ar-SA"/>
    </w:rPr>
  </w:style>
  <w:style w:type="character" w:customStyle="1" w:styleId="69">
    <w:name w:val="正文啊啊啊 Char"/>
    <w:link w:val="51"/>
    <w:qFormat/>
    <w:uiPriority w:val="0"/>
    <w:rPr>
      <w:rFonts w:hint="eastAsia" w:ascii="Times New Roman" w:hAnsi="Times New Roman" w:eastAsia="宋体" w:cs="宋体"/>
      <w:bCs/>
      <w:kern w:val="2"/>
      <w:sz w:val="24"/>
      <w:szCs w:val="24"/>
      <w:lang w:val="en-US" w:eastAsia="zh-CN" w:bidi="ar-SA"/>
    </w:rPr>
  </w:style>
  <w:style w:type="paragraph" w:customStyle="1" w:styleId="70">
    <w:name w:val="小标题啊啊"/>
    <w:qFormat/>
    <w:uiPriority w:val="0"/>
    <w:pPr>
      <w:widowControl w:val="0"/>
      <w:spacing w:line="520" w:lineRule="exact"/>
      <w:jc w:val="both"/>
    </w:pPr>
    <w:rPr>
      <w:rFonts w:ascii="Times New Roman" w:hAnsi="Times New Roman" w:eastAsia="宋体" w:cs="宋体"/>
      <w:b/>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k3NDE4MjA0MTY1IiwKCSJHcm91cElkIiA6ICI2MDkzMDQ4NDEiLAoJIkltYWdlIiA6ICJpVkJPUncwS0dnb0FBQUFOU1VoRVVnQUFBL1lBQUFMekNBWUFBQUM3b3B4VEFBQUFBWE5TUjBJQXJzNGM2UUFBSUFCSlJFRlVlSnpzM1htWUhGVzVQL0R2ZTZwbkRabVlWWkJSQnhoTW1HUzY2MVNycUlCeUZSQlVRRUJSWkZOUVhGQkFVRkZRdklCZXZTN0lGUlZYQk53RkJRRUZoUitMZ0N3eVZUV2RaQ0FZTU9vSWhDVWhDVWxtNlQ3djc0K3VqcDFPOXl6SlRHWW0rWDZlSjg5MFY1MnFPdFV6SjExdjFUbnZBW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"/>
    </extobj>
    <extobj name="F360BE8B-6686-4F3D-AEAF-501FE73E4058-2">
      <extobjdata type="F360BE8B-6686-4F3D-AEAF-501FE73E4058" data="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"/>
    </extobj>
  </extobjs>
</s:customData>
</file>

<file path=customXml/item2.xml><?xml version="1.0" encoding="utf-8"?>
<contractReview xmlns="http://schemas.wps.cn/vas-ai-hub/contract-review">
  <reviewItems>
    <reviewItem>
      <errorID>8bc467ee-da2e-4aa7-9597-6fbff6300326</errorID>
      <errorWord>：</errorWord>
      <group>L1_Format</group>
      <groupName>格式问题</groupName>
      <ability>L2_HalfPunc</ability>
      <abilityName>全半角检查</abilityName>
      <candidateList>
        <item>:</item>
      </candidateList>
      <explain>文本全半角错误。</explain>
      <paraID> 8BB48E7</paraID>
      <start>1</start>
      <end>2</end>
      <status>unmodified</status>
      <modifiedWord/>
      <trackRevisions>false</trackRevisions>
    </reviewItem>
    <reviewItem>
      <errorID>4c04d1e8-94df-4942-bd26-6ae8f58215a7</errorID>
      <errorWord>，</errorWord>
      <group>L1_Format</group>
      <groupName>格式问题</groupName>
      <ability>L2_HalfPunc</ability>
      <abilityName>全半角检查</abilityName>
      <candidateList>
        <item>, </item>
      </candidateList>
      <explain>文本全半角错误。</explain>
      <paraID> 8BB48E7</paraID>
      <start>15</start>
      <end>16</end>
      <status>unmodified</status>
      <modifiedWord/>
      <trackRevisions>false</trackRevisions>
    </reviewItem>
    <reviewItem>
      <errorID>af7e5891-8ba0-4da2-a881-e914917de390</errorID>
      <errorWord>：</errorWord>
      <group>L1_Format</group>
      <groupName>格式问题</groupName>
      <ability>L2_HalfPunc</ability>
      <abilityName>全半角检查</abilityName>
      <candidateList>
        <item>:</item>
      </candidateList>
      <explain>文本全半角错误。</explain>
      <paraID> 8BB48E7</paraID>
      <start>17</start>
      <end>18</end>
      <status>unmodified</status>
      <modifiedWord/>
      <trackRevisions>false</trackRevisions>
    </reviewItem>
    <reviewItem>
      <errorID>e1585180-f1da-4cad-935e-eb127b0dfa02</errorID>
      <errorWord>-</errorWord>
      <group>L1_Format</group>
      <groupName>格式问题</groupName>
      <ability>L2_HalfPunc</ability>
      <abilityName>全半角检查</abilityName>
      <candidateList>
        <item>－</item>
      </candidateList>
      <explain>文本全半角错误。</explain>
      <paraID>54D004EA</paraID>
      <start>15</start>
      <end>16</end>
      <status>unmodified</status>
      <modifiedWord/>
      <trackRevisions>false</trackRevisions>
    </reviewItem>
    <reviewItem>
      <errorID>006c43a3-7a73-46dd-b1a9-6b7f22bda648</errorID>
      <errorWord>-</errorWord>
      <group>L1_Format</group>
      <groupName>格式问题</groupName>
      <ability>L2_HalfPunc</ability>
      <abilityName>全半角检查</abilityName>
      <candidateList>
        <item>－</item>
      </candidateList>
      <explain>文本全半角错误。</explain>
      <paraID>54D004EA</paraID>
      <start>33</start>
      <end>34</end>
      <status>unmodified</status>
      <modifiedWord/>
      <trackRevisions>false</trackRevisions>
    </reviewItem>
    <reviewItem>
      <errorID>66d50660-5dc1-45b8-bbf4-f99234aa0896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34A9B3D6</paraID>
      <start>66</start>
      <end>67</end>
      <status>unmodified</status>
      <modifiedWord/>
      <trackRevisions>false</trackRevisions>
    </reviewItem>
    <reviewItem>
      <errorID>5c3ca7f3-05cb-44e6-8624-0ced12791abd</errorID>
      <errorWord>古</errorWord>
      <group>L1_Word</group>
      <groupName>字词问题</groupName>
      <ability>L2_Typo</ability>
      <abilityName>字词错误</abilityName>
      <candidateList>
        <item>古族</item>
      </candidateList>
      <explain/>
      <paraID> 2222832</paraID>
      <start>6</start>
      <end>7</end>
      <status>unmodified</status>
      <modifiedWord/>
      <trackRevisions>false</trackRevisions>
    </reviewItem>
    <reviewItem>
      <errorID>78dad3d7-14a7-4cc1-b0f7-ec3cf07cdfdf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D3DEAA9</paraID>
      <start>24</start>
      <end>25</end>
      <status>unmodified</status>
      <modifiedWord/>
      <trackRevisions>false</trackRevisions>
    </reviewItem>
    <reviewItem>
      <errorID>2e1fccdf-34f7-4d84-857b-8c462a049593</errorID>
      <errorWord>国务院关于印发空气质量持续改善行动计划的通知</errorWord>
      <group>L1_Other</group>
      <groupName>其他问题</groupName>
      <ability>L2_UserTypo</ability>
      <abilityName>自定义错误</abilityName>
      <candidateList>
        <item>国务院关于印发《空气质量持续改善行动计划》的通知</item>
      </candidateList>
      <explain>来自自定义错词库。</explain>
      <paraID>49FFAF70</paraID>
      <start>1</start>
      <end>23</end>
      <status>unmodified</status>
      <modifiedWord/>
      <trackRevisions>false</trackRevisions>
    </reviewItem>
    <reviewItem>
      <errorID>e1d47218-1e94-4844-a643-0a8b8ca66ba9</errorID>
      <errorWord>-</errorWord>
      <group>L1_Format</group>
      <groupName>格式问题</groupName>
      <ability>L2_HalfPunc</ability>
      <abilityName>全半角检查</abilityName>
      <candidateList>
        <item>－</item>
      </candidateList>
      <explain>文本全半角错误。</explain>
      <paraID>75567BD5</paraID>
      <start>84</start>
      <end>85</end>
      <status>unmodified</status>
      <modifiedWord/>
      <trackRevisions>false</trackRevisions>
    </reviewItem>
    <reviewItem>
      <errorID>01126b1b-bdb0-4cc3-8e0d-849afc574c7d</errorID>
      <errorWord>-</errorWord>
      <group>L1_Format</group>
      <groupName>格式问题</groupName>
      <ability>L2_HalfPunc</ability>
      <abilityName>全半角检查</abilityName>
      <candidateList>
        <item>－</item>
      </candidateList>
      <explain>文本全半角错误。</explain>
      <paraID>75567BD5</paraID>
      <start>102</start>
      <end>103</end>
      <status>unmodified</status>
      <modifiedWord/>
      <trackRevisions>false</trackRevisions>
    </reviewItem>
    <reviewItem>
      <errorID>82b06654-e3b2-4a7b-8707-5195d6be1d6e</errorID>
      <errorWord>砂子</errorWord>
      <group>L1_Word</group>
      <groupName>字词问题</groupName>
      <ability>L2_Typo</ability>
      <abilityName>字词错误</abilityName>
      <candidateList>
        <item>沙子</item>
      </candidateList>
      <explain>存在发音相同字词的误用。</explain>
      <paraID>7B296C74</paraID>
      <start>0</start>
      <end>2</end>
      <status>unmodified</status>
      <modifiedWord/>
      <trackRevisions>false</trackRevisions>
    </reviewItem>
    <reviewItem>
      <errorID>aaf0e0f4-f180-4553-9bdb-150f3b92b99c</errorID>
      <errorWord>(</errorWord>
      <group>L1_Format</group>
      <groupName>格式问题</groupName>
      <ability>L2_HalfPunc</ability>
      <abilityName>全半角检查</abilityName>
      <candidateList>
        <item>（</item>
      </candidateList>
      <explain>文本全半角错误。</explain>
      <paraID>7D0533B3</paraID>
      <start>41</start>
      <end>42</end>
      <status>unmodified</status>
      <modifiedWord/>
      <trackRevisions>false</trackRevisions>
    </reviewItem>
    <reviewItem>
      <errorID>078b8581-fef8-4bb0-8572-1cbe45c1d24f</errorID>
      <errorWord>)</errorWord>
      <group>L1_Format</group>
      <groupName>格式问题</groupName>
      <ability>L2_HalfPunc</ability>
      <abilityName>全半角检查</abilityName>
      <candidateList>
        <item>）</item>
      </candidateList>
      <explain>文本全半角错误。</explain>
      <paraID>7D0533B3</paraID>
      <start>46</start>
      <end>47</end>
      <status>unmodified</status>
      <modifiedWord/>
      <trackRevisions>false</trackRevisions>
    </reviewItem>
    <reviewItem>
      <errorID>c85f6f2c-d802-43f2-a0ad-322ea5929a68</errorID>
      <errorWord>(</errorWord>
      <group>L1_Format</group>
      <groupName>格式问题</groupName>
      <ability>L2_HalfPunc</ability>
      <abilityName>全半角检查</abilityName>
      <candidateList>
        <item>（</item>
      </candidateList>
      <explain>文本全半角错误。</explain>
      <paraID>75A3BBE6</paraID>
      <start>35</start>
      <end>36</end>
      <status>unmodified</status>
      <modifiedWord/>
      <trackRevisions>false</trackRevisions>
    </reviewItem>
    <reviewItem>
      <errorID>d2eb1b05-b65b-4c93-b047-7dac4536e12e</errorID>
      <errorWord>)</errorWord>
      <group>L1_Format</group>
      <groupName>格式问题</groupName>
      <ability>L2_HalfPunc</ability>
      <abilityName>全半角检查</abilityName>
      <candidateList>
        <item>）</item>
      </candidateList>
      <explain>文本全半角错误。</explain>
      <paraID>75A3BBE6</paraID>
      <start>47</start>
      <end>48</end>
      <status>unmodified</status>
      <modifiedWord/>
      <trackRevisions>false</trackRevisions>
    </reviewItem>
    <reviewItem>
      <errorID>cde788bc-9e6e-4c3b-aaee-171424c3ea2e</errorID>
      <errorWord>（</errorWord>
      <group>L1_Punc</group>
      <groupName>标点问题</groupName>
      <ability>L2_Punc</ability>
      <abilityName>标点符号检查</abilityName>
      <candidateList/>
      <explain>同一形式括号套用。</explain>
      <paraID>429F2126</paraID>
      <start>17</start>
      <end>18</end>
      <status>unmodified</status>
      <modifiedWord/>
      <trackRevisions>false</trackRevisions>
    </reviewItem>
    <reviewItem>
      <errorID>784f49b3-3373-40a7-ab82-35c59aa36da4</errorID>
      <errorWord>）</errorWord>
      <group>L1_Punc</group>
      <groupName>标点问题</groupName>
      <ability>L2_Punc</ability>
      <abilityName>标点符号检查</abilityName>
      <candidateList/>
      <explain>同一形式括号套用。</explain>
      <paraID>429F2126</paraID>
      <start>21</start>
      <end>22</end>
      <status>unmodified</status>
      <modifiedWord/>
      <trackRevisions>false</trackRevisions>
    </reviewItem>
    <reviewItem>
      <errorID>24ee9a5a-3346-4f25-b862-f30c9c7b129a</errorID>
      <errorWord>~</errorWord>
      <group>L1_Format</group>
      <groupName>格式问题</groupName>
      <ability>L2_HalfPunc</ability>
      <abilityName>全半角检查</abilityName>
      <candidateList>
        <item>～</item>
      </candidateList>
      <explain>文本全半角错误。</explain>
      <paraID>66F12121</paraID>
      <start>48</start>
      <end>49</end>
      <status>unmodified</status>
      <modifiedWord/>
      <trackRevisions>false</trackRevisions>
    </reviewItem>
    <reviewItem>
      <errorID>99c1b781-bcf8-4cbd-a817-cc0f0ba43ce2</errorID>
      <errorWord>~</errorWord>
      <group>L1_Format</group>
      <groupName>格式问题</groupName>
      <ability>L2_HalfPunc</ability>
      <abilityName>全半角检查</abilityName>
      <candidateList>
        <item>～</item>
      </candidateList>
      <explain>文本全半角错误。</explain>
      <paraID>66F12121</paraID>
      <start>62</start>
      <end>63</end>
      <status>unmodified</status>
      <modifiedWord/>
      <trackRevisions>false</trackRevisions>
    </reviewItem>
    <reviewItem>
      <errorID>71d580be-c2d4-4773-bcc2-5aee3ea05fad</errorID>
      <errorWord>（</errorWord>
      <group>L1_Format</group>
      <groupName>格式问题</groupName>
      <ability>L2_HalfPunc</ability>
      <abilityName>全半角检查</abilityName>
      <candidateList>
        <item>(</item>
      </candidateList>
      <explain>文本全半角错误。</explain>
      <paraID>3CFF6DAD</paraID>
      <start>16</start>
      <end>17</end>
      <status>unmodified</status>
      <modifiedWord/>
      <trackRevisions>false</trackRevisions>
    </reviewItem>
    <reviewItem>
      <errorID>7abb27ae-4564-42ec-9e72-f4e2f03c4030</errorID>
      <errorWord>）</errorWord>
      <group>L1_Format</group>
      <groupName>格式问题</groupName>
      <ability>L2_HalfPunc</ability>
      <abilityName>全半角检查</abilityName>
      <candidateList>
        <item>)</item>
      </candidateList>
      <explain>文本全半角错误。</explain>
      <paraID>3CFF6DAD</paraID>
      <start>20</start>
      <end>21</end>
      <status>unmodified</status>
      <modifiedWord/>
      <trackRevisions>false</trackRevisions>
    </reviewItem>
    <reviewItem>
      <errorID>e1c7369a-6a21-45f1-b00f-f6f9dd32336f</errorID>
      <errorWord>-</errorWord>
      <group>L1_Format</group>
      <groupName>格式问题</groupName>
      <ability>L2_HalfPunc</ability>
      <abilityName>全半角检查</abilityName>
      <candidateList>
        <item>－</item>
      </candidateList>
      <explain>文本全半角错误。</explain>
      <paraID>10EE408D</paraID>
      <start>169</start>
      <end>170</end>
      <status>unmodified</status>
      <modifiedWord/>
      <trackRevisions>false</trackRevisions>
    </reviewItem>
    <reviewItem>
      <errorID>3cdc9244-9b48-43f6-9c31-7544104c5487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5DDE84D1</paraID>
      <start>95</start>
      <end>96</end>
      <status>unmodified</status>
      <modifiedWord/>
      <trackRevisions>false</trackRevisions>
    </reviewItem>
    <reviewItem>
      <errorID>69babff2-c1c8-4278-b33a-b867b7385605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62AA40F</paraID>
      <start>96</start>
      <end>97</end>
      <status>unmodified</status>
      <modifiedWord/>
      <trackRevisions>false</trackRevisions>
    </reviewItem>
    <reviewItem>
      <errorID>494459ff-7728-4a6c-b24a-3887c1fe381f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2F69EC48</paraID>
      <start>95</start>
      <end>96</end>
      <status>unmodified</status>
      <modifiedWord/>
      <trackRevisions>false</trackRevisions>
    </reviewItem>
    <reviewItem>
      <errorID>b98760bc-f261-44e4-83bd-f784b726adeb</errorID>
      <errorWord>，</errorWord>
      <group>L1_Format</group>
      <groupName>格式问题</groupName>
      <ability>L2_HalfPunc</ability>
      <abilityName>全半角检查</abilityName>
      <candidateList>
        <item>, </item>
      </candidateList>
      <explain>文本全半角错误。</explain>
      <paraID> 685138D</paraID>
      <start>15</start>
      <end>16</end>
      <status>unmodified</status>
      <modifiedWord/>
      <trackRevisions>false</trackRevisions>
    </reviewItem>
    <reviewItem>
      <errorID>80bbeebe-1f05-4c04-8bf1-782a623aa015</errorID>
      <errorWord>，</errorWord>
      <group>L1_Format</group>
      <groupName>格式问题</groupName>
      <ability>L2_HalfPunc</ability>
      <abilityName>全半角检查</abilityName>
      <candidateList>
        <item>, </item>
      </candidateList>
      <explain>文本全半角错误。</explain>
      <paraID> 70180FC</paraID>
      <start>15</start>
      <end>16</end>
      <status>unmodified</status>
      <modifiedWord/>
      <trackRevisions>false</trackRevisions>
    </reviewItem>
    <reviewItem>
      <errorID>197b1a88-6a5b-4d59-a2e9-4eef93b08ff9</errorID>
      <errorWord>-</errorWord>
      <group>L1_Format</group>
      <groupName>格式问题</groupName>
      <ability>L2_HalfPunc</ability>
      <abilityName>全半角检查</abilityName>
      <candidateList>
        <item>－</item>
      </candidateList>
      <explain>文本全半角错误。</explain>
      <paraID>4CC2E177</paraID>
      <start>151</start>
      <end>152</end>
      <status>unmodified</status>
      <modifiedWord/>
      <trackRevisions>false</trackRevisions>
    </reviewItem>
    <reviewItem>
      <errorID>301e6778-9019-45fe-932c-c816f3c1deaf</errorID>
      <errorWord>(</errorWord>
      <group>L1_Format</group>
      <groupName>格式问题</groupName>
      <ability>L2_HalfPunc</ability>
      <abilityName>全半角检查</abilityName>
      <candidateList>
        <item>（</item>
      </candidateList>
      <explain>文本全半角错误。</explain>
      <paraID>4CC2E177</paraID>
      <start>186</start>
      <end>187</end>
      <status>unmodified</status>
      <modifiedWord/>
      <trackRevisions>false</trackRevisions>
    </reviewItem>
    <reviewItem>
      <errorID>cf76d69e-93fa-4167-8093-76cbc4754654</errorID>
      <errorWord>)</errorWord>
      <group>L1_Format</group>
      <groupName>格式问题</groupName>
      <ability>L2_HalfPunc</ability>
      <abilityName>全半角检查</abilityName>
      <candidateList>
        <item>）</item>
      </candidateList>
      <explain>文本全半角错误。</explain>
      <paraID>4CC2E177</paraID>
      <start>199</start>
      <end>200</end>
      <status>unmodified</status>
      <modifiedWord/>
      <trackRevisions>false</trackRevisions>
    </reviewItem>
    <reviewItem>
      <errorID>c40e969a-fc9a-44ac-bbde-2ac3a00bc375</errorID>
      <errorWord>（</errorWord>
      <group>L1_Punc</group>
      <groupName>标点问题</groupName>
      <ability>L2_Punc</ability>
      <abilityName>标点符号检查</abilityName>
      <candidateList>
        <item/>
      </candidateList>
      <explain>同一形式括号套用。</explain>
      <paraID>2BF9C9D0</paraID>
      <start>26</start>
      <end>27</end>
      <status>unmodified</status>
      <modifiedWord/>
      <trackRevisions>false</trackRevisions>
    </reviewItem>
    <reviewItem>
      <errorID>86604300-6378-438c-b68e-b315d71ee28f</errorID>
      <errorWord>(</errorWord>
      <group>L1_Punc</group>
      <groupName>标点问题</groupName>
      <ability>L2_Punc</ability>
      <abilityName>标点符号检查</abilityName>
      <candidateList/>
      <explain>同一形式括号套用。</explain>
      <paraID>2BF9C9D0</paraID>
      <start>29</start>
      <end>30</end>
      <status>unmodified</status>
      <modifiedWord/>
      <trackRevisions>false</trackRevisions>
    </reviewItem>
    <reviewItem>
      <errorID>aca975c7-db36-4a01-973b-8575fc857112</errorID>
      <errorWord>)</errorWord>
      <group>L1_Punc</group>
      <groupName>标点问题</groupName>
      <ability>L2_Punc</ability>
      <abilityName>标点符号检查</abilityName>
      <candidateList/>
      <explain>同一形式括号套用。</explain>
      <paraID>2BF9C9D0</paraID>
      <start>31</start>
      <end>32</end>
      <status>unmodified</status>
      <modifiedWord/>
      <trackRevisions>false</trackRevisions>
    </reviewItem>
    <reviewItem>
      <errorID>40fec521-7f6d-4953-b658-938c82d483d4</errorID>
      <errorWord>）</errorWord>
      <group>L1_Punc</group>
      <groupName>标点问题</groupName>
      <ability>L2_Punc</ability>
      <abilityName>标点符号检查</abilityName>
      <candidateList/>
      <explain>同一形式括号套用。</explain>
      <paraID>2BF9C9D0</paraID>
      <start>32</start>
      <end>33</end>
      <status>unmodified</status>
      <modifiedWord/>
      <trackRevisions>false</trackRevisions>
    </reviewItem>
    <reviewItem>
      <errorID>7535d3c2-ab15-47a8-99a5-82e2c02ce868</errorID>
      <errorWord>，</errorWord>
      <group>L1_Format</group>
      <groupName>格式问题</groupName>
      <ability>L2_HalfPunc</ability>
      <abilityName>全半角检查</abilityName>
      <candidateList>
        <item>, </item>
      </candidateList>
      <explain>文本全半角错误。</explain>
      <paraID>2D114EC3</paraID>
      <start>1</start>
      <end>2</end>
      <status>unmodified</status>
      <modifiedWord/>
      <trackRevisions>false</trackRevisions>
    </reviewItem>
    <reviewItem>
      <errorID>bd5a41f6-1d26-42cf-84eb-5c7d0347475a</errorID>
      <errorWord>，</errorWord>
      <group>L1_Format</group>
      <groupName>格式问题</groupName>
      <ability>L2_HalfPunc</ability>
      <abilityName>全半角检查</abilityName>
      <candidateList>
        <item>, </item>
      </candidateList>
      <explain>文本全半角错误。</explain>
      <paraID>3FEDFF73</paraID>
      <start>1</start>
      <end>2</end>
      <status>unmodified</status>
      <modifiedWord/>
      <trackRevisions>false</trackRevisions>
    </reviewItem>
    <reviewItem>
      <errorID>3b78d9e5-e4de-4ca3-b441-7dcdc7c34efb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2D6F6A6D</paraID>
      <start>93</start>
      <end>94</end>
      <status>unmodified</status>
      <modifiedWord/>
      <trackRevisions>false</trackRevisions>
    </reviewItem>
    <reviewItem>
      <errorID>80fde369-e4eb-4ea7-b674-b8f269cc85c7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2D6F6A6D</paraID>
      <start>132</start>
      <end>133</end>
      <status>unmodified</status>
      <modifiedWord/>
      <trackRevisions>false</trackRevisions>
    </reviewItem>
    <reviewItem>
      <errorID>6758cc8a-580b-4089-a6f2-f3d211894f9a</errorID>
      <errorWord>接受</errorWord>
      <group>L1_Word</group>
      <groupName>字词问题</groupName>
      <ability>L2_Typo</ability>
      <abilityName>字词错误</abilityName>
      <candidateList>
        <item>接收</item>
      </candidateList>
      <explain>存在发音相同字词的误用。</explain>
      <paraID>4A960206</paraID>
      <start>8</start>
      <end>10</end>
      <status>unmodified</status>
      <modifiedWord/>
      <trackRevisions>false</trackRevisions>
    </reviewItem>
    <reviewItem>
      <errorID>40c86f51-a394-4e04-9c75-241780b57215</errorID>
      <errorWord>(</errorWord>
      <group>L1_Format</group>
      <groupName>格式问题</groupName>
      <ability>L2_HalfPunc</ability>
      <abilityName>全半角检查</abilityName>
      <candidateList>
        <item>（</item>
      </candidateList>
      <explain>文本全半角错误。</explain>
      <paraID>516C5084</paraID>
      <start>12</start>
      <end>13</end>
      <status>unmodified</status>
      <modifiedWord/>
      <trackRevisions>false</trackRevisions>
    </reviewItem>
    <reviewItem>
      <errorID>a53427e2-b741-4fae-8a67-579109fee692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516C5084</paraID>
      <start>22</start>
      <end>23</end>
      <status>unmodified</status>
      <modifiedWord/>
      <trackRevisions>false</trackRevisions>
    </reviewItem>
    <reviewItem>
      <errorID>4588cb06-1822-4c2d-985d-839a17b3a699</errorID>
      <errorWord>)</errorWord>
      <group>L1_Format</group>
      <groupName>格式问题</groupName>
      <ability>L2_HalfPunc</ability>
      <abilityName>全半角检查</abilityName>
      <candidateList>
        <item>）</item>
      </candidateList>
      <explain>文本全半角错误。</explain>
      <paraID>516C5084</paraID>
      <start>28</start>
      <end>29</end>
      <status>unmodified</status>
      <modifiedWord/>
      <trackRevisions>false</trackRevisions>
    </reviewItem>
    <reviewItem>
      <errorID>dd2643bc-7f8d-44ca-9665-da3e30f1dd61</errorID>
      <errorWord>(</errorWord>
      <group>L1_Format</group>
      <groupName>格式问题</groupName>
      <ability>L2_HalfPunc</ability>
      <abilityName>全半角检查</abilityName>
      <candidateList>
        <item>（</item>
      </candidateList>
      <explain>文本全半角错误。</explain>
      <paraID>516C5084</paraID>
      <start>51</start>
      <end>52</end>
      <status>unmodified</status>
      <modifiedWord/>
      <trackRevisions>false</trackRevisions>
    </reviewItem>
    <reviewItem>
      <errorID>3d9619b9-dcf9-4277-9015-ff833b8502f6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516C5084</paraID>
      <start>61</start>
      <end>62</end>
      <status>unmodified</status>
      <modifiedWord/>
      <trackRevisions>false</trackRevisions>
    </reviewItem>
    <reviewItem>
      <errorID>08053270-a8c3-409d-8186-2aa638eabcbb</errorID>
      <errorWord>)</errorWord>
      <group>L1_Format</group>
      <groupName>格式问题</groupName>
      <ability>L2_HalfPunc</ability>
      <abilityName>全半角检查</abilityName>
      <candidateList>
        <item>）</item>
      </candidateList>
      <explain>文本全半角错误。</explain>
      <paraID>516C5084</paraID>
      <start>68</start>
      <end>69</end>
      <status>unmodified</status>
      <modifiedWord/>
      <trackRevisions>false</trackRevisions>
    </reviewItem>
    <reviewItem>
      <errorID>70087036-aba3-457d-92d2-c552082f43a9</errorID>
      <errorWord>(</errorWord>
      <group>L1_Format</group>
      <groupName>格式问题</groupName>
      <ability>L2_HalfPunc</ability>
      <abilityName>全半角检查</abilityName>
      <candidateList>
        <item>（</item>
      </candidateList>
      <explain>文本全半角错误。</explain>
      <paraID>2CD31198</paraID>
      <start>3</start>
      <end>4</end>
      <status>unmodified</status>
      <modifiedWord/>
      <trackRevisions>false</trackRevisions>
    </reviewItem>
    <reviewItem>
      <errorID>efd68bd1-cc9f-4520-8920-45a6375b928c</errorID>
      <errorWord>)</errorWord>
      <group>L1_Format</group>
      <groupName>格式问题</groupName>
      <ability>L2_HalfPunc</ability>
      <abilityName>全半角检查</abilityName>
      <candidateList>
        <item>）</item>
      </candidateList>
      <explain>文本全半角错误。</explain>
      <paraID>2CD31198</paraID>
      <start>9</start>
      <end>10</end>
      <status>unmodified</status>
      <modifiedWord/>
      <trackRevisions>false</trackRevisions>
    </reviewItem>
    <reviewItem>
      <errorID>eb1e371c-9d0d-4a23-a506-25fecdb1b37b</errorID>
      <errorWord>减小</errorWord>
      <group>L1_Word</group>
      <groupName>字词问题</groupName>
      <ability>L2_Typo</ability>
      <abilityName>字词错误</abilityName>
      <candidateList>
        <item>减少</item>
      </candidateList>
      <explain>〈动〉减去一部分：～人员｜～麻烦｜工作中的缺点～了。</explain>
      <paraID>1FCBB361</paraID>
      <start>59</start>
      <end>61</end>
      <status>unmodified</status>
      <modifiedWord/>
      <trackRevisions>false</trackRevisions>
    </reviewItem>
    <reviewItem>
      <errorID>eef764a7-2c8c-4943-8625-d0d213e7da3e</errorID>
      <errorWord>-</errorWord>
      <group>L1_Format</group>
      <groupName>格式问题</groupName>
      <ability>L2_HalfPunc</ability>
      <abilityName>全半角检查</abilityName>
      <candidateList>
        <item>－</item>
      </candidateList>
      <explain>文本全半角错误。</explain>
      <paraID>20587847</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65cdd-5bc2-4730-962e-691527b61e57}">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46</Pages>
  <Words>23946</Words>
  <Characters>27584</Characters>
  <Lines>13</Lines>
  <Paragraphs>3</Paragraphs>
  <TotalTime>6</TotalTime>
  <ScaleCrop>false</ScaleCrop>
  <LinksUpToDate>false</LinksUpToDate>
  <CharactersWithSpaces>27772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2020-12-29T02:43:00Z</cp:lastPrinted>
  <dcterms:modified xsi:type="dcterms:W3CDTF">2026-05-26T12:15:51Z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68CDB65A1BF84CD7867D81A261564CC1_13</vt:lpwstr>
  </property>
  <property fmtid="{D5CDD505-2E9C-101B-9397-08002B2CF9AE}" pid="4" name="KSOTemplateDocerSaveRecord">
    <vt:lpwstr>eyJoZGlkIjoiMmNiYWYxMDIxZjJkYzVlZGNmNGEwY2Y2Mzc0ZTlkNzQiLCJ1c2VySWQiOiI1Mjc2NDU0ODcifQ==</vt:lpwstr>
  </property>
</Properties>
</file>