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6"/>
          <w:szCs w:val="36"/>
          <w:lang w:val="en-US" w:eastAsia="zh-CN"/>
        </w:rPr>
      </w:pPr>
      <w:bookmarkStart w:id="0" w:name="_Hlk57883707"/>
      <w:r>
        <w:rPr>
          <w:rFonts w:hint="eastAsia" w:ascii="仿宋_GB2312" w:hAnsi="仿宋_GB2312" w:eastAsia="仿宋_GB2312" w:cs="仿宋_GB2312"/>
          <w:color w:val="auto"/>
          <w:sz w:val="36"/>
          <w:szCs w:val="36"/>
          <w:lang w:val="en-US" w:eastAsia="zh-CN"/>
        </w:rPr>
        <w:drawing>
          <wp:anchor distT="0" distB="0" distL="114300" distR="114300" simplePos="0" relativeHeight="251661312" behindDoc="0" locked="0" layoutInCell="1" allowOverlap="1">
            <wp:simplePos x="0" y="0"/>
            <wp:positionH relativeFrom="column">
              <wp:posOffset>46355</wp:posOffset>
            </wp:positionH>
            <wp:positionV relativeFrom="paragraph">
              <wp:posOffset>241300</wp:posOffset>
            </wp:positionV>
            <wp:extent cx="5523230" cy="7795895"/>
            <wp:effectExtent l="0" t="0" r="0" b="0"/>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rcRect l="11651" t="11630" r="11115" b="8113"/>
                    <a:stretch>
                      <a:fillRect/>
                    </a:stretch>
                  </pic:blipFill>
                  <pic:spPr>
                    <a:xfrm>
                      <a:off x="0" y="0"/>
                      <a:ext cx="5523230" cy="7795895"/>
                    </a:xfrm>
                    <a:prstGeom prst="rect">
                      <a:avLst/>
                    </a:prstGeom>
                    <a:noFill/>
                    <a:ln>
                      <a:noFill/>
                    </a:ln>
                  </pic:spPr>
                </pic:pic>
              </a:graphicData>
            </a:graphic>
          </wp:anchor>
        </w:drawing>
      </w: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bookmarkEnd w:id="0"/>
    <w:p>
      <w:pPr>
        <w:pStyle w:val="3"/>
        <w:bidi w:val="0"/>
        <w:jc w:val="center"/>
      </w:pPr>
      <w:r>
        <w:rPr>
          <w:rFonts w:hint="eastAsia"/>
        </w:rPr>
        <w:t>一、建设项目基本情况</w:t>
      </w:r>
    </w:p>
    <w:tbl>
      <w:tblPr>
        <w:tblStyle w:val="21"/>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3"/>
        <w:gridCol w:w="1347"/>
        <w:gridCol w:w="2259"/>
        <w:gridCol w:w="1884"/>
        <w:gridCol w:w="29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20" w:type="dxa"/>
            <w:gridSpan w:val="2"/>
            <w:noWrap w:val="0"/>
            <w:tcMar>
              <w:top w:w="16" w:type="dxa"/>
              <w:left w:w="16" w:type="dxa"/>
              <w:right w:w="16" w:type="dxa"/>
            </w:tcMar>
            <w:vAlign w:val="center"/>
          </w:tcPr>
          <w:p>
            <w:pPr>
              <w:pStyle w:val="6"/>
              <w:bidi w:val="0"/>
            </w:pPr>
            <w:r>
              <w:rPr>
                <w:rFonts w:hint="eastAsia"/>
              </w:rPr>
              <w:t>建设项目名称</w:t>
            </w:r>
          </w:p>
        </w:tc>
        <w:tc>
          <w:tcPr>
            <w:tcW w:w="7119" w:type="dxa"/>
            <w:gridSpan w:val="3"/>
            <w:noWrap w:val="0"/>
            <w:vAlign w:val="center"/>
          </w:tcPr>
          <w:p>
            <w:pPr>
              <w:pStyle w:val="6"/>
              <w:bidi w:val="0"/>
              <w:rPr>
                <w:rFonts w:hint="default"/>
                <w:lang w:val="en-US"/>
              </w:rPr>
            </w:pPr>
            <w:r>
              <w:rPr>
                <w:rFonts w:hint="eastAsia"/>
                <w:lang w:val="en-US" w:eastAsia="zh-CN"/>
              </w:rPr>
              <w:t>若羌县铁干里克镇库尔干村、亚喀吾斯塘村2026年防渗渠以工代赈项目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920" w:type="dxa"/>
            <w:gridSpan w:val="2"/>
            <w:noWrap w:val="0"/>
            <w:tcMar>
              <w:top w:w="16" w:type="dxa"/>
              <w:left w:w="16" w:type="dxa"/>
              <w:right w:w="16" w:type="dxa"/>
            </w:tcMar>
            <w:vAlign w:val="center"/>
          </w:tcPr>
          <w:p>
            <w:pPr>
              <w:pStyle w:val="6"/>
              <w:bidi w:val="0"/>
            </w:pPr>
            <w:r>
              <w:rPr>
                <w:rFonts w:hint="eastAsia"/>
              </w:rPr>
              <w:t>项目代码</w:t>
            </w:r>
          </w:p>
        </w:tc>
        <w:tc>
          <w:tcPr>
            <w:tcW w:w="7119" w:type="dxa"/>
            <w:gridSpan w:val="3"/>
            <w:noWrap w:val="0"/>
            <w:vAlign w:val="center"/>
          </w:tcPr>
          <w:p>
            <w:pPr>
              <w:pStyle w:val="6"/>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20" w:type="dxa"/>
            <w:gridSpan w:val="2"/>
            <w:noWrap w:val="0"/>
            <w:tcMar>
              <w:top w:w="16" w:type="dxa"/>
              <w:left w:w="16" w:type="dxa"/>
              <w:right w:w="16" w:type="dxa"/>
            </w:tcMar>
            <w:vAlign w:val="center"/>
          </w:tcPr>
          <w:p>
            <w:pPr>
              <w:pStyle w:val="6"/>
              <w:bidi w:val="0"/>
            </w:pPr>
            <w:r>
              <w:rPr>
                <w:rFonts w:hint="eastAsia"/>
              </w:rPr>
              <w:t>建设单位联系人</w:t>
            </w:r>
          </w:p>
        </w:tc>
        <w:tc>
          <w:tcPr>
            <w:tcW w:w="2259" w:type="dxa"/>
            <w:noWrap w:val="0"/>
            <w:vAlign w:val="center"/>
          </w:tcPr>
          <w:p>
            <w:pPr>
              <w:pStyle w:val="6"/>
              <w:bidi w:val="0"/>
              <w:rPr>
                <w:rFonts w:hint="default"/>
                <w:highlight w:val="yellow"/>
                <w:lang w:val="en-US" w:eastAsia="zh-CN"/>
              </w:rPr>
            </w:pPr>
          </w:p>
        </w:tc>
        <w:tc>
          <w:tcPr>
            <w:tcW w:w="1884" w:type="dxa"/>
            <w:noWrap w:val="0"/>
            <w:vAlign w:val="center"/>
          </w:tcPr>
          <w:p>
            <w:pPr>
              <w:pStyle w:val="6"/>
              <w:bidi w:val="0"/>
              <w:rPr>
                <w:rFonts w:hint="default"/>
                <w:highlight w:val="yellow"/>
              </w:rPr>
            </w:pPr>
          </w:p>
        </w:tc>
        <w:tc>
          <w:tcPr>
            <w:tcW w:w="2976" w:type="dxa"/>
            <w:noWrap w:val="0"/>
            <w:vAlign w:val="center"/>
          </w:tcPr>
          <w:p>
            <w:pPr>
              <w:pStyle w:val="6"/>
              <w:bidi w:val="0"/>
              <w:rPr>
                <w:rFonts w:hint="default"/>
                <w:highlight w:val="yellow"/>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20" w:type="dxa"/>
            <w:gridSpan w:val="2"/>
            <w:noWrap w:val="0"/>
            <w:tcMar>
              <w:top w:w="16" w:type="dxa"/>
              <w:left w:w="16" w:type="dxa"/>
              <w:right w:w="16" w:type="dxa"/>
            </w:tcMar>
            <w:vAlign w:val="center"/>
          </w:tcPr>
          <w:p>
            <w:pPr>
              <w:pStyle w:val="6"/>
              <w:bidi w:val="0"/>
            </w:pPr>
            <w:r>
              <w:rPr>
                <w:rFonts w:hint="eastAsia"/>
              </w:rPr>
              <w:t>建设地点</w:t>
            </w:r>
          </w:p>
        </w:tc>
        <w:tc>
          <w:tcPr>
            <w:tcW w:w="7119" w:type="dxa"/>
            <w:gridSpan w:val="3"/>
            <w:noWrap w:val="0"/>
            <w:vAlign w:val="center"/>
          </w:tcPr>
          <w:p>
            <w:pPr>
              <w:pStyle w:val="6"/>
              <w:bidi w:val="0"/>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20" w:type="dxa"/>
            <w:gridSpan w:val="2"/>
            <w:noWrap w:val="0"/>
            <w:tcMar>
              <w:top w:w="16" w:type="dxa"/>
              <w:left w:w="16" w:type="dxa"/>
              <w:right w:w="16" w:type="dxa"/>
            </w:tcMar>
            <w:vAlign w:val="center"/>
          </w:tcPr>
          <w:p>
            <w:pPr>
              <w:pStyle w:val="6"/>
              <w:bidi w:val="0"/>
            </w:pPr>
            <w:r>
              <w:rPr>
                <w:rFonts w:hint="eastAsia"/>
              </w:rPr>
              <w:t>地理坐标</w:t>
            </w:r>
          </w:p>
        </w:tc>
        <w:tc>
          <w:tcPr>
            <w:tcW w:w="7119" w:type="dxa"/>
            <w:gridSpan w:val="3"/>
            <w:noWrap w:val="0"/>
            <w:vAlign w:val="center"/>
          </w:tcPr>
          <w:p>
            <w:pPr>
              <w:pStyle w:val="6"/>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2" w:hRule="atLeast"/>
        </w:trPr>
        <w:tc>
          <w:tcPr>
            <w:tcW w:w="1920" w:type="dxa"/>
            <w:gridSpan w:val="2"/>
            <w:noWrap w:val="0"/>
            <w:tcMar>
              <w:top w:w="16" w:type="dxa"/>
              <w:left w:w="16" w:type="dxa"/>
              <w:right w:w="16" w:type="dxa"/>
            </w:tcMar>
            <w:vAlign w:val="center"/>
          </w:tcPr>
          <w:p>
            <w:pPr>
              <w:pStyle w:val="6"/>
              <w:bidi w:val="0"/>
            </w:pPr>
            <w:r>
              <w:rPr>
                <w:rFonts w:hint="eastAsia"/>
              </w:rPr>
              <w:t>建设项目</w:t>
            </w:r>
          </w:p>
          <w:p>
            <w:pPr>
              <w:pStyle w:val="6"/>
              <w:bidi w:val="0"/>
            </w:pPr>
            <w:r>
              <w:rPr>
                <w:rFonts w:hint="eastAsia"/>
              </w:rPr>
              <w:t>行业类别</w:t>
            </w:r>
          </w:p>
        </w:tc>
        <w:tc>
          <w:tcPr>
            <w:tcW w:w="2259" w:type="dxa"/>
            <w:noWrap w:val="0"/>
            <w:vAlign w:val="center"/>
          </w:tcPr>
          <w:p>
            <w:pPr>
              <w:pStyle w:val="6"/>
              <w:bidi w:val="0"/>
              <w:rPr>
                <w:rFonts w:hint="default"/>
              </w:rPr>
            </w:pPr>
            <w:r>
              <w:rPr>
                <w:rFonts w:hint="default"/>
                <w:lang w:eastAsia="zh-CN"/>
              </w:rPr>
              <w:t>五十一、水利</w:t>
            </w:r>
            <w:r>
              <w:rPr>
                <w:rFonts w:hint="default"/>
                <w:lang w:val="en-US" w:eastAsia="zh-CN"/>
              </w:rPr>
              <w:t>-125灌区工程（不含水源工程的）-其他（不含高标准农田、滴灌等节水改造工程）</w:t>
            </w:r>
          </w:p>
        </w:tc>
        <w:tc>
          <w:tcPr>
            <w:tcW w:w="1884" w:type="dxa"/>
            <w:noWrap w:val="0"/>
            <w:vAlign w:val="center"/>
          </w:tcPr>
          <w:p>
            <w:pPr>
              <w:pStyle w:val="6"/>
              <w:bidi w:val="0"/>
              <w:rPr>
                <w:rFonts w:hint="default"/>
                <w:highlight w:val="none"/>
              </w:rPr>
            </w:pPr>
            <w:r>
              <w:rPr>
                <w:rFonts w:hint="default"/>
                <w:highlight w:val="none"/>
              </w:rPr>
              <w:t>用地（用海）面积（m</w:t>
            </w:r>
            <w:r>
              <w:rPr>
                <w:rFonts w:hint="default"/>
                <w:highlight w:val="none"/>
                <w:vertAlign w:val="superscript"/>
              </w:rPr>
              <w:t>2</w:t>
            </w:r>
            <w:r>
              <w:rPr>
                <w:rFonts w:hint="default"/>
                <w:highlight w:val="none"/>
              </w:rPr>
              <w:t>）/长度（km）</w:t>
            </w:r>
          </w:p>
        </w:tc>
        <w:tc>
          <w:tcPr>
            <w:tcW w:w="2976" w:type="dxa"/>
            <w:noWrap w:val="0"/>
            <w:vAlign w:val="center"/>
          </w:tcPr>
          <w:p>
            <w:pPr>
              <w:pStyle w:val="6"/>
              <w:bidi w:val="0"/>
              <w:rPr>
                <w:rFonts w:hint="default"/>
                <w:highlight w:val="none"/>
                <w:lang w:val="en-US" w:eastAsia="zh-CN"/>
              </w:rPr>
            </w:pPr>
            <w:r>
              <w:rPr>
                <w:rFonts w:hint="default"/>
                <w:highlight w:val="none"/>
                <w:lang w:val="en-US" w:eastAsia="zh-CN"/>
              </w:rPr>
              <w:t>占地面积</w:t>
            </w:r>
            <w:r>
              <w:rPr>
                <w:rFonts w:hint="eastAsia"/>
                <w:highlight w:val="none"/>
                <w:lang w:val="en-US" w:eastAsia="zh-CN"/>
              </w:rPr>
              <w:t>27847</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，其中永久占地面积</w:t>
            </w:r>
            <w:r>
              <w:rPr>
                <w:rFonts w:hint="eastAsia"/>
                <w:highlight w:val="none"/>
                <w:lang w:val="en-US" w:eastAsia="zh-CN"/>
              </w:rPr>
              <w:t>14847</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、临时占地面积13000m</w:t>
            </w:r>
            <w:r>
              <w:rPr>
                <w:rFonts w:hint="default"/>
                <w:highlight w:val="none"/>
                <w:vertAlign w:val="superscript"/>
                <w:lang w:val="en-US" w:eastAsia="zh-CN"/>
              </w:rPr>
              <w:t>2</w:t>
            </w:r>
            <w:r>
              <w:rPr>
                <w:rFonts w:hint="default"/>
                <w:highlight w:val="none"/>
                <w:lang w:val="en-US" w:eastAsia="zh-CN"/>
              </w:rPr>
              <w:t>。防渗改造长度5.</w:t>
            </w:r>
            <w:r>
              <w:rPr>
                <w:rFonts w:hint="eastAsia"/>
                <w:highlight w:val="none"/>
                <w:lang w:val="en-US" w:eastAsia="zh-CN"/>
              </w:rPr>
              <w:t>5</w:t>
            </w:r>
            <w:r>
              <w:rPr>
                <w:rFonts w:hint="default"/>
                <w:highlight w:val="none"/>
                <w:lang w:val="en-US" w:eastAsia="zh-CN"/>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920" w:type="dxa"/>
            <w:gridSpan w:val="2"/>
            <w:noWrap w:val="0"/>
            <w:tcMar>
              <w:top w:w="16" w:type="dxa"/>
              <w:left w:w="16" w:type="dxa"/>
              <w:right w:w="16" w:type="dxa"/>
            </w:tcMar>
            <w:vAlign w:val="center"/>
          </w:tcPr>
          <w:p>
            <w:pPr>
              <w:pStyle w:val="6"/>
              <w:bidi w:val="0"/>
            </w:pPr>
            <w:r>
              <w:rPr>
                <w:rFonts w:hint="eastAsia"/>
              </w:rPr>
              <w:t>建设性质</w:t>
            </w:r>
          </w:p>
        </w:tc>
        <w:tc>
          <w:tcPr>
            <w:tcW w:w="2259" w:type="dxa"/>
            <w:noWrap w:val="0"/>
            <w:vAlign w:val="center"/>
          </w:tcPr>
          <w:p>
            <w:pPr>
              <w:pStyle w:val="6"/>
              <w:bidi w:val="0"/>
              <w:jc w:val="left"/>
              <w:rPr>
                <w:rFonts w:hint="default"/>
              </w:rPr>
            </w:pPr>
            <w:r>
              <w:rPr>
                <w:rFonts w:hint="default"/>
                <w:lang w:eastAsia="zh-CN"/>
              </w:rPr>
              <w:t>□</w:t>
            </w:r>
            <w:r>
              <w:rPr>
                <w:rFonts w:hint="default"/>
              </w:rPr>
              <w:t>新建（迁建）</w:t>
            </w:r>
          </w:p>
          <w:p>
            <w:pPr>
              <w:pStyle w:val="6"/>
              <w:bidi w:val="0"/>
              <w:jc w:val="left"/>
              <w:rPr>
                <w:rFonts w:hint="default"/>
              </w:rPr>
            </w:pPr>
            <w:r>
              <w:rPr>
                <w:rFonts w:hint="default"/>
                <w:lang w:eastAsia="zh-CN"/>
              </w:rPr>
              <w:t>☑</w:t>
            </w:r>
            <w:r>
              <w:rPr>
                <w:rFonts w:hint="default"/>
              </w:rPr>
              <w:t>改建</w:t>
            </w:r>
          </w:p>
          <w:p>
            <w:pPr>
              <w:pStyle w:val="6"/>
              <w:bidi w:val="0"/>
              <w:jc w:val="left"/>
              <w:rPr>
                <w:rFonts w:hint="default"/>
              </w:rPr>
            </w:pPr>
            <w:r>
              <w:rPr>
                <w:rFonts w:hint="default"/>
              </w:rPr>
              <w:t>□扩建</w:t>
            </w:r>
          </w:p>
          <w:p>
            <w:pPr>
              <w:pStyle w:val="6"/>
              <w:bidi w:val="0"/>
              <w:jc w:val="left"/>
              <w:rPr>
                <w:rFonts w:hint="default"/>
              </w:rPr>
            </w:pPr>
            <w:r>
              <w:rPr>
                <w:rFonts w:hint="default"/>
                <w:lang w:eastAsia="zh-CN"/>
              </w:rPr>
              <w:t>□</w:t>
            </w:r>
            <w:r>
              <w:rPr>
                <w:rFonts w:hint="default"/>
              </w:rPr>
              <w:t>技术改造</w:t>
            </w:r>
          </w:p>
        </w:tc>
        <w:tc>
          <w:tcPr>
            <w:tcW w:w="1884" w:type="dxa"/>
            <w:noWrap w:val="0"/>
            <w:vAlign w:val="center"/>
          </w:tcPr>
          <w:p>
            <w:pPr>
              <w:pStyle w:val="6"/>
              <w:bidi w:val="0"/>
              <w:rPr>
                <w:rFonts w:hint="default"/>
              </w:rPr>
            </w:pPr>
            <w:r>
              <w:rPr>
                <w:rFonts w:hint="default"/>
              </w:rPr>
              <w:t>建设项目</w:t>
            </w:r>
          </w:p>
          <w:p>
            <w:pPr>
              <w:pStyle w:val="6"/>
              <w:bidi w:val="0"/>
              <w:rPr>
                <w:rFonts w:hint="default"/>
              </w:rPr>
            </w:pPr>
            <w:r>
              <w:rPr>
                <w:rFonts w:hint="default"/>
              </w:rPr>
              <w:t>申报情形</w:t>
            </w:r>
          </w:p>
        </w:tc>
        <w:tc>
          <w:tcPr>
            <w:tcW w:w="2976" w:type="dxa"/>
            <w:noWrap w:val="0"/>
            <w:vAlign w:val="center"/>
          </w:tcPr>
          <w:p>
            <w:pPr>
              <w:pStyle w:val="6"/>
              <w:bidi w:val="0"/>
              <w:jc w:val="left"/>
              <w:rPr>
                <w:rFonts w:hint="default"/>
              </w:rPr>
            </w:pPr>
            <w:r>
              <w:rPr>
                <w:rFonts w:hint="default"/>
                <w:lang w:eastAsia="zh-CN"/>
              </w:rPr>
              <w:t>☑</w:t>
            </w:r>
            <w:r>
              <w:rPr>
                <w:rFonts w:hint="default"/>
              </w:rPr>
              <w:t>首次申报项目</w:t>
            </w:r>
          </w:p>
          <w:p>
            <w:pPr>
              <w:pStyle w:val="6"/>
              <w:bidi w:val="0"/>
              <w:jc w:val="left"/>
              <w:rPr>
                <w:rFonts w:hint="default"/>
              </w:rPr>
            </w:pPr>
            <w:r>
              <w:rPr>
                <w:rFonts w:hint="eastAsia"/>
                <w:lang w:eastAsia="zh-CN"/>
              </w:rPr>
              <w:t>□</w:t>
            </w:r>
            <w:r>
              <w:rPr>
                <w:rFonts w:hint="default"/>
              </w:rPr>
              <w:t>不予批准后再次申报项目</w:t>
            </w:r>
          </w:p>
          <w:p>
            <w:pPr>
              <w:pStyle w:val="6"/>
              <w:bidi w:val="0"/>
              <w:jc w:val="left"/>
              <w:rPr>
                <w:rFonts w:hint="default"/>
              </w:rPr>
            </w:pPr>
            <w:r>
              <w:rPr>
                <w:rFonts w:hint="eastAsia"/>
                <w:lang w:eastAsia="zh-CN"/>
              </w:rPr>
              <w:t>□</w:t>
            </w:r>
            <w:r>
              <w:rPr>
                <w:rFonts w:hint="default"/>
              </w:rPr>
              <w:t>超五年重新审核项目</w:t>
            </w:r>
          </w:p>
          <w:p>
            <w:pPr>
              <w:pStyle w:val="6"/>
              <w:bidi w:val="0"/>
              <w:jc w:val="left"/>
              <w:rPr>
                <w:rFonts w:hint="default"/>
              </w:rPr>
            </w:pPr>
            <w:r>
              <w:rPr>
                <w:rFonts w:hint="eastAsia"/>
                <w:lang w:eastAsia="zh-CN"/>
              </w:rPr>
              <w:t>□</w:t>
            </w:r>
            <w:r>
              <w:rPr>
                <w:rFonts w:hint="default"/>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920" w:type="dxa"/>
            <w:gridSpan w:val="2"/>
            <w:noWrap w:val="0"/>
            <w:tcMar>
              <w:top w:w="16" w:type="dxa"/>
              <w:left w:w="16" w:type="dxa"/>
              <w:right w:w="16" w:type="dxa"/>
            </w:tcMar>
            <w:vAlign w:val="center"/>
          </w:tcPr>
          <w:p>
            <w:pPr>
              <w:pStyle w:val="6"/>
              <w:bidi w:val="0"/>
            </w:pPr>
            <w:r>
              <w:rPr>
                <w:rFonts w:hint="eastAsia"/>
              </w:rPr>
              <w:t>项目审批（核准</w:t>
            </w:r>
            <w:r>
              <w:t>/</w:t>
            </w:r>
          </w:p>
          <w:p>
            <w:pPr>
              <w:pStyle w:val="6"/>
              <w:bidi w:val="0"/>
            </w:pPr>
            <w:r>
              <w:rPr>
                <w:rFonts w:hint="eastAsia"/>
              </w:rPr>
              <w:t>备案）部门（选填）</w:t>
            </w:r>
          </w:p>
        </w:tc>
        <w:tc>
          <w:tcPr>
            <w:tcW w:w="2259" w:type="dxa"/>
            <w:noWrap w:val="0"/>
            <w:vAlign w:val="center"/>
          </w:tcPr>
          <w:p>
            <w:pPr>
              <w:pStyle w:val="6"/>
              <w:bidi w:val="0"/>
              <w:rPr>
                <w:rFonts w:hint="default"/>
                <w:highlight w:val="none"/>
                <w:lang w:val="en-US"/>
              </w:rPr>
            </w:pPr>
            <w:r>
              <w:rPr>
                <w:rFonts w:hint="eastAsia"/>
                <w:highlight w:val="none"/>
                <w:lang w:val="en-US" w:eastAsia="zh-CN"/>
              </w:rPr>
              <w:t>若羌</w:t>
            </w:r>
            <w:r>
              <w:rPr>
                <w:rFonts w:hint="default"/>
                <w:highlight w:val="none"/>
                <w:lang w:val="en-US" w:eastAsia="zh-CN"/>
              </w:rPr>
              <w:t>县发展和改革委员会</w:t>
            </w:r>
          </w:p>
        </w:tc>
        <w:tc>
          <w:tcPr>
            <w:tcW w:w="1884" w:type="dxa"/>
            <w:noWrap w:val="0"/>
            <w:vAlign w:val="center"/>
          </w:tcPr>
          <w:p>
            <w:pPr>
              <w:pStyle w:val="6"/>
              <w:bidi w:val="0"/>
              <w:rPr>
                <w:rFonts w:hint="default"/>
                <w:highlight w:val="none"/>
              </w:rPr>
            </w:pPr>
            <w:r>
              <w:rPr>
                <w:rFonts w:hint="default"/>
                <w:highlight w:val="none"/>
              </w:rPr>
              <w:t>项目审批（核准/</w:t>
            </w:r>
          </w:p>
          <w:p>
            <w:pPr>
              <w:pStyle w:val="6"/>
              <w:bidi w:val="0"/>
              <w:rPr>
                <w:rFonts w:hint="default"/>
                <w:highlight w:val="none"/>
              </w:rPr>
            </w:pPr>
            <w:r>
              <w:rPr>
                <w:rFonts w:hint="default"/>
                <w:highlight w:val="none"/>
              </w:rPr>
              <w:t>备案）文号（选填）</w:t>
            </w:r>
          </w:p>
        </w:tc>
        <w:tc>
          <w:tcPr>
            <w:tcW w:w="2976" w:type="dxa"/>
            <w:noWrap w:val="0"/>
            <w:vAlign w:val="center"/>
          </w:tcPr>
          <w:p>
            <w:pPr>
              <w:pStyle w:val="6"/>
              <w:bidi w:val="0"/>
              <w:rPr>
                <w:rFonts w:hint="default"/>
                <w:highlight w:val="none"/>
                <w:lang w:val="en-US"/>
              </w:rPr>
            </w:pPr>
            <w:r>
              <w:rPr>
                <w:rFonts w:hint="eastAsia"/>
                <w:highlight w:val="none"/>
                <w:lang w:val="en-US" w:eastAsia="zh-CN"/>
              </w:rPr>
              <w:t>若发改字</w:t>
            </w:r>
            <w:r>
              <w:rPr>
                <w:rFonts w:hint="default"/>
                <w:highlight w:val="none"/>
                <w:lang w:val="en-US" w:eastAsia="zh-CN"/>
              </w:rPr>
              <w:t>〔20</w:t>
            </w:r>
            <w:r>
              <w:rPr>
                <w:rFonts w:hint="eastAsia"/>
                <w:highlight w:val="none"/>
                <w:lang w:val="en-US" w:eastAsia="zh-CN"/>
              </w:rPr>
              <w:t>26</w:t>
            </w:r>
            <w:r>
              <w:rPr>
                <w:rFonts w:hint="default"/>
                <w:highlight w:val="none"/>
                <w:lang w:val="en-US" w:eastAsia="zh-CN"/>
              </w:rPr>
              <w:t>〕</w:t>
            </w:r>
            <w:r>
              <w:rPr>
                <w:rFonts w:hint="eastAsia"/>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20" w:type="dxa"/>
            <w:gridSpan w:val="2"/>
            <w:noWrap w:val="0"/>
            <w:tcMar>
              <w:top w:w="16" w:type="dxa"/>
              <w:left w:w="16" w:type="dxa"/>
              <w:right w:w="16" w:type="dxa"/>
            </w:tcMar>
            <w:vAlign w:val="center"/>
          </w:tcPr>
          <w:p>
            <w:pPr>
              <w:pStyle w:val="6"/>
              <w:bidi w:val="0"/>
            </w:pPr>
            <w:r>
              <w:rPr>
                <w:rFonts w:hint="eastAsia"/>
              </w:rPr>
              <w:t>总投资（万元）</w:t>
            </w:r>
          </w:p>
        </w:tc>
        <w:tc>
          <w:tcPr>
            <w:tcW w:w="2259" w:type="dxa"/>
            <w:noWrap w:val="0"/>
            <w:vAlign w:val="center"/>
          </w:tcPr>
          <w:p>
            <w:pPr>
              <w:pStyle w:val="6"/>
              <w:bidi w:val="0"/>
              <w:ind w:firstLine="0" w:firstLineChars="0"/>
              <w:rPr>
                <w:rFonts w:hint="default"/>
                <w:highlight w:val="none"/>
                <w:lang w:val="en-US" w:eastAsia="zh-CN"/>
              </w:rPr>
            </w:pPr>
            <w:r>
              <w:rPr>
                <w:rFonts w:hint="default"/>
                <w:highlight w:val="none"/>
                <w:lang w:val="en-US" w:eastAsia="zh-CN"/>
              </w:rPr>
              <w:t>340</w:t>
            </w:r>
          </w:p>
        </w:tc>
        <w:tc>
          <w:tcPr>
            <w:tcW w:w="1884" w:type="dxa"/>
            <w:noWrap w:val="0"/>
            <w:tcMar>
              <w:top w:w="16" w:type="dxa"/>
              <w:left w:w="16" w:type="dxa"/>
              <w:right w:w="16" w:type="dxa"/>
            </w:tcMar>
            <w:vAlign w:val="center"/>
          </w:tcPr>
          <w:p>
            <w:pPr>
              <w:pStyle w:val="6"/>
              <w:bidi w:val="0"/>
              <w:rPr>
                <w:rFonts w:hint="default"/>
                <w:highlight w:val="none"/>
              </w:rPr>
            </w:pPr>
            <w:r>
              <w:rPr>
                <w:rFonts w:hint="default"/>
                <w:highlight w:val="none"/>
              </w:rPr>
              <w:t>环保投资（万元）</w:t>
            </w:r>
          </w:p>
        </w:tc>
        <w:tc>
          <w:tcPr>
            <w:tcW w:w="2976" w:type="dxa"/>
            <w:noWrap w:val="0"/>
            <w:vAlign w:val="center"/>
          </w:tcPr>
          <w:p>
            <w:pPr>
              <w:pStyle w:val="6"/>
              <w:bidi w:val="0"/>
              <w:ind w:firstLine="0" w:firstLineChars="0"/>
              <w:jc w:val="center"/>
              <w:rPr>
                <w:rFonts w:hint="default"/>
                <w:highlight w:val="none"/>
                <w:lang w:val="en-US" w:eastAsia="zh-CN"/>
              </w:rPr>
            </w:pPr>
            <w:r>
              <w:rPr>
                <w:rFonts w:hint="eastAsia"/>
                <w:highlight w:val="none"/>
                <w:lang w:val="en-US" w:eastAsia="zh-CN"/>
              </w:rPr>
              <w:t>13.6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920" w:type="dxa"/>
            <w:gridSpan w:val="2"/>
            <w:noWrap w:val="0"/>
            <w:tcMar>
              <w:top w:w="16" w:type="dxa"/>
              <w:left w:w="16" w:type="dxa"/>
              <w:right w:w="16" w:type="dxa"/>
            </w:tcMar>
            <w:vAlign w:val="center"/>
          </w:tcPr>
          <w:p>
            <w:pPr>
              <w:pStyle w:val="6"/>
              <w:bidi w:val="0"/>
            </w:pPr>
            <w:r>
              <w:rPr>
                <w:rFonts w:hint="eastAsia"/>
              </w:rPr>
              <w:t>环保投资占比（</w:t>
            </w:r>
            <w:r>
              <w:t>%</w:t>
            </w:r>
            <w:r>
              <w:rPr>
                <w:rFonts w:hint="eastAsia"/>
              </w:rPr>
              <w:t>）</w:t>
            </w:r>
          </w:p>
        </w:tc>
        <w:tc>
          <w:tcPr>
            <w:tcW w:w="2259" w:type="dxa"/>
            <w:noWrap w:val="0"/>
            <w:vAlign w:val="center"/>
          </w:tcPr>
          <w:p>
            <w:pPr>
              <w:pStyle w:val="6"/>
              <w:bidi w:val="0"/>
              <w:ind w:firstLine="0" w:firstLineChars="0"/>
              <w:rPr>
                <w:rFonts w:hint="default"/>
                <w:highlight w:val="none"/>
                <w:lang w:val="en-US" w:eastAsia="zh-CN"/>
              </w:rPr>
            </w:pPr>
            <w:r>
              <w:rPr>
                <w:rFonts w:hint="eastAsia"/>
                <w:highlight w:val="none"/>
                <w:lang w:val="en-US" w:eastAsia="zh-CN"/>
              </w:rPr>
              <w:t>4.00</w:t>
            </w:r>
            <w:r>
              <w:rPr>
                <w:rFonts w:hint="default"/>
                <w:highlight w:val="none"/>
                <w:lang w:val="en-US" w:eastAsia="zh-CN"/>
              </w:rPr>
              <w:t>%</w:t>
            </w:r>
          </w:p>
        </w:tc>
        <w:tc>
          <w:tcPr>
            <w:tcW w:w="1884" w:type="dxa"/>
            <w:noWrap w:val="0"/>
            <w:tcMar>
              <w:top w:w="16" w:type="dxa"/>
              <w:left w:w="16" w:type="dxa"/>
              <w:right w:w="16" w:type="dxa"/>
            </w:tcMar>
            <w:vAlign w:val="center"/>
          </w:tcPr>
          <w:p>
            <w:pPr>
              <w:pStyle w:val="6"/>
              <w:bidi w:val="0"/>
              <w:rPr>
                <w:rFonts w:hint="default"/>
                <w:highlight w:val="none"/>
              </w:rPr>
            </w:pPr>
            <w:r>
              <w:rPr>
                <w:rFonts w:hint="default"/>
                <w:highlight w:val="none"/>
              </w:rPr>
              <w:t>施工工期</w:t>
            </w:r>
          </w:p>
        </w:tc>
        <w:tc>
          <w:tcPr>
            <w:tcW w:w="2976" w:type="dxa"/>
            <w:noWrap w:val="0"/>
            <w:vAlign w:val="center"/>
          </w:tcPr>
          <w:p>
            <w:pPr>
              <w:pStyle w:val="6"/>
              <w:bidi w:val="0"/>
              <w:ind w:firstLine="0" w:firstLineChars="0"/>
              <w:rPr>
                <w:rFonts w:hint="default"/>
                <w:highlight w:val="none"/>
                <w:lang w:val="en-US" w:eastAsia="zh-CN"/>
              </w:rPr>
            </w:pPr>
            <w:r>
              <w:rPr>
                <w:rFonts w:hint="eastAsia"/>
                <w:highlight w:val="none"/>
                <w:lang w:val="en-US" w:eastAsia="zh-CN"/>
              </w:rPr>
              <w:t>4</w:t>
            </w:r>
            <w:r>
              <w:rPr>
                <w:rFonts w:hint="default"/>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920" w:type="dxa"/>
            <w:gridSpan w:val="2"/>
            <w:noWrap w:val="0"/>
            <w:tcMar>
              <w:top w:w="16" w:type="dxa"/>
              <w:left w:w="16" w:type="dxa"/>
              <w:right w:w="16" w:type="dxa"/>
            </w:tcMar>
            <w:vAlign w:val="center"/>
          </w:tcPr>
          <w:p>
            <w:pPr>
              <w:pStyle w:val="6"/>
              <w:bidi w:val="0"/>
            </w:pPr>
            <w:r>
              <w:rPr>
                <w:rFonts w:hint="eastAsia"/>
              </w:rPr>
              <w:t>是否开工建设</w:t>
            </w:r>
          </w:p>
        </w:tc>
        <w:tc>
          <w:tcPr>
            <w:tcW w:w="7119" w:type="dxa"/>
            <w:gridSpan w:val="3"/>
            <w:noWrap w:val="0"/>
            <w:vAlign w:val="center"/>
          </w:tcPr>
          <w:p>
            <w:pPr>
              <w:pStyle w:val="6"/>
              <w:bidi w:val="0"/>
              <w:jc w:val="left"/>
            </w:pPr>
            <w:r>
              <w:rPr>
                <w:rFonts w:hint="eastAsia"/>
                <w:lang w:eastAsia="zh-CN"/>
              </w:rPr>
              <w:t>☑</w:t>
            </w:r>
            <w:r>
              <w:rPr>
                <w:rFonts w:hint="eastAsia"/>
              </w:rPr>
              <w:t>否</w:t>
            </w:r>
          </w:p>
          <w:p>
            <w:pPr>
              <w:pStyle w:val="6"/>
              <w:bidi w:val="0"/>
              <w:jc w:val="left"/>
            </w:pPr>
            <w:r>
              <w:rPr>
                <w:rFonts w:hint="eastAsia"/>
              </w:rPr>
              <w:t>□是：</w:t>
            </w:r>
            <w:r>
              <w:t xml:space="preserve"> </w:t>
            </w:r>
            <w:r>
              <w:rPr>
                <w:rFonts w:hint="eastAsia"/>
              </w:rPr>
              <w:t xml:space="preserve">                     </w:t>
            </w:r>
            <w: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02" w:hRule="atLeast"/>
        </w:trPr>
        <w:tc>
          <w:tcPr>
            <w:tcW w:w="1920" w:type="dxa"/>
            <w:gridSpan w:val="2"/>
            <w:noWrap w:val="0"/>
            <w:tcMar>
              <w:top w:w="16" w:type="dxa"/>
              <w:left w:w="16" w:type="dxa"/>
              <w:right w:w="16" w:type="dxa"/>
            </w:tcMar>
            <w:vAlign w:val="center"/>
          </w:tcPr>
          <w:p>
            <w:pPr>
              <w:pStyle w:val="6"/>
              <w:bidi w:val="0"/>
            </w:pPr>
            <w:r>
              <w:rPr>
                <w:rFonts w:hint="eastAsia"/>
              </w:rPr>
              <w:t>专项评价设置情况</w:t>
            </w:r>
          </w:p>
        </w:tc>
        <w:tc>
          <w:tcPr>
            <w:tcW w:w="7119" w:type="dxa"/>
            <w:gridSpan w:val="3"/>
            <w:noWrap w:val="0"/>
            <w:tcMar>
              <w:top w:w="16" w:type="dxa"/>
              <w:left w:w="16" w:type="dxa"/>
              <w:right w:w="16" w:type="dxa"/>
            </w:tcMar>
            <w:vAlign w:val="center"/>
          </w:tcPr>
          <w:p>
            <w:pPr>
              <w:pStyle w:val="6"/>
              <w:bidi w:val="0"/>
            </w:pPr>
            <w:r>
              <w:rPr>
                <w:rFonts w:hint="eastAsia"/>
                <w:lang w:val="en-US" w:eastAsia="zh-CN"/>
              </w:rPr>
              <w:t>本项目为生态影响类建设项目，不涉及大气、地表水、地下水、噪声、土壤、环境风险等专项评价触发条件，且不涉及特殊生态敏感区，根据《建设项目环境影响报告表编制技术指南（生态影响类）（试行）》，不设置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23" w:hRule="atLeast"/>
        </w:trPr>
        <w:tc>
          <w:tcPr>
            <w:tcW w:w="1920" w:type="dxa"/>
            <w:gridSpan w:val="2"/>
            <w:noWrap w:val="0"/>
            <w:tcMar>
              <w:top w:w="16" w:type="dxa"/>
              <w:left w:w="16" w:type="dxa"/>
              <w:right w:w="16" w:type="dxa"/>
            </w:tcMar>
            <w:vAlign w:val="center"/>
          </w:tcPr>
          <w:p>
            <w:pPr>
              <w:pStyle w:val="6"/>
              <w:bidi w:val="0"/>
              <w:rPr>
                <w:rFonts w:hint="eastAsia"/>
                <w:lang w:val="en-US" w:eastAsia="zh-CN"/>
              </w:rPr>
            </w:pPr>
            <w:r>
              <w:rPr>
                <w:rFonts w:hint="eastAsia"/>
                <w:lang w:val="en-US" w:eastAsia="zh-CN"/>
              </w:rPr>
              <w:t>规划情况</w:t>
            </w:r>
          </w:p>
        </w:tc>
        <w:tc>
          <w:tcPr>
            <w:tcW w:w="7119" w:type="dxa"/>
            <w:gridSpan w:val="3"/>
            <w:noWrap w:val="0"/>
            <w:tcMar>
              <w:top w:w="16" w:type="dxa"/>
              <w:left w:w="16" w:type="dxa"/>
              <w:right w:w="16" w:type="dxa"/>
            </w:tcMar>
            <w:vAlign w:val="center"/>
          </w:tcPr>
          <w:p>
            <w:pPr>
              <w:pStyle w:val="6"/>
              <w:bidi w:val="0"/>
              <w:jc w:val="left"/>
              <w:rPr>
                <w:rFonts w:hint="eastAsia"/>
                <w:lang w:val="en-US" w:eastAsia="zh-CN"/>
              </w:rPr>
            </w:pPr>
            <w:r>
              <w:rPr>
                <w:rFonts w:hint="eastAsia"/>
                <w:lang w:val="en-US" w:eastAsia="zh-CN"/>
              </w:rPr>
              <w:t>规划文件：《若羌县铁干里克镇国土空间总体规划（2021—2035年）》；</w:t>
            </w:r>
          </w:p>
          <w:p>
            <w:pPr>
              <w:pStyle w:val="6"/>
              <w:bidi w:val="0"/>
              <w:jc w:val="left"/>
              <w:rPr>
                <w:rFonts w:hint="eastAsia"/>
                <w:lang w:val="en-US" w:eastAsia="zh-CN"/>
              </w:rPr>
            </w:pPr>
            <w:r>
              <w:rPr>
                <w:rFonts w:hint="eastAsia"/>
                <w:lang w:val="en-US" w:eastAsia="zh-CN"/>
              </w:rPr>
              <w:t>审批机关：巴州人民政府；</w:t>
            </w:r>
          </w:p>
          <w:p>
            <w:pPr>
              <w:pStyle w:val="6"/>
              <w:bidi w:val="0"/>
              <w:jc w:val="left"/>
              <w:rPr>
                <w:rFonts w:hint="default"/>
                <w:lang w:val="en-US" w:eastAsia="zh-CN"/>
              </w:rPr>
            </w:pPr>
            <w:r>
              <w:rPr>
                <w:rFonts w:hint="eastAsia"/>
                <w:lang w:val="en-US" w:eastAsia="zh-CN"/>
              </w:rPr>
              <w:t>审批文件名称及文号：《关于对若羌县铁干里克镇等3个乡镇国土空间总体规划（2021—2035年）的批复》。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89" w:hRule="atLeast"/>
        </w:trPr>
        <w:tc>
          <w:tcPr>
            <w:tcW w:w="1920" w:type="dxa"/>
            <w:gridSpan w:val="2"/>
            <w:noWrap w:val="0"/>
            <w:tcMar>
              <w:top w:w="16" w:type="dxa"/>
              <w:left w:w="16" w:type="dxa"/>
              <w:right w:w="16" w:type="dxa"/>
            </w:tcMar>
            <w:vAlign w:val="center"/>
          </w:tcPr>
          <w:p>
            <w:pPr>
              <w:pStyle w:val="6"/>
              <w:bidi w:val="0"/>
            </w:pPr>
            <w:r>
              <w:rPr>
                <w:rFonts w:hint="eastAsia"/>
              </w:rPr>
              <w:t>规划环境影响</w:t>
            </w:r>
          </w:p>
          <w:p>
            <w:pPr>
              <w:pStyle w:val="6"/>
              <w:bidi w:val="0"/>
            </w:pPr>
            <w:r>
              <w:rPr>
                <w:rFonts w:hint="eastAsia"/>
              </w:rPr>
              <w:t>评价情况</w:t>
            </w:r>
          </w:p>
        </w:tc>
        <w:tc>
          <w:tcPr>
            <w:tcW w:w="7119" w:type="dxa"/>
            <w:gridSpan w:val="3"/>
            <w:noWrap w:val="0"/>
            <w:tcMar>
              <w:top w:w="16" w:type="dxa"/>
              <w:left w:w="16" w:type="dxa"/>
              <w:right w:w="16" w:type="dxa"/>
            </w:tcMar>
            <w:vAlign w:val="center"/>
          </w:tcPr>
          <w:p>
            <w:pPr>
              <w:pStyle w:val="6"/>
              <w:bidi w:val="0"/>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573" w:type="dxa"/>
            <w:noWrap w:val="0"/>
            <w:tcMar>
              <w:top w:w="16" w:type="dxa"/>
              <w:left w:w="16" w:type="dxa"/>
              <w:right w:w="16" w:type="dxa"/>
            </w:tcMar>
            <w:vAlign w:val="center"/>
          </w:tcPr>
          <w:p>
            <w:pPr>
              <w:pStyle w:val="6"/>
              <w:bidi w:val="0"/>
            </w:pPr>
            <w:r>
              <w:rPr>
                <w:rFonts w:hint="eastAsia"/>
              </w:rPr>
              <w:t>规划及规划环境影响评价符合性分析</w:t>
            </w:r>
          </w:p>
        </w:tc>
        <w:tc>
          <w:tcPr>
            <w:tcW w:w="8466" w:type="dxa"/>
            <w:gridSpan w:val="4"/>
            <w:noWrap w:val="0"/>
            <w:tcMar>
              <w:top w:w="16" w:type="dxa"/>
              <w:left w:w="16" w:type="dxa"/>
              <w:right w:w="16" w:type="dxa"/>
            </w:tcMar>
            <w:vAlign w:val="center"/>
          </w:tcPr>
          <w:p>
            <w:pPr>
              <w:pStyle w:val="3"/>
              <w:bidi w:val="0"/>
              <w:rPr>
                <w:rFonts w:hint="eastAsia"/>
                <w:lang w:val="en-US" w:eastAsia="zh-CN"/>
              </w:rPr>
            </w:pPr>
            <w:r>
              <w:rPr>
                <w:rFonts w:hint="eastAsia"/>
                <w:lang w:val="en-US" w:eastAsia="zh-CN"/>
              </w:rPr>
              <w:t>1 与《若羌县铁干里克镇国土空间总体规划（2021-2035）》符合性分析</w:t>
            </w:r>
          </w:p>
          <w:p>
            <w:pPr>
              <w:bidi w:val="0"/>
              <w:rPr>
                <w:rFonts w:hint="eastAsia"/>
                <w:lang w:val="en-US" w:eastAsia="zh-CN"/>
              </w:rPr>
            </w:pPr>
            <w:r>
              <w:rPr>
                <w:rFonts w:hint="eastAsia"/>
                <w:lang w:val="en-US" w:eastAsia="zh-CN"/>
              </w:rPr>
              <w:t>1、以镇域现状产业布局为基础，不断提升产业发展力度，继续大力发展精品红枣产业和积极培育特色经济作物，引导和扶持农民组建专业协会、农村合作社等多种农村新型经济组织，大力发展现代服务型农业和乡村休闲旅游业，形成农旅融合发展的产业格局；</w:t>
            </w:r>
          </w:p>
          <w:p>
            <w:pPr>
              <w:bidi w:val="0"/>
              <w:rPr>
                <w:rFonts w:hint="eastAsia"/>
                <w:lang w:val="en-US" w:eastAsia="zh-CN"/>
              </w:rPr>
            </w:pPr>
            <w:r>
              <w:rPr>
                <w:rFonts w:hint="eastAsia"/>
                <w:lang w:val="en-US" w:eastAsia="zh-CN"/>
              </w:rPr>
              <w:t>2、打破城乡二元结构，构建城乡融合发展新格局；建立健全休闲农业生产体系，推进传统农业向休闲农业、产业融合转变，大力发展农产品深加工</w:t>
            </w:r>
            <w:bookmarkStart w:id="8" w:name="_GoBack"/>
            <w:bookmarkEnd w:id="8"/>
            <w:r>
              <w:rPr>
                <w:rFonts w:hint="eastAsia"/>
                <w:lang w:val="en-US" w:eastAsia="zh-CN"/>
              </w:rPr>
              <w:t>业。</w:t>
            </w:r>
          </w:p>
          <w:p>
            <w:pPr>
              <w:bidi w:val="0"/>
              <w:rPr>
                <w:rFonts w:hint="eastAsia"/>
                <w:lang w:val="en-US" w:eastAsia="zh-CN"/>
              </w:rPr>
            </w:pPr>
            <w:r>
              <w:rPr>
                <w:rFonts w:hint="eastAsia"/>
                <w:lang w:val="en-US" w:eastAsia="zh-CN"/>
              </w:rPr>
              <w:t>3、至规划期末，力争把铁干里克镇建设标准化、规范化、产业化的农副产品生产基地、乡村生态旅游示范镇。</w:t>
            </w:r>
          </w:p>
          <w:p>
            <w:pPr>
              <w:bidi w:val="0"/>
            </w:pPr>
            <w:r>
              <w:rPr>
                <w:rFonts w:hint="eastAsia"/>
                <w:lang w:val="en-US" w:eastAsia="zh-CN"/>
              </w:rPr>
              <w:t>本项目属于防渗渠节水改造项目，以若羌河地表水为水源，核心为输水灌溉，本项目实施后，可减少渗漏损失，增加有效水量，降低地下水位，改善灌溉条件，提高作物产量，增加生态用水，具有良好的经济、生态、社会效益，项目的实施将为灌区经济的可持续发展奠定坚实的基础，31条渠道及其附属构筑物的实施能够有效保障项目区灌区0.1万亩的灌溉用水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573" w:type="dxa"/>
            <w:noWrap w:val="0"/>
            <w:tcMar>
              <w:top w:w="16" w:type="dxa"/>
              <w:left w:w="16" w:type="dxa"/>
              <w:right w:w="16" w:type="dxa"/>
            </w:tcMar>
            <w:vAlign w:val="center"/>
          </w:tcPr>
          <w:p>
            <w:pPr>
              <w:pStyle w:val="6"/>
              <w:bidi w:val="0"/>
              <w:rPr>
                <w:rFonts w:ascii="宋体" w:hAnsi="宋体" w:cs="宋体"/>
                <w:color w:val="auto"/>
                <w:kern w:val="0"/>
                <w:szCs w:val="21"/>
              </w:rPr>
            </w:pPr>
            <w:bookmarkStart w:id="1" w:name="_Hlk56690880"/>
            <w:r>
              <w:rPr>
                <w:rFonts w:hint="eastAsia"/>
              </w:rPr>
              <w:t>其他符合性分析</w:t>
            </w:r>
            <w:bookmarkEnd w:id="1"/>
          </w:p>
        </w:tc>
        <w:tc>
          <w:tcPr>
            <w:tcW w:w="8466" w:type="dxa"/>
            <w:gridSpan w:val="4"/>
            <w:noWrap w:val="0"/>
            <w:tcMar>
              <w:top w:w="16" w:type="dxa"/>
              <w:left w:w="16" w:type="dxa"/>
              <w:right w:w="16" w:type="dxa"/>
            </w:tcMar>
            <w:vAlign w:val="center"/>
          </w:tcPr>
          <w:p>
            <w:pPr>
              <w:pStyle w:val="3"/>
              <w:bidi w:val="0"/>
              <w:rPr>
                <w:rFonts w:hint="eastAsia"/>
              </w:rPr>
            </w:pPr>
            <w:r>
              <w:rPr>
                <w:rFonts w:hint="eastAsia"/>
                <w:lang w:val="en-US" w:eastAsia="zh-CN"/>
              </w:rPr>
              <w:t xml:space="preserve">1 </w:t>
            </w:r>
            <w:r>
              <w:rPr>
                <w:rFonts w:hint="eastAsia"/>
              </w:rPr>
              <w:t>产业政策符合性分析</w:t>
            </w:r>
          </w:p>
          <w:p>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本项目属于防渗渠节水改造项目，根据《产业结构调整指导目录（2024年本）》，项目属于</w:t>
            </w:r>
            <w:r>
              <w:rPr>
                <w:rFonts w:hint="eastAsia" w:ascii="宋体" w:hAnsi="宋体" w:eastAsia="宋体" w:cs="宋体"/>
                <w:color w:val="auto"/>
                <w:sz w:val="24"/>
                <w:szCs w:val="24"/>
                <w:lang w:eastAsia="zh-CN"/>
              </w:rPr>
              <w:t>“</w:t>
            </w:r>
            <w:r>
              <w:rPr>
                <w:rFonts w:hint="default" w:ascii="Times New Roman" w:hAnsi="Times New Roman" w:cs="Times New Roman"/>
                <w:color w:val="auto"/>
                <w:sz w:val="24"/>
                <w:szCs w:val="24"/>
                <w:lang w:val="en-US" w:eastAsia="zh-CN"/>
              </w:rPr>
              <w:t>一、农林牧渔业 3.农业节水改造和精细化管理：更新改造不符合灌溉节水标准的灌区，旱作节水农业，水资源短缺和超载地区发展雨养农业，干旱半干旱地区推广以雨养和节水为导向的绿化模式</w:t>
            </w:r>
            <w:r>
              <w:rPr>
                <w:rFonts w:hint="eastAsia" w:ascii="宋体" w:hAnsi="宋体" w:eastAsia="宋体" w:cs="宋体"/>
                <w:color w:val="auto"/>
                <w:sz w:val="24"/>
                <w:szCs w:val="24"/>
                <w:lang w:eastAsia="zh-CN"/>
              </w:rPr>
              <w:t>”</w:t>
            </w:r>
            <w:r>
              <w:rPr>
                <w:rFonts w:hint="default" w:ascii="Times New Roman" w:hAnsi="Times New Roman" w:cs="Times New Roman"/>
                <w:color w:val="auto"/>
                <w:sz w:val="24"/>
                <w:szCs w:val="24"/>
                <w:lang w:val="en-US" w:eastAsia="zh-CN"/>
              </w:rPr>
              <w:t>中提及的</w:t>
            </w:r>
            <w:r>
              <w:rPr>
                <w:rFonts w:hint="eastAsia" w:ascii="宋体" w:hAnsi="宋体" w:eastAsia="宋体" w:cs="宋体"/>
                <w:color w:val="auto"/>
                <w:sz w:val="24"/>
                <w:szCs w:val="24"/>
                <w:lang w:val="en-US" w:eastAsia="zh-CN"/>
              </w:rPr>
              <w:t>“</w:t>
            </w:r>
            <w:r>
              <w:rPr>
                <w:rFonts w:hint="default" w:ascii="Times New Roman" w:hAnsi="Times New Roman" w:cs="Times New Roman"/>
                <w:color w:val="auto"/>
                <w:sz w:val="24"/>
                <w:szCs w:val="24"/>
                <w:lang w:val="en-US" w:eastAsia="zh-CN"/>
              </w:rPr>
              <w:t>更新改造不符合灌溉节水标准的灌区</w:t>
            </w:r>
            <w:r>
              <w:rPr>
                <w:rFonts w:hint="eastAsia" w:ascii="宋体" w:hAnsi="宋体" w:eastAsia="宋体" w:cs="宋体"/>
                <w:color w:val="auto"/>
                <w:sz w:val="24"/>
                <w:szCs w:val="24"/>
                <w:lang w:val="en-US" w:eastAsia="zh-CN"/>
              </w:rPr>
              <w:t>”</w:t>
            </w:r>
            <w:r>
              <w:rPr>
                <w:rFonts w:hint="default" w:ascii="Times New Roman" w:hAnsi="Times New Roman" w:cs="Times New Roman"/>
                <w:color w:val="auto"/>
                <w:sz w:val="24"/>
                <w:szCs w:val="24"/>
                <w:lang w:val="en-US" w:eastAsia="zh-CN"/>
              </w:rPr>
              <w:t>，是</w:t>
            </w:r>
            <w:r>
              <w:rPr>
                <w:rFonts w:hint="default" w:ascii="Times New Roman" w:hAnsi="Times New Roman" w:eastAsia="宋体" w:cs="Times New Roman"/>
                <w:color w:val="auto"/>
                <w:sz w:val="24"/>
                <w:szCs w:val="24"/>
              </w:rPr>
              <w:t>鼓励类项目。</w:t>
            </w:r>
            <w:r>
              <w:rPr>
                <w:rFonts w:hint="default" w:ascii="Times New Roman" w:hAnsi="Times New Roman" w:eastAsia="宋体" w:cs="Times New Roman"/>
                <w:color w:val="auto"/>
                <w:sz w:val="24"/>
                <w:szCs w:val="24"/>
                <w:lang w:val="en-US" w:eastAsia="zh-CN"/>
              </w:rPr>
              <w:t>根据《新疆维吾尔自治区28个国家重点生态功能区县（市）产业准入负面清单（试行）》（新发改规划〔2017〕891号），项目不涉及</w:t>
            </w:r>
            <w:r>
              <w:rPr>
                <w:rFonts w:hint="eastAsia" w:ascii="宋体" w:hAnsi="宋体" w:eastAsia="宋体" w:cs="宋体"/>
                <w:color w:val="auto"/>
                <w:sz w:val="24"/>
                <w:szCs w:val="24"/>
                <w:lang w:val="en-US" w:eastAsia="zh-CN"/>
              </w:rPr>
              <w:t>“若羌县产业准入负面清单”</w:t>
            </w:r>
            <w:r>
              <w:rPr>
                <w:rFonts w:hint="default" w:ascii="Times New Roman" w:hAnsi="Times New Roman" w:eastAsia="宋体" w:cs="Times New Roman"/>
                <w:color w:val="auto"/>
                <w:sz w:val="24"/>
                <w:szCs w:val="24"/>
                <w:lang w:val="en-US" w:eastAsia="zh-CN"/>
              </w:rPr>
              <w:t>中限制类和禁止类产业。</w:t>
            </w:r>
            <w:r>
              <w:rPr>
                <w:rFonts w:hint="default" w:ascii="Times New Roman" w:hAnsi="Times New Roman" w:eastAsia="宋体" w:cs="Times New Roman"/>
                <w:color w:val="auto"/>
                <w:sz w:val="24"/>
                <w:szCs w:val="24"/>
              </w:rPr>
              <w:t>因此，本项目建设符合国家</w:t>
            </w:r>
            <w:r>
              <w:rPr>
                <w:rFonts w:hint="default" w:ascii="Times New Roman" w:hAnsi="Times New Roman" w:eastAsia="宋体" w:cs="Times New Roman"/>
                <w:color w:val="auto"/>
                <w:sz w:val="24"/>
                <w:szCs w:val="24"/>
                <w:lang w:val="en-US" w:eastAsia="zh-CN"/>
              </w:rPr>
              <w:t>及地方</w:t>
            </w:r>
            <w:r>
              <w:rPr>
                <w:rFonts w:hint="default" w:ascii="Times New Roman" w:hAnsi="Times New Roman" w:eastAsia="宋体" w:cs="Times New Roman"/>
                <w:color w:val="auto"/>
                <w:sz w:val="24"/>
                <w:szCs w:val="24"/>
              </w:rPr>
              <w:t>产业政策。</w:t>
            </w:r>
          </w:p>
          <w:p>
            <w:pPr>
              <w:pStyle w:val="3"/>
              <w:bidi w:val="0"/>
              <w:rPr>
                <w:rFonts w:hint="eastAsia"/>
              </w:rPr>
            </w:pPr>
            <w:r>
              <w:rPr>
                <w:rFonts w:hint="eastAsia"/>
                <w:lang w:val="en-US" w:eastAsia="zh-CN"/>
              </w:rPr>
              <w:t xml:space="preserve">2 </w:t>
            </w:r>
            <w:r>
              <w:rPr>
                <w:rFonts w:hint="eastAsia"/>
              </w:rPr>
              <w:t>“生态环境分区管控方案”符合性分析</w:t>
            </w:r>
          </w:p>
          <w:p>
            <w:pPr>
              <w:bidi w:val="0"/>
              <w:rPr>
                <w:rFonts w:hint="eastAsia"/>
              </w:rPr>
            </w:pPr>
            <w:r>
              <w:rPr>
                <w:rFonts w:hint="eastAsia"/>
                <w:lang w:val="en-US" w:eastAsia="zh-CN"/>
              </w:rPr>
              <w:t>（1）与《</w:t>
            </w:r>
            <w:r>
              <w:rPr>
                <w:rFonts w:hint="eastAsia"/>
              </w:rPr>
              <w:t>新疆维吾尔自治区“三线一单”生态环境分区管控方案</w:t>
            </w:r>
            <w:r>
              <w:rPr>
                <w:rFonts w:hint="eastAsia"/>
                <w:lang w:val="en-US" w:eastAsia="zh-CN"/>
              </w:rPr>
              <w:t>》符合性分析</w:t>
            </w:r>
          </w:p>
          <w:p>
            <w:pPr>
              <w:pStyle w:val="5"/>
              <w:bidi w:val="0"/>
              <w:rPr>
                <w:rFonts w:hint="eastAsia"/>
                <w:lang w:val="en-US" w:eastAsia="zh-CN"/>
              </w:rPr>
            </w:pPr>
            <w:r>
              <w:rPr>
                <w:rFonts w:hint="eastAsia"/>
                <w:lang w:val="en-US" w:eastAsia="zh-CN"/>
              </w:rPr>
              <w:t>表1-1  《新疆维吾尔自治区“三线一单”生态环境分区管控方案》符合性分析</w:t>
            </w:r>
          </w:p>
          <w:tbl>
            <w:tblPr>
              <w:tblStyle w:val="2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109"/>
              <w:gridCol w:w="3824"/>
              <w:gridCol w:w="1885"/>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gridSpan w:val="2"/>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管控维度</w:t>
                  </w:r>
                </w:p>
              </w:tc>
              <w:tc>
                <w:tcPr>
                  <w:tcW w:w="3748"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管控要求</w:t>
                  </w:r>
                </w:p>
              </w:tc>
              <w:tc>
                <w:tcPr>
                  <w:tcW w:w="1847"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本项目情况</w:t>
                  </w:r>
                </w:p>
              </w:tc>
              <w:tc>
                <w:tcPr>
                  <w:tcW w:w="649"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Merge w:val="restart"/>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A1空间布局约束</w:t>
                  </w:r>
                </w:p>
              </w:tc>
              <w:tc>
                <w:tcPr>
                  <w:tcW w:w="1087" w:type="dxa"/>
                  <w:vMerge w:val="restart"/>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A1.1禁止开发建设的活动</w:t>
                  </w:r>
                </w:p>
              </w:tc>
              <w:tc>
                <w:tcPr>
                  <w:tcW w:w="3748"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〔A1.1-1〕禁止新建、扩建《产业结构调整指导目录</w:t>
                  </w:r>
                  <w:r>
                    <w:rPr>
                      <w:rFonts w:hint="eastAsia" w:ascii="Times New Roman" w:hAnsi="Times New Roman" w:cs="Times New Roman"/>
                      <w:lang w:val="en-US" w:eastAsia="zh-CN"/>
                    </w:rPr>
                    <w:t>（</w:t>
                  </w:r>
                  <w:r>
                    <w:rPr>
                      <w:rFonts w:hint="default" w:ascii="Times New Roman" w:hAnsi="Times New Roman" w:cs="Times New Roman"/>
                      <w:lang w:val="en-US" w:eastAsia="zh-CN"/>
                    </w:rPr>
                    <w:t>2024年本</w:t>
                  </w:r>
                  <w:r>
                    <w:rPr>
                      <w:rFonts w:hint="eastAsia" w:ascii="Times New Roman" w:hAnsi="Times New Roman" w:cs="Times New Roman"/>
                      <w:lang w:val="en-US" w:eastAsia="zh-CN"/>
                    </w:rPr>
                    <w:t>）</w:t>
                  </w:r>
                  <w:r>
                    <w:rPr>
                      <w:rFonts w:hint="default" w:ascii="Times New Roman" w:hAnsi="Times New Roman" w:cs="Times New Roman"/>
                      <w:lang w:val="en-US" w:eastAsia="zh-CN"/>
                    </w:rPr>
                    <w:t>》中淘汰类项目。禁止引入《市场准入负面清单</w:t>
                  </w:r>
                  <w:r>
                    <w:rPr>
                      <w:rFonts w:hint="eastAsia" w:ascii="Times New Roman" w:hAnsi="Times New Roman" w:cs="Times New Roman"/>
                      <w:lang w:val="en-US" w:eastAsia="zh-CN"/>
                    </w:rPr>
                    <w:t>（</w:t>
                  </w:r>
                  <w:r>
                    <w:rPr>
                      <w:rFonts w:hint="default" w:ascii="Times New Roman" w:hAnsi="Times New Roman" w:cs="Times New Roman"/>
                      <w:lang w:val="en-US" w:eastAsia="zh-CN"/>
                    </w:rPr>
                    <w:t>2022年版</w:t>
                  </w:r>
                  <w:r>
                    <w:rPr>
                      <w:rFonts w:hint="eastAsia" w:ascii="Times New Roman" w:hAnsi="Times New Roman" w:cs="Times New Roman"/>
                      <w:lang w:val="en-US" w:eastAsia="zh-CN"/>
                    </w:rPr>
                    <w:t>）</w:t>
                  </w:r>
                  <w:r>
                    <w:rPr>
                      <w:rFonts w:hint="default" w:ascii="Times New Roman" w:hAnsi="Times New Roman" w:cs="Times New Roman"/>
                      <w:lang w:val="en-US" w:eastAsia="zh-CN"/>
                    </w:rPr>
                    <w:t>》禁止准入类事项。</w:t>
                  </w:r>
                </w:p>
              </w:tc>
              <w:tc>
                <w:tcPr>
                  <w:tcW w:w="1847"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本项目属于防渗渠节水改造项目，根据《产业结构调整指导目录（2024年本）》属于鼓励类项目。</w:t>
                  </w:r>
                </w:p>
              </w:tc>
              <w:tc>
                <w:tcPr>
                  <w:tcW w:w="649"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Merge w:val="continue"/>
                  <w:noWrap w:val="0"/>
                  <w:vAlign w:val="center"/>
                </w:tcPr>
                <w:p>
                  <w:pPr>
                    <w:pStyle w:val="6"/>
                    <w:bidi w:val="0"/>
                    <w:rPr>
                      <w:rFonts w:hint="default" w:ascii="Times New Roman" w:hAnsi="Times New Roman" w:cs="Times New Roman"/>
                      <w:lang w:val="en-US" w:eastAsia="zh-CN"/>
                    </w:rPr>
                  </w:pPr>
                </w:p>
              </w:tc>
              <w:tc>
                <w:tcPr>
                  <w:tcW w:w="1087" w:type="dxa"/>
                  <w:vMerge w:val="continue"/>
                  <w:noWrap w:val="0"/>
                  <w:vAlign w:val="center"/>
                </w:tcPr>
                <w:p>
                  <w:pPr>
                    <w:pStyle w:val="6"/>
                    <w:bidi w:val="0"/>
                    <w:rPr>
                      <w:rFonts w:hint="default" w:ascii="Times New Roman" w:hAnsi="Times New Roman" w:cs="Times New Roman"/>
                      <w:lang w:val="en-US" w:eastAsia="zh-CN"/>
                    </w:rPr>
                  </w:pPr>
                </w:p>
              </w:tc>
              <w:tc>
                <w:tcPr>
                  <w:tcW w:w="3748"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〔A1.1-6〕禁止在自治区行政区域内引进能</w:t>
                  </w:r>
                  <w:r>
                    <w:rPr>
                      <w:rFonts w:hint="eastAsia" w:cs="Times New Roman"/>
                      <w:lang w:val="en-US" w:eastAsia="zh-CN"/>
                    </w:rPr>
                    <w:t>（</w:t>
                  </w:r>
                  <w:r>
                    <w:rPr>
                      <w:rFonts w:hint="default" w:ascii="Times New Roman" w:hAnsi="Times New Roman" w:cs="Times New Roman"/>
                      <w:lang w:val="en-US" w:eastAsia="zh-CN"/>
                    </w:rPr>
                    <w:t>水</w:t>
                  </w:r>
                  <w:r>
                    <w:rPr>
                      <w:rFonts w:hint="eastAsia" w:cs="Times New Roman"/>
                      <w:lang w:val="en-US" w:eastAsia="zh-CN"/>
                    </w:rPr>
                    <w:t>）</w:t>
                  </w:r>
                  <w:r>
                    <w:rPr>
                      <w:rFonts w:hint="default" w:ascii="Times New Roman" w:hAnsi="Times New Roman" w:cs="Times New Roman"/>
                      <w:lang w:val="en-US" w:eastAsia="zh-CN"/>
                    </w:rPr>
                    <w:t>耗不符合相关国家标准中准入值要求且污染物排放和环境风险防控不符合国家</w:t>
                  </w:r>
                  <w:r>
                    <w:rPr>
                      <w:rFonts w:hint="eastAsia" w:ascii="Times New Roman" w:hAnsi="Times New Roman" w:cs="Times New Roman"/>
                      <w:lang w:val="en-US" w:eastAsia="zh-CN"/>
                    </w:rPr>
                    <w:t>（</w:t>
                  </w:r>
                  <w:r>
                    <w:rPr>
                      <w:rFonts w:hint="default" w:ascii="Times New Roman" w:hAnsi="Times New Roman" w:cs="Times New Roman"/>
                      <w:lang w:val="en-US" w:eastAsia="zh-CN"/>
                    </w:rPr>
                    <w:t>地方</w:t>
                  </w:r>
                  <w:r>
                    <w:rPr>
                      <w:rFonts w:hint="eastAsia" w:ascii="Times New Roman" w:hAnsi="Times New Roman" w:cs="Times New Roman"/>
                      <w:lang w:val="en-US" w:eastAsia="zh-CN"/>
                    </w:rPr>
                    <w:t>）</w:t>
                  </w:r>
                  <w:r>
                    <w:rPr>
                      <w:rFonts w:hint="default" w:ascii="Times New Roman" w:hAnsi="Times New Roman" w:cs="Times New Roman"/>
                      <w:lang w:val="en-US" w:eastAsia="zh-CN"/>
                    </w:rPr>
                    <w:t>标准及有关产业准入条件的高污染</w:t>
                  </w:r>
                  <w:r>
                    <w:rPr>
                      <w:rFonts w:hint="eastAsia" w:ascii="Times New Roman" w:hAnsi="Times New Roman" w:cs="Times New Roman"/>
                      <w:lang w:val="en-US" w:eastAsia="zh-CN"/>
                    </w:rPr>
                    <w:t>（</w:t>
                  </w:r>
                  <w:r>
                    <w:rPr>
                      <w:rFonts w:hint="default" w:ascii="Times New Roman" w:hAnsi="Times New Roman" w:cs="Times New Roman"/>
                      <w:lang w:val="en-US" w:eastAsia="zh-CN"/>
                    </w:rPr>
                    <w:t>排放</w:t>
                  </w:r>
                  <w:r>
                    <w:rPr>
                      <w:rFonts w:hint="eastAsia" w:ascii="Times New Roman" w:hAnsi="Times New Roman" w:cs="Times New Roman"/>
                      <w:lang w:val="en-US" w:eastAsia="zh-CN"/>
                    </w:rPr>
                    <w:t>）</w:t>
                  </w:r>
                  <w:r>
                    <w:rPr>
                      <w:rFonts w:hint="default" w:ascii="Times New Roman" w:hAnsi="Times New Roman" w:cs="Times New Roman"/>
                      <w:lang w:val="en-US" w:eastAsia="zh-CN"/>
                    </w:rPr>
                    <w:t>、高能</w:t>
                  </w:r>
                  <w:r>
                    <w:rPr>
                      <w:rFonts w:hint="eastAsia" w:ascii="Times New Roman" w:hAnsi="Times New Roman" w:cs="Times New Roman"/>
                      <w:lang w:val="en-US" w:eastAsia="zh-CN"/>
                    </w:rPr>
                    <w:t>（</w:t>
                  </w:r>
                  <w:r>
                    <w:rPr>
                      <w:rFonts w:hint="default" w:ascii="Times New Roman" w:hAnsi="Times New Roman" w:cs="Times New Roman"/>
                      <w:lang w:val="en-US" w:eastAsia="zh-CN"/>
                    </w:rPr>
                    <w:t>水</w:t>
                  </w:r>
                  <w:r>
                    <w:rPr>
                      <w:rFonts w:hint="eastAsia" w:ascii="Times New Roman" w:hAnsi="Times New Roman" w:cs="Times New Roman"/>
                      <w:lang w:val="en-US" w:eastAsia="zh-CN"/>
                    </w:rPr>
                    <w:t>）</w:t>
                  </w:r>
                  <w:r>
                    <w:rPr>
                      <w:rFonts w:hint="default" w:ascii="Times New Roman" w:hAnsi="Times New Roman" w:cs="Times New Roman"/>
                      <w:lang w:val="en-US" w:eastAsia="zh-CN"/>
                    </w:rPr>
                    <w:t>耗、高环境风险的工业项目。</w:t>
                  </w:r>
                </w:p>
              </w:tc>
              <w:tc>
                <w:tcPr>
                  <w:tcW w:w="1847"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项目不属于高能</w:t>
                  </w:r>
                  <w:r>
                    <w:rPr>
                      <w:rFonts w:hint="eastAsia" w:ascii="Times New Roman" w:hAnsi="Times New Roman" w:cs="Times New Roman"/>
                      <w:lang w:val="en-US" w:eastAsia="zh-CN"/>
                    </w:rPr>
                    <w:t>（</w:t>
                  </w:r>
                  <w:r>
                    <w:rPr>
                      <w:rFonts w:hint="default" w:ascii="Times New Roman" w:hAnsi="Times New Roman" w:cs="Times New Roman"/>
                      <w:lang w:val="en-US" w:eastAsia="zh-CN"/>
                    </w:rPr>
                    <w:t>水</w:t>
                  </w:r>
                  <w:r>
                    <w:rPr>
                      <w:rFonts w:hint="eastAsia" w:ascii="Times New Roman" w:hAnsi="Times New Roman" w:cs="Times New Roman"/>
                      <w:lang w:val="en-US" w:eastAsia="zh-CN"/>
                    </w:rPr>
                    <w:t>）</w:t>
                  </w:r>
                  <w:r>
                    <w:rPr>
                      <w:rFonts w:hint="default" w:ascii="Times New Roman" w:hAnsi="Times New Roman" w:cs="Times New Roman"/>
                      <w:lang w:val="en-US" w:eastAsia="zh-CN"/>
                    </w:rPr>
                    <w:t>耗、高环境风险的工业项目。</w:t>
                  </w:r>
                </w:p>
              </w:tc>
              <w:tc>
                <w:tcPr>
                  <w:tcW w:w="649"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Merge w:val="continue"/>
                  <w:noWrap w:val="0"/>
                  <w:vAlign w:val="center"/>
                </w:tcPr>
                <w:p>
                  <w:pPr>
                    <w:pStyle w:val="6"/>
                    <w:bidi w:val="0"/>
                    <w:rPr>
                      <w:rFonts w:hint="default" w:ascii="Times New Roman" w:hAnsi="Times New Roman" w:cs="Times New Roman"/>
                      <w:lang w:val="en-US" w:eastAsia="zh-CN"/>
                    </w:rPr>
                  </w:pPr>
                </w:p>
              </w:tc>
              <w:tc>
                <w:tcPr>
                  <w:tcW w:w="1087"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A1.2限制开发建设的活动</w:t>
                  </w:r>
                </w:p>
              </w:tc>
              <w:tc>
                <w:tcPr>
                  <w:tcW w:w="3748"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〔A1.2-1〕严格控制缺水地区、水污染严重区域和敏感区域高耗水、高污染行业发展。</w:t>
                  </w:r>
                </w:p>
              </w:tc>
              <w:tc>
                <w:tcPr>
                  <w:tcW w:w="1847"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本项目不属于高耗水、高污染行业。</w:t>
                  </w:r>
                </w:p>
              </w:tc>
              <w:tc>
                <w:tcPr>
                  <w:tcW w:w="649"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A2污染物排放管控</w:t>
                  </w:r>
                </w:p>
              </w:tc>
              <w:tc>
                <w:tcPr>
                  <w:tcW w:w="1087"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A2.2污染控制措施要求</w:t>
                  </w:r>
                </w:p>
              </w:tc>
              <w:tc>
                <w:tcPr>
                  <w:tcW w:w="3748"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〔A2.2-4〕强化用水定额管理。推进地下水超采综合治理。开展河湖生态流量</w:t>
                  </w:r>
                  <w:r>
                    <w:rPr>
                      <w:rFonts w:hint="eastAsia" w:ascii="Times New Roman" w:hAnsi="Times New Roman" w:cs="Times New Roman"/>
                      <w:lang w:val="en-US" w:eastAsia="zh-CN"/>
                    </w:rPr>
                    <w:t>（</w:t>
                  </w:r>
                  <w:r>
                    <w:rPr>
                      <w:rFonts w:hint="default" w:ascii="Times New Roman" w:hAnsi="Times New Roman" w:cs="Times New Roman"/>
                      <w:lang w:val="en-US" w:eastAsia="zh-CN"/>
                    </w:rPr>
                    <w:t>水量</w:t>
                  </w:r>
                  <w:r>
                    <w:rPr>
                      <w:rFonts w:hint="eastAsia" w:ascii="Times New Roman" w:hAnsi="Times New Roman" w:cs="Times New Roman"/>
                      <w:lang w:val="en-US" w:eastAsia="zh-CN"/>
                    </w:rPr>
                    <w:t>）</w:t>
                  </w:r>
                  <w:r>
                    <w:rPr>
                      <w:rFonts w:hint="default" w:ascii="Times New Roman" w:hAnsi="Times New Roman" w:cs="Times New Roman"/>
                      <w:lang w:val="en-US" w:eastAsia="zh-CN"/>
                    </w:rPr>
                    <w:t>确定工作，强化生态用水保障。</w:t>
                  </w:r>
                </w:p>
              </w:tc>
              <w:tc>
                <w:tcPr>
                  <w:tcW w:w="1847" w:type="dxa"/>
                  <w:noWrap w:val="0"/>
                  <w:vAlign w:val="center"/>
                </w:tcPr>
                <w:p>
                  <w:pPr>
                    <w:pStyle w:val="6"/>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本项目不涉及地下水开采。</w:t>
                  </w:r>
                </w:p>
              </w:tc>
              <w:tc>
                <w:tcPr>
                  <w:tcW w:w="649" w:type="dxa"/>
                  <w:noWrap w:val="0"/>
                  <w:vAlign w:val="center"/>
                </w:tcPr>
                <w:p>
                  <w:pPr>
                    <w:pStyle w:val="6"/>
                    <w:bidi w:val="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bl>
          <w:p>
            <w:pPr>
              <w:bidi w:val="0"/>
              <w:rPr>
                <w:rFonts w:hint="eastAsia" w:ascii="宋体" w:hAnsi="宋体" w:eastAsia="宋体" w:cs="宋体"/>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与《巴音郭楞蒙古自治州“三线一单”生态环境分区管控动态更新成果（2023）</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符合性分析</w:t>
            </w:r>
          </w:p>
          <w:p>
            <w:pPr>
              <w:bidi w:val="0"/>
              <w:rPr>
                <w:rFonts w:hint="eastAsia"/>
              </w:rPr>
            </w:pPr>
            <w:r>
              <w:rPr>
                <w:rFonts w:hint="eastAsia"/>
                <w:lang w:val="en-US" w:eastAsia="zh-CN"/>
              </w:rPr>
              <w:t>项目位于新疆巴音郭楞蒙古自治州若羌县铁干里克镇库尔干村、亚喀吾斯塘村，根据《巴音郭楞蒙古自治州“三线一单”生态环境分区管控动态更新成果（2023年）》（巴政办发〔2024〕32号）</w:t>
            </w:r>
            <w:r>
              <w:rPr>
                <w:rFonts w:hint="eastAsia"/>
                <w:lang w:eastAsia="zh-CN"/>
              </w:rPr>
              <w:t>，</w:t>
            </w:r>
            <w:r>
              <w:rPr>
                <w:rFonts w:hint="eastAsia"/>
              </w:rPr>
              <w:t>本项目位于</w:t>
            </w:r>
            <w:r>
              <w:rPr>
                <w:rFonts w:hint="eastAsia"/>
                <w:lang w:val="en-US" w:eastAsia="zh-CN"/>
              </w:rPr>
              <w:t>一般</w:t>
            </w:r>
            <w:r>
              <w:rPr>
                <w:rFonts w:hint="eastAsia"/>
              </w:rPr>
              <w:t>管控单元</w:t>
            </w:r>
            <w:r>
              <w:rPr>
                <w:rFonts w:hint="eastAsia"/>
                <w:lang w:eastAsia="zh-CN"/>
              </w:rPr>
              <w:t>，</w:t>
            </w:r>
            <w:r>
              <w:rPr>
                <w:rFonts w:hint="eastAsia"/>
                <w:lang w:val="en-US" w:eastAsia="zh-CN"/>
              </w:rPr>
              <w:t>其符合性分析见下表</w:t>
            </w:r>
            <w:r>
              <w:rPr>
                <w:rFonts w:hint="eastAsia"/>
              </w:rPr>
              <w:t>。</w:t>
            </w:r>
          </w:p>
          <w:p>
            <w:pPr>
              <w:pStyle w:val="5"/>
              <w:bidi w:val="0"/>
              <w:rPr>
                <w:rFonts w:hint="eastAsia"/>
              </w:rPr>
            </w:pPr>
            <w:r>
              <w:rPr>
                <w:rFonts w:hint="eastAsia"/>
              </w:rPr>
              <w:t>表1</w:t>
            </w:r>
            <w:r>
              <w:rPr>
                <w:rFonts w:hint="eastAsia"/>
                <w:lang w:val="en-US" w:eastAsia="zh-CN"/>
              </w:rPr>
              <w:t>-2</w:t>
            </w:r>
            <w:r>
              <w:rPr>
                <w:rFonts w:hint="eastAsia"/>
              </w:rPr>
              <w:t xml:space="preserve">  与</w:t>
            </w:r>
            <w:r>
              <w:rPr>
                <w:rFonts w:hint="eastAsia"/>
                <w:lang w:val="en-US" w:eastAsia="zh-CN"/>
              </w:rPr>
              <w:t>《巴音郭楞蒙古自治州生态环境准入清单》</w:t>
            </w:r>
            <w:r>
              <w:rPr>
                <w:rFonts w:hint="eastAsia"/>
              </w:rPr>
              <w:t>符</w:t>
            </w:r>
            <w:r>
              <w:rPr>
                <w:rFonts w:hint="eastAsia"/>
                <w:lang w:val="en-US" w:eastAsia="zh-CN"/>
              </w:rPr>
              <w:t>合</w:t>
            </w:r>
            <w:r>
              <w:rPr>
                <w:rFonts w:hint="eastAsia"/>
              </w:rPr>
              <w:t>性分析</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888"/>
              <w:gridCol w:w="5020"/>
              <w:gridCol w:w="1546"/>
              <w:gridCol w:w="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gridSpan w:val="2"/>
                  <w:noWrap w:val="0"/>
                  <w:vAlign w:val="center"/>
                </w:tcPr>
                <w:p>
                  <w:pPr>
                    <w:pStyle w:val="6"/>
                    <w:bidi w:val="0"/>
                    <w:rPr>
                      <w:rFonts w:hint="default"/>
                      <w:lang w:val="en-US" w:eastAsia="zh-CN"/>
                    </w:rPr>
                  </w:pPr>
                  <w:r>
                    <w:rPr>
                      <w:rFonts w:hint="default"/>
                      <w:lang w:val="en-US" w:eastAsia="zh-CN"/>
                    </w:rPr>
                    <w:t>环境管控单元编码</w:t>
                  </w:r>
                </w:p>
              </w:tc>
              <w:tc>
                <w:tcPr>
                  <w:tcW w:w="2980" w:type="pct"/>
                  <w:noWrap w:val="0"/>
                  <w:vAlign w:val="center"/>
                </w:tcPr>
                <w:p>
                  <w:pPr>
                    <w:pStyle w:val="6"/>
                    <w:bidi w:val="0"/>
                    <w:rPr>
                      <w:rFonts w:hint="default"/>
                      <w:lang w:val="en-US" w:eastAsia="zh-CN"/>
                    </w:rPr>
                  </w:pPr>
                  <w:r>
                    <w:rPr>
                      <w:rFonts w:hint="default"/>
                      <w:lang w:val="en-US" w:eastAsia="zh-CN"/>
                    </w:rPr>
                    <w:t>ZH65282430001</w:t>
                  </w:r>
                </w:p>
              </w:tc>
              <w:tc>
                <w:tcPr>
                  <w:tcW w:w="918" w:type="pct"/>
                  <w:vMerge w:val="restart"/>
                  <w:noWrap w:val="0"/>
                  <w:vAlign w:val="center"/>
                </w:tcPr>
                <w:p>
                  <w:pPr>
                    <w:pStyle w:val="6"/>
                    <w:bidi w:val="0"/>
                    <w:rPr>
                      <w:rFonts w:hint="default"/>
                      <w:lang w:eastAsia="zh-CN"/>
                    </w:rPr>
                  </w:pPr>
                  <w:r>
                    <w:rPr>
                      <w:rFonts w:hint="default"/>
                      <w:lang w:val="en-US" w:eastAsia="zh-CN"/>
                    </w:rPr>
                    <w:t>本工程情况</w:t>
                  </w:r>
                </w:p>
              </w:tc>
              <w:tc>
                <w:tcPr>
                  <w:tcW w:w="270" w:type="pct"/>
                  <w:vMerge w:val="restart"/>
                  <w:noWrap w:val="0"/>
                  <w:vAlign w:val="center"/>
                </w:tcPr>
                <w:p>
                  <w:pPr>
                    <w:pStyle w:val="6"/>
                    <w:bidi w:val="0"/>
                    <w:rPr>
                      <w:rFonts w:hint="default"/>
                      <w:lang w:val="en-US" w:eastAsia="zh-CN"/>
                    </w:rPr>
                  </w:pPr>
                  <w:r>
                    <w:rPr>
                      <w:rFonts w:hint="default"/>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gridSpan w:val="2"/>
                  <w:noWrap w:val="0"/>
                  <w:vAlign w:val="center"/>
                </w:tcPr>
                <w:p>
                  <w:pPr>
                    <w:pStyle w:val="6"/>
                    <w:bidi w:val="0"/>
                    <w:rPr>
                      <w:rFonts w:hint="default"/>
                      <w:lang w:val="en-US" w:eastAsia="zh-CN"/>
                    </w:rPr>
                  </w:pPr>
                  <w:r>
                    <w:rPr>
                      <w:rFonts w:hint="default"/>
                      <w:lang w:val="en-US" w:eastAsia="zh-CN"/>
                    </w:rPr>
                    <w:t>环境管控单元名称</w:t>
                  </w:r>
                </w:p>
              </w:tc>
              <w:tc>
                <w:tcPr>
                  <w:tcW w:w="2980" w:type="pct"/>
                  <w:noWrap w:val="0"/>
                  <w:vAlign w:val="center"/>
                </w:tcPr>
                <w:p>
                  <w:pPr>
                    <w:pStyle w:val="6"/>
                    <w:bidi w:val="0"/>
                    <w:rPr>
                      <w:rFonts w:hint="default"/>
                      <w:lang w:val="en-US" w:eastAsia="zh-CN"/>
                    </w:rPr>
                  </w:pPr>
                  <w:r>
                    <w:rPr>
                      <w:rFonts w:hint="default"/>
                      <w:lang w:val="en-US" w:eastAsia="zh-CN"/>
                    </w:rPr>
                    <w:t>若羌县一般管控区</w:t>
                  </w:r>
                </w:p>
              </w:tc>
              <w:tc>
                <w:tcPr>
                  <w:tcW w:w="918" w:type="pct"/>
                  <w:vMerge w:val="continue"/>
                  <w:noWrap w:val="0"/>
                  <w:vAlign w:val="center"/>
                </w:tcPr>
                <w:p>
                  <w:pPr>
                    <w:pStyle w:val="6"/>
                    <w:bidi w:val="0"/>
                    <w:rPr>
                      <w:rFonts w:hint="default"/>
                      <w:lang w:eastAsia="zh-CN"/>
                    </w:rPr>
                  </w:pPr>
                </w:p>
              </w:tc>
              <w:tc>
                <w:tcPr>
                  <w:tcW w:w="270" w:type="pct"/>
                  <w:vMerge w:val="continue"/>
                  <w:noWrap w:val="0"/>
                  <w:vAlign w:val="center"/>
                </w:tcPr>
                <w:p>
                  <w:pPr>
                    <w:pStyle w:val="6"/>
                    <w:bidi w:val="0"/>
                    <w:rPr>
                      <w:rFonts w:hint="defaul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gridSpan w:val="2"/>
                  <w:noWrap w:val="0"/>
                  <w:vAlign w:val="center"/>
                </w:tcPr>
                <w:p>
                  <w:pPr>
                    <w:pStyle w:val="6"/>
                    <w:bidi w:val="0"/>
                    <w:rPr>
                      <w:rFonts w:hint="default"/>
                      <w:lang w:val="en-US" w:eastAsia="zh-CN"/>
                    </w:rPr>
                  </w:pPr>
                  <w:r>
                    <w:rPr>
                      <w:rFonts w:hint="default"/>
                    </w:rPr>
                    <w:t>环境管控单元类别</w:t>
                  </w:r>
                </w:p>
              </w:tc>
              <w:tc>
                <w:tcPr>
                  <w:tcW w:w="2980" w:type="pct"/>
                  <w:noWrap w:val="0"/>
                  <w:vAlign w:val="center"/>
                </w:tcPr>
                <w:p>
                  <w:pPr>
                    <w:pStyle w:val="6"/>
                    <w:bidi w:val="0"/>
                    <w:rPr>
                      <w:rFonts w:hint="default"/>
                      <w:lang w:val="en-US" w:eastAsia="zh-CN"/>
                    </w:rPr>
                  </w:pPr>
                  <w:r>
                    <w:rPr>
                      <w:rFonts w:hint="default"/>
                      <w:lang w:val="en-US" w:eastAsia="zh-CN"/>
                    </w:rPr>
                    <w:t>一般管控单元</w:t>
                  </w:r>
                </w:p>
              </w:tc>
              <w:tc>
                <w:tcPr>
                  <w:tcW w:w="918" w:type="pct"/>
                  <w:vMerge w:val="continue"/>
                  <w:noWrap w:val="0"/>
                  <w:vAlign w:val="center"/>
                </w:tcPr>
                <w:p>
                  <w:pPr>
                    <w:pStyle w:val="6"/>
                    <w:bidi w:val="0"/>
                    <w:rPr>
                      <w:rFonts w:hint="default"/>
                      <w:lang w:eastAsia="zh-CN"/>
                    </w:rPr>
                  </w:pPr>
                </w:p>
              </w:tc>
              <w:tc>
                <w:tcPr>
                  <w:tcW w:w="270" w:type="pct"/>
                  <w:vMerge w:val="continue"/>
                  <w:noWrap w:val="0"/>
                  <w:vAlign w:val="center"/>
                </w:tcPr>
                <w:p>
                  <w:pPr>
                    <w:pStyle w:val="6"/>
                    <w:bidi w:val="0"/>
                    <w:rPr>
                      <w:rFonts w:hint="defaul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 w:type="pct"/>
                  <w:vMerge w:val="restart"/>
                  <w:noWrap w:val="0"/>
                  <w:vAlign w:val="center"/>
                </w:tcPr>
                <w:p>
                  <w:pPr>
                    <w:pStyle w:val="6"/>
                    <w:bidi w:val="0"/>
                    <w:rPr>
                      <w:rFonts w:hint="default"/>
                    </w:rPr>
                  </w:pPr>
                  <w:r>
                    <w:rPr>
                      <w:rFonts w:hint="default"/>
                      <w:lang w:val="en-US" w:eastAsia="zh-CN"/>
                    </w:rPr>
                    <w:t>管控要求</w:t>
                  </w:r>
                </w:p>
              </w:tc>
              <w:tc>
                <w:tcPr>
                  <w:tcW w:w="527" w:type="pct"/>
                  <w:noWrap w:val="0"/>
                  <w:vAlign w:val="center"/>
                </w:tcPr>
                <w:p>
                  <w:pPr>
                    <w:pStyle w:val="6"/>
                    <w:bidi w:val="0"/>
                    <w:rPr>
                      <w:rFonts w:hint="default"/>
                      <w:lang w:val="en-US" w:eastAsia="zh-CN"/>
                    </w:rPr>
                  </w:pPr>
                  <w:r>
                    <w:rPr>
                      <w:rFonts w:hint="default"/>
                      <w:lang w:val="en-US" w:eastAsia="zh-CN"/>
                    </w:rPr>
                    <w:t>空间布局约束</w:t>
                  </w:r>
                </w:p>
              </w:tc>
              <w:tc>
                <w:tcPr>
                  <w:tcW w:w="2980" w:type="pct"/>
                  <w:noWrap w:val="0"/>
                  <w:vAlign w:val="center"/>
                </w:tcPr>
                <w:p>
                  <w:pPr>
                    <w:pStyle w:val="6"/>
                    <w:bidi w:val="0"/>
                    <w:jc w:val="center"/>
                    <w:rPr>
                      <w:rFonts w:hint="default"/>
                      <w:lang w:val="en-US" w:eastAsia="zh-CN"/>
                    </w:rPr>
                  </w:pPr>
                  <w:r>
                    <w:rPr>
                      <w:rFonts w:hint="default"/>
                      <w:lang w:val="en-US" w:eastAsia="zh-CN"/>
                    </w:rPr>
                    <w:t>1.建设项目用地原则上不得占用基本农田，确需占用基本农田的建设项目须符合《中华人民共和国基本农田保护条例》中相关要求，占用耕地、林地或草地的建设项目须按照国家、自治区相关补偿要求进行补偿。</w:t>
                  </w:r>
                </w:p>
                <w:p>
                  <w:pPr>
                    <w:pStyle w:val="6"/>
                    <w:bidi w:val="0"/>
                    <w:jc w:val="center"/>
                    <w:rPr>
                      <w:rFonts w:hint="default"/>
                      <w:lang w:val="en-US" w:eastAsia="zh-CN"/>
                    </w:rPr>
                  </w:pPr>
                  <w:r>
                    <w:rPr>
                      <w:rFonts w:hint="default"/>
                      <w:lang w:val="en-US" w:eastAsia="zh-CN"/>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pPr>
                    <w:pStyle w:val="6"/>
                    <w:bidi w:val="0"/>
                    <w:jc w:val="center"/>
                    <w:rPr>
                      <w:rFonts w:hint="default"/>
                      <w:lang w:val="en-US" w:eastAsia="zh-CN"/>
                    </w:rPr>
                  </w:pPr>
                  <w:r>
                    <w:rPr>
                      <w:rFonts w:hint="default"/>
                      <w:lang w:val="en-US" w:eastAsia="zh-CN"/>
                    </w:rPr>
                    <w:t>3.永久基本农田集中区域禁止规划新建可能造成土壤污染的建设项目。涉及有毒有害物质可能造成土壤污染的新(改、扩)建项目，提出并落实土壤和地下水污染防治要求。</w:t>
                  </w:r>
                </w:p>
              </w:tc>
              <w:tc>
                <w:tcPr>
                  <w:tcW w:w="918" w:type="pct"/>
                  <w:noWrap w:val="0"/>
                  <w:vAlign w:val="center"/>
                </w:tcPr>
                <w:p>
                  <w:pPr>
                    <w:pStyle w:val="6"/>
                    <w:bidi w:val="0"/>
                    <w:jc w:val="center"/>
                    <w:rPr>
                      <w:rFonts w:hint="default"/>
                      <w:lang w:val="en-US" w:eastAsia="zh-CN"/>
                    </w:rPr>
                  </w:pPr>
                  <w:r>
                    <w:rPr>
                      <w:rFonts w:hint="default"/>
                      <w:lang w:val="en-US" w:eastAsia="zh-CN"/>
                    </w:rPr>
                    <w:t>本项目属于防渗渠节水改造项目，</w:t>
                  </w:r>
                  <w:r>
                    <w:rPr>
                      <w:rFonts w:hint="eastAsia"/>
                      <w:lang w:val="en-US" w:eastAsia="zh-CN"/>
                    </w:rPr>
                    <w:t>不涉及侵占基本农田。</w:t>
                  </w:r>
                </w:p>
              </w:tc>
              <w:tc>
                <w:tcPr>
                  <w:tcW w:w="270" w:type="pct"/>
                  <w:noWrap w:val="0"/>
                  <w:vAlign w:val="center"/>
                </w:tcPr>
                <w:p>
                  <w:pPr>
                    <w:pStyle w:val="6"/>
                    <w:bidi w:val="0"/>
                    <w:rPr>
                      <w:rFonts w:hint="default"/>
                      <w:lang w:val="en-US" w:eastAsia="zh-CN"/>
                    </w:rPr>
                  </w:pPr>
                  <w:r>
                    <w:rPr>
                      <w:rFonts w:hint="default"/>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 w:type="pct"/>
                  <w:vMerge w:val="continue"/>
                  <w:noWrap w:val="0"/>
                  <w:vAlign w:val="center"/>
                </w:tcPr>
                <w:p>
                  <w:pPr>
                    <w:pStyle w:val="6"/>
                    <w:bidi w:val="0"/>
                    <w:rPr>
                      <w:rFonts w:hint="default"/>
                      <w:lang w:val="en-US" w:eastAsia="zh-CN"/>
                    </w:rPr>
                  </w:pPr>
                </w:p>
              </w:tc>
              <w:tc>
                <w:tcPr>
                  <w:tcW w:w="527" w:type="pct"/>
                  <w:noWrap w:val="0"/>
                  <w:vAlign w:val="center"/>
                </w:tcPr>
                <w:p>
                  <w:pPr>
                    <w:pStyle w:val="6"/>
                    <w:bidi w:val="0"/>
                    <w:rPr>
                      <w:rFonts w:hint="default"/>
                      <w:lang w:val="en-US" w:eastAsia="zh-CN"/>
                    </w:rPr>
                  </w:pPr>
                  <w:r>
                    <w:rPr>
                      <w:rFonts w:hint="default"/>
                      <w:lang w:val="en-US" w:eastAsia="zh-CN"/>
                    </w:rPr>
                    <w:t>污染物排放管控</w:t>
                  </w:r>
                </w:p>
              </w:tc>
              <w:tc>
                <w:tcPr>
                  <w:tcW w:w="2980" w:type="pct"/>
                  <w:noWrap w:val="0"/>
                  <w:vAlign w:val="center"/>
                </w:tcPr>
                <w:p>
                  <w:pPr>
                    <w:pStyle w:val="6"/>
                    <w:bidi w:val="0"/>
                    <w:jc w:val="center"/>
                    <w:rPr>
                      <w:rFonts w:hint="default"/>
                      <w:lang w:val="en-US" w:eastAsia="zh-CN"/>
                    </w:rPr>
                  </w:pPr>
                  <w:r>
                    <w:rPr>
                      <w:rFonts w:hint="default"/>
                      <w:lang w:val="en-US" w:eastAsia="zh-CN"/>
                    </w:rPr>
                    <w:t>1.强化畜禽粪污资源化利用，改善养殖场通风环境，提高畜禽粪污综合利用率，减少氨挥发排放。鼓励和支持散养密集区实行畜禽粪污分户收集、集中处理。</w:t>
                  </w:r>
                </w:p>
                <w:p>
                  <w:pPr>
                    <w:pStyle w:val="6"/>
                    <w:bidi w:val="0"/>
                    <w:jc w:val="center"/>
                    <w:rPr>
                      <w:rFonts w:hint="default"/>
                      <w:lang w:val="en-US" w:eastAsia="zh-CN"/>
                    </w:rPr>
                  </w:pPr>
                  <w:r>
                    <w:rPr>
                      <w:rFonts w:hint="default"/>
                      <w:lang w:val="en-US" w:eastAsia="zh-CN"/>
                    </w:rPr>
                    <w:t>2.严格控制林地、草地、园地农药使用量，禁止使用高毒、高残留农药。</w:t>
                  </w:r>
                </w:p>
                <w:p>
                  <w:pPr>
                    <w:pStyle w:val="6"/>
                    <w:bidi w:val="0"/>
                    <w:jc w:val="center"/>
                    <w:rPr>
                      <w:rFonts w:hint="default"/>
                      <w:lang w:val="en-US" w:eastAsia="zh-CN"/>
                    </w:rPr>
                  </w:pPr>
                  <w:r>
                    <w:rPr>
                      <w:rFonts w:hint="default"/>
                      <w:lang w:val="en-US" w:eastAsia="zh-CN"/>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p>
                  <w:pPr>
                    <w:pStyle w:val="6"/>
                    <w:bidi w:val="0"/>
                    <w:jc w:val="center"/>
                    <w:rPr>
                      <w:rFonts w:hint="default"/>
                      <w:lang w:val="en-US" w:eastAsia="zh-CN"/>
                    </w:rPr>
                  </w:pPr>
                  <w:r>
                    <w:rPr>
                      <w:rFonts w:hint="default"/>
                      <w:lang w:val="en-US" w:eastAsia="zh-CN"/>
                    </w:rPr>
                    <w:t>4.对化学品生产企业、工业集聚区、尾矿库、矿山开采区、危险废物处置场、垃圾填埋场等地下水污染源及周边区域，逐步开展地下水环境状况调查评估，加强风险管控。</w:t>
                  </w:r>
                </w:p>
                <w:p>
                  <w:pPr>
                    <w:pStyle w:val="6"/>
                    <w:bidi w:val="0"/>
                    <w:jc w:val="center"/>
                    <w:rPr>
                      <w:rFonts w:hint="default"/>
                      <w:lang w:val="en-US" w:eastAsia="zh-CN"/>
                    </w:rPr>
                  </w:pPr>
                  <w:r>
                    <w:rPr>
                      <w:rFonts w:hint="default"/>
                      <w:lang w:val="en-US" w:eastAsia="zh-CN"/>
                    </w:rPr>
                    <w:t>5.严控土壤重金属污染，加强油（气）田开发土壤污染防治，以历史遗留工业企业污染场地为重点，开展土壤污染风险管控与修复工程。</w:t>
                  </w:r>
                </w:p>
              </w:tc>
              <w:tc>
                <w:tcPr>
                  <w:tcW w:w="918" w:type="pct"/>
                  <w:noWrap w:val="0"/>
                  <w:vAlign w:val="center"/>
                </w:tcPr>
                <w:p>
                  <w:pPr>
                    <w:pStyle w:val="6"/>
                    <w:bidi w:val="0"/>
                    <w:jc w:val="center"/>
                    <w:rPr>
                      <w:rFonts w:hint="default"/>
                      <w:lang w:val="en-US" w:eastAsia="zh-CN"/>
                    </w:rPr>
                  </w:pPr>
                  <w:r>
                    <w:rPr>
                      <w:rFonts w:hint="default"/>
                      <w:lang w:val="en-US" w:eastAsia="zh-CN"/>
                    </w:rPr>
                    <w:t>项目为生态类项目，不涉及污染物排放；施工期废水不外排。</w:t>
                  </w:r>
                </w:p>
              </w:tc>
              <w:tc>
                <w:tcPr>
                  <w:tcW w:w="270" w:type="pct"/>
                  <w:noWrap w:val="0"/>
                  <w:vAlign w:val="center"/>
                </w:tcPr>
                <w:p>
                  <w:pPr>
                    <w:pStyle w:val="6"/>
                    <w:bidi w:val="0"/>
                    <w:rPr>
                      <w:rFonts w:hint="default"/>
                      <w:lang w:eastAsia="zh-CN"/>
                    </w:rPr>
                  </w:pPr>
                  <w:r>
                    <w:rPr>
                      <w:rFonts w:hint="default"/>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 w:type="pct"/>
                  <w:vMerge w:val="continue"/>
                  <w:noWrap w:val="0"/>
                  <w:vAlign w:val="center"/>
                </w:tcPr>
                <w:p>
                  <w:pPr>
                    <w:pStyle w:val="6"/>
                    <w:bidi w:val="0"/>
                    <w:rPr>
                      <w:rFonts w:hint="default"/>
                      <w:lang w:val="en-US" w:eastAsia="zh-CN"/>
                    </w:rPr>
                  </w:pPr>
                </w:p>
              </w:tc>
              <w:tc>
                <w:tcPr>
                  <w:tcW w:w="527" w:type="pct"/>
                  <w:noWrap w:val="0"/>
                  <w:vAlign w:val="center"/>
                </w:tcPr>
                <w:p>
                  <w:pPr>
                    <w:pStyle w:val="6"/>
                    <w:bidi w:val="0"/>
                    <w:rPr>
                      <w:rFonts w:hint="default"/>
                      <w:lang w:val="en-US" w:eastAsia="zh-CN"/>
                    </w:rPr>
                  </w:pPr>
                  <w:r>
                    <w:rPr>
                      <w:rFonts w:hint="default"/>
                      <w:lang w:val="en-US" w:eastAsia="zh-CN"/>
                    </w:rPr>
                    <w:t>环境风险防控</w:t>
                  </w:r>
                </w:p>
              </w:tc>
              <w:tc>
                <w:tcPr>
                  <w:tcW w:w="2980" w:type="pct"/>
                  <w:noWrap w:val="0"/>
                  <w:vAlign w:val="center"/>
                </w:tcPr>
                <w:p>
                  <w:pPr>
                    <w:pStyle w:val="6"/>
                    <w:bidi w:val="0"/>
                    <w:jc w:val="center"/>
                    <w:rPr>
                      <w:rFonts w:hint="default"/>
                      <w:lang w:val="en-US" w:eastAsia="zh-CN"/>
                    </w:rPr>
                  </w:pPr>
                  <w:r>
                    <w:rPr>
                      <w:rFonts w:hint="default"/>
                      <w:lang w:val="en-US" w:eastAsia="zh-CN"/>
                    </w:rPr>
                    <w:t>3.依法推行农用地分类管理制度，强化受污染耕地安全利用和风险管控。因地制宜制定实施安全利用方案，鼓励采取种植结构调整等措施，确保受污染耕地全部实现安全利用。</w:t>
                  </w:r>
                </w:p>
                <w:p>
                  <w:pPr>
                    <w:pStyle w:val="6"/>
                    <w:bidi w:val="0"/>
                    <w:jc w:val="center"/>
                    <w:rPr>
                      <w:rFonts w:hint="default"/>
                      <w:lang w:val="en-US" w:eastAsia="zh-CN"/>
                    </w:rPr>
                  </w:pPr>
                  <w:r>
                    <w:rPr>
                      <w:rFonts w:hint="default"/>
                      <w:lang w:val="en-US" w:eastAsia="zh-CN"/>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918" w:type="pct"/>
                  <w:noWrap w:val="0"/>
                  <w:vAlign w:val="center"/>
                </w:tcPr>
                <w:p>
                  <w:pPr>
                    <w:pStyle w:val="6"/>
                    <w:bidi w:val="0"/>
                    <w:jc w:val="center"/>
                    <w:rPr>
                      <w:rFonts w:hint="default"/>
                      <w:lang w:val="en-US" w:eastAsia="zh-CN"/>
                    </w:rPr>
                  </w:pPr>
                  <w:r>
                    <w:rPr>
                      <w:rFonts w:hint="default"/>
                      <w:highlight w:val="none"/>
                      <w:lang w:val="en-US" w:eastAsia="zh-CN"/>
                    </w:rPr>
                    <w:t>本项目运营期无污染物排放，施工期无废水外排；固体废物储存场所等配备完善的防扬散、防流失、防渗漏措施，强化水土保持措施落实，严格控制施工扰动范围，做好临时堆土、开挖面、施工便道的防风固沙与拦挡、苫盖、洒水等防护，防止水土流失与风蚀沙化。</w:t>
                  </w:r>
                </w:p>
              </w:tc>
              <w:tc>
                <w:tcPr>
                  <w:tcW w:w="270" w:type="pct"/>
                  <w:noWrap w:val="0"/>
                  <w:vAlign w:val="center"/>
                </w:tcPr>
                <w:p>
                  <w:pPr>
                    <w:pStyle w:val="6"/>
                    <w:bidi w:val="0"/>
                    <w:rPr>
                      <w:rFonts w:hint="default"/>
                      <w:lang w:eastAsia="zh-CN"/>
                    </w:rPr>
                  </w:pPr>
                  <w:r>
                    <w:rPr>
                      <w:rFonts w:hint="default"/>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 w:type="pct"/>
                  <w:vMerge w:val="continue"/>
                  <w:noWrap w:val="0"/>
                  <w:vAlign w:val="center"/>
                </w:tcPr>
                <w:p>
                  <w:pPr>
                    <w:pStyle w:val="6"/>
                    <w:bidi w:val="0"/>
                    <w:rPr>
                      <w:rFonts w:hint="default"/>
                      <w:lang w:val="en-US" w:eastAsia="zh-CN"/>
                    </w:rPr>
                  </w:pPr>
                </w:p>
              </w:tc>
              <w:tc>
                <w:tcPr>
                  <w:tcW w:w="527" w:type="pct"/>
                  <w:noWrap w:val="0"/>
                  <w:vAlign w:val="center"/>
                </w:tcPr>
                <w:p>
                  <w:pPr>
                    <w:pStyle w:val="6"/>
                    <w:bidi w:val="0"/>
                    <w:rPr>
                      <w:rFonts w:hint="default"/>
                      <w:lang w:val="en-US" w:eastAsia="zh-CN"/>
                    </w:rPr>
                  </w:pPr>
                  <w:r>
                    <w:rPr>
                      <w:rFonts w:hint="default"/>
                      <w:lang w:val="en-US" w:eastAsia="zh-CN"/>
                    </w:rPr>
                    <w:t>资源利用效率</w:t>
                  </w:r>
                </w:p>
              </w:tc>
              <w:tc>
                <w:tcPr>
                  <w:tcW w:w="2980" w:type="pct"/>
                  <w:noWrap w:val="0"/>
                  <w:vAlign w:val="center"/>
                </w:tcPr>
                <w:p>
                  <w:pPr>
                    <w:pStyle w:val="6"/>
                    <w:bidi w:val="0"/>
                    <w:jc w:val="center"/>
                    <w:rPr>
                      <w:rFonts w:hint="default"/>
                      <w:lang w:val="en-US" w:eastAsia="zh-CN"/>
                    </w:rPr>
                  </w:pPr>
                  <w:r>
                    <w:rPr>
                      <w:rFonts w:hint="default"/>
                      <w:lang w:val="en-US" w:eastAsia="zh-CN"/>
                    </w:rPr>
                    <w:t>3.推广渠道防渗、管道输水、喷灌、微灌等节水灌溉技术，完善灌溉用水计量设施。推进规模化高效节水灌溉，推广农作物节水抗旱技术。建立灌区墒情测报网络，提高农业用水效率，降低农业用水比重。</w:t>
                  </w:r>
                </w:p>
              </w:tc>
              <w:tc>
                <w:tcPr>
                  <w:tcW w:w="918" w:type="pct"/>
                  <w:noWrap w:val="0"/>
                  <w:vAlign w:val="center"/>
                </w:tcPr>
                <w:p>
                  <w:pPr>
                    <w:pStyle w:val="6"/>
                    <w:bidi w:val="0"/>
                    <w:jc w:val="center"/>
                    <w:rPr>
                      <w:rFonts w:hint="default"/>
                      <w:lang w:val="en-US" w:eastAsia="zh-CN"/>
                    </w:rPr>
                  </w:pPr>
                  <w:r>
                    <w:rPr>
                      <w:rFonts w:hint="default"/>
                      <w:lang w:val="en-US" w:eastAsia="zh-CN"/>
                    </w:rPr>
                    <w:t>本项目属于防渗渠节水改造项目，能够完善灌溉用水设施。</w:t>
                  </w:r>
                </w:p>
              </w:tc>
              <w:tc>
                <w:tcPr>
                  <w:tcW w:w="270" w:type="pct"/>
                  <w:noWrap w:val="0"/>
                  <w:vAlign w:val="center"/>
                </w:tcPr>
                <w:p>
                  <w:pPr>
                    <w:pStyle w:val="6"/>
                    <w:bidi w:val="0"/>
                    <w:rPr>
                      <w:rFonts w:hint="default"/>
                      <w:lang w:eastAsia="zh-CN"/>
                    </w:rPr>
                  </w:pPr>
                  <w:r>
                    <w:rPr>
                      <w:rFonts w:hint="default"/>
                      <w:lang w:val="en-US" w:eastAsia="zh-CN"/>
                    </w:rPr>
                    <w:t>符合</w:t>
                  </w:r>
                </w:p>
              </w:tc>
            </w:tr>
          </w:tbl>
          <w:p>
            <w:pPr>
              <w:pStyle w:val="3"/>
              <w:bidi w:val="0"/>
              <w:rPr>
                <w:rFonts w:hint="eastAsia"/>
                <w:lang w:val="en-US" w:eastAsia="zh-CN"/>
              </w:rPr>
            </w:pPr>
            <w:r>
              <w:rPr>
                <w:rFonts w:hint="eastAsia"/>
                <w:lang w:val="en-US" w:eastAsia="zh-CN"/>
              </w:rPr>
              <w:t>3 与《新疆生态环境保护“十四五”规划》符合性分析</w:t>
            </w:r>
          </w:p>
          <w:p>
            <w:pPr>
              <w:keepLines w:val="0"/>
              <w:pageBreakBefore w:val="0"/>
              <w:kinsoku/>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《新疆生态环境保护</w:t>
            </w:r>
            <w:r>
              <w:rPr>
                <w:rFonts w:hint="eastAsia" w:ascii="宋体" w:hAnsi="宋体" w:eastAsia="宋体" w:cs="宋体"/>
                <w:color w:val="auto"/>
                <w:sz w:val="24"/>
                <w:szCs w:val="24"/>
                <w:highlight w:val="none"/>
              </w:rPr>
              <w:t>“十四五”</w:t>
            </w:r>
            <w:r>
              <w:rPr>
                <w:rFonts w:hint="default" w:ascii="Times New Roman" w:hAnsi="Times New Roman" w:eastAsia="宋体" w:cs="Times New Roman"/>
                <w:color w:val="auto"/>
                <w:sz w:val="24"/>
                <w:szCs w:val="24"/>
                <w:highlight w:val="none"/>
              </w:rPr>
              <w:t>规划》</w:t>
            </w:r>
            <w:r>
              <w:rPr>
                <w:rFonts w:hint="default" w:ascii="Times New Roman" w:hAnsi="Times New Roman" w:eastAsia="宋体" w:cs="Times New Roman"/>
                <w:color w:val="auto"/>
                <w:sz w:val="24"/>
                <w:szCs w:val="24"/>
                <w:highlight w:val="none"/>
                <w:lang w:eastAsia="zh-CN"/>
              </w:rPr>
              <w:t>中</w:t>
            </w:r>
            <w:r>
              <w:rPr>
                <w:rFonts w:hint="default" w:ascii="Times New Roman" w:hAnsi="Times New Roman" w:eastAsia="宋体" w:cs="Times New Roman"/>
                <w:color w:val="auto"/>
                <w:sz w:val="24"/>
                <w:szCs w:val="24"/>
                <w:highlight w:val="none"/>
              </w:rPr>
              <w:t>第六章强化</w:t>
            </w:r>
            <w:r>
              <w:rPr>
                <w:rFonts w:hint="eastAsia" w:ascii="宋体" w:hAnsi="宋体" w:eastAsia="宋体" w:cs="宋体"/>
                <w:color w:val="auto"/>
                <w:sz w:val="24"/>
                <w:szCs w:val="24"/>
                <w:highlight w:val="none"/>
              </w:rPr>
              <w:t>“三水”</w:t>
            </w:r>
            <w:r>
              <w:rPr>
                <w:rFonts w:hint="default" w:ascii="Times New Roman" w:hAnsi="Times New Roman" w:eastAsia="宋体" w:cs="Times New Roman"/>
                <w:color w:val="auto"/>
                <w:sz w:val="24"/>
                <w:szCs w:val="24"/>
                <w:highlight w:val="none"/>
              </w:rPr>
              <w:t>统筹，提升水生态环境第一节推进</w:t>
            </w:r>
            <w:r>
              <w:rPr>
                <w:rFonts w:hint="eastAsia" w:ascii="宋体" w:hAnsi="宋体" w:eastAsia="宋体" w:cs="宋体"/>
                <w:color w:val="auto"/>
                <w:sz w:val="24"/>
                <w:szCs w:val="24"/>
                <w:highlight w:val="none"/>
              </w:rPr>
              <w:t>“三水”</w:t>
            </w:r>
            <w:r>
              <w:rPr>
                <w:rFonts w:hint="default" w:ascii="Times New Roman" w:hAnsi="Times New Roman" w:eastAsia="宋体" w:cs="Times New Roman"/>
                <w:color w:val="auto"/>
                <w:sz w:val="24"/>
                <w:szCs w:val="24"/>
                <w:highlight w:val="none"/>
              </w:rPr>
              <w:t>统筹管理</w:t>
            </w:r>
            <w:r>
              <w:rPr>
                <w:rFonts w:hint="default" w:ascii="Times New Roman" w:hAnsi="Times New Roman" w:eastAsia="宋体" w:cs="Times New Roman"/>
                <w:color w:val="auto"/>
                <w:sz w:val="24"/>
                <w:szCs w:val="24"/>
                <w:highlight w:val="none"/>
                <w:lang w:eastAsia="zh-CN"/>
              </w:rPr>
              <w:t>明确了</w:t>
            </w:r>
            <w:r>
              <w:rPr>
                <w:rFonts w:hint="default" w:ascii="Times New Roman" w:hAnsi="Times New Roman" w:eastAsia="宋体" w:cs="Times New Roman"/>
                <w:color w:val="auto"/>
                <w:sz w:val="24"/>
                <w:szCs w:val="24"/>
                <w:highlight w:val="none"/>
              </w:rPr>
              <w:t>加强水资源、水生态、水环境系统管理。强化水资源刚性约束，深入推进最严格水资源管理制度，严格实行区域用水总量和强度控制，强化节水约束性指标管理。严格河湖生态流量管理，增加生态用水保障，促进水生态恢复。到2025年，全疆用水总量控制在539.27亿立方米以内（其中兵团用水总量控制在117.38亿立方米以内），农业灌溉水有效利用系数提高到0.58。建立和完善统一的污染物总量控制和监督管理系统，制定从源头准入到污染物排放许可控制的水污染减排方案。全面落实河（湖）长制，实施水陆统筹的水污染减排机制，严格执行污染物排放总量控制，整体推进水功能区水质稳中向好。巩固提升城市黑臭水体治理成效，推动实现长治久清。</w:t>
            </w:r>
          </w:p>
          <w:p>
            <w:pPr>
              <w:keepLines w:val="0"/>
              <w:pageBreakBefore w:val="0"/>
              <w:kinsoku/>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第八章推进农业绿色生产，改善农村生态环境第一节大力发展节水农业</w:t>
            </w:r>
            <w:r>
              <w:rPr>
                <w:rFonts w:hint="default" w:ascii="Times New Roman" w:hAnsi="Times New Roman" w:eastAsia="宋体" w:cs="Times New Roman"/>
                <w:color w:val="auto"/>
                <w:sz w:val="24"/>
                <w:szCs w:val="24"/>
                <w:highlight w:val="none"/>
                <w:lang w:eastAsia="zh-CN"/>
              </w:rPr>
              <w:t>中明确了要</w:t>
            </w:r>
            <w:r>
              <w:rPr>
                <w:rFonts w:hint="default" w:ascii="Times New Roman" w:hAnsi="Times New Roman" w:eastAsia="宋体" w:cs="Times New Roman"/>
                <w:color w:val="auto"/>
                <w:sz w:val="24"/>
                <w:szCs w:val="24"/>
                <w:highlight w:val="none"/>
              </w:rPr>
              <w:t>因地制宜调整农业结构和种植结构，改进耕作方式，减少高耗水作物种植规模，发展节水农业。推进以水定地、量水生产、适水种植，严控灌溉规模，稳妥有序推进退地减水工作。加强工程节水，推进农田水利设施提档升级，加快大中型灌区续建配套与节水改造，在有条件的地方开展重点灌区现代化改造，发展农业高效节水灌溉，提高用水效率和效益。持续推进高标准农田建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0" w:firstLineChars="200"/>
              <w:textAlignment w:val="auto"/>
              <w:rPr>
                <w:rFonts w:hint="eastAsia" w:ascii="宋体" w:hAnsi="宋体" w:eastAsia="宋体" w:cs="宋体"/>
                <w:b/>
                <w:bCs/>
                <w:color w:val="auto"/>
                <w:sz w:val="24"/>
                <w:szCs w:val="24"/>
                <w:lang w:val="en-US" w:eastAsia="zh-CN"/>
              </w:rPr>
            </w:pPr>
            <w:r>
              <w:rPr>
                <w:rFonts w:hint="default" w:ascii="Times New Roman" w:hAnsi="Times New Roman" w:eastAsia="宋体" w:cs="Times New Roman"/>
                <w:color w:val="auto"/>
                <w:sz w:val="24"/>
                <w:szCs w:val="24"/>
                <w:highlight w:val="none"/>
              </w:rPr>
              <w:t>本项目属于防渗渠节水改造项目</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该工程</w:t>
            </w:r>
            <w:r>
              <w:rPr>
                <w:rFonts w:hint="default" w:ascii="Times New Roman" w:hAnsi="Times New Roman" w:eastAsia="宋体" w:cs="Times New Roman"/>
                <w:color w:val="auto"/>
                <w:sz w:val="24"/>
                <w:szCs w:val="24"/>
                <w:highlight w:val="none"/>
                <w:lang w:eastAsia="zh-CN"/>
              </w:rPr>
              <w:t>建设能有效</w:t>
            </w:r>
            <w:r>
              <w:rPr>
                <w:rFonts w:hint="eastAsia" w:ascii="Times New Roman" w:hAnsi="Times New Roman" w:eastAsia="宋体" w:cs="Times New Roman"/>
                <w:color w:val="auto"/>
                <w:sz w:val="24"/>
                <w:szCs w:val="24"/>
                <w:highlight w:val="none"/>
                <w:lang w:eastAsia="zh-CN"/>
              </w:rPr>
              <w:t>地</w:t>
            </w:r>
            <w:r>
              <w:rPr>
                <w:rFonts w:hint="default" w:ascii="Times New Roman" w:hAnsi="Times New Roman" w:eastAsia="宋体" w:cs="Times New Roman"/>
                <w:color w:val="auto"/>
                <w:sz w:val="24"/>
                <w:szCs w:val="24"/>
                <w:highlight w:val="none"/>
                <w:lang w:eastAsia="zh-CN"/>
              </w:rPr>
              <w:t>提高</w:t>
            </w:r>
            <w:r>
              <w:rPr>
                <w:rFonts w:hint="default" w:ascii="Times New Roman" w:hAnsi="Times New Roman" w:eastAsia="宋体" w:cs="Times New Roman"/>
                <w:color w:val="auto"/>
                <w:sz w:val="24"/>
                <w:szCs w:val="24"/>
                <w:highlight w:val="none"/>
              </w:rPr>
              <w:t>农业灌溉水有效利用系数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发展农业高效节水灌溉，提高</w:t>
            </w:r>
            <w:r>
              <w:rPr>
                <w:rFonts w:hint="default" w:ascii="Times New Roman" w:hAnsi="Times New Roman" w:eastAsia="宋体" w:cs="Times New Roman"/>
                <w:color w:val="auto"/>
                <w:sz w:val="24"/>
                <w:szCs w:val="24"/>
                <w:highlight w:val="none"/>
                <w:lang w:eastAsia="zh-CN"/>
              </w:rPr>
              <w:t>了</w:t>
            </w:r>
            <w:r>
              <w:rPr>
                <w:rFonts w:hint="default" w:ascii="Times New Roman" w:hAnsi="Times New Roman" w:eastAsia="宋体" w:cs="Times New Roman"/>
                <w:color w:val="auto"/>
                <w:sz w:val="24"/>
                <w:szCs w:val="24"/>
                <w:highlight w:val="none"/>
              </w:rPr>
              <w:t>用水效率和效益</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本项目的建设符合规划要求。</w:t>
            </w:r>
          </w:p>
          <w:p>
            <w:pPr>
              <w:pStyle w:val="3"/>
              <w:bidi w:val="0"/>
              <w:rPr>
                <w:rFonts w:hint="eastAsia"/>
                <w:lang w:val="en-US" w:eastAsia="zh-CN"/>
              </w:rPr>
            </w:pPr>
            <w:r>
              <w:rPr>
                <w:rFonts w:hint="eastAsia"/>
                <w:lang w:val="en-US" w:eastAsia="zh-CN"/>
              </w:rPr>
              <w:t>4 项目与《若羌县国民经济和社会发展第十四个五年规划和2035年远景目标》符合性分析</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第三节 加强水利基础设施建设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进重点水源工程建设。重点实施若羌河水库引输水工程、瓦石峡水库工程建设；加快车尔臣河调水、古尔嘎赫德河调水等重大水利工程前期工作，力争“十四五”期末开工，规划建设一批山前小型水库、平原拦洪蓄水工程，切实发挥水资源调配效益，着力提高水资源调蓄能力；加快抗旱水源工程建设，通过科学配置和优化调度，发挥水源调节互补的抗旱作用，解决群众生活生产用水问题，增强城乡供水保障和应急能力。加强城市应急和备用水源建设，完善城市水源格局，增强城市应急供水能力，提高城市供水水源安全保障能力。</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落实最严格的水资源管理制度。严守水资源利用“三条红线”。落实以水定需，严格控制水资源开发利用上限。根据水资源承载能力区域分类，实施差别化管控措施，完善主要农作物、工业产品和生活服务业先进用水定额体系。推进重大规划和产业布局水资源论证，严格实行取水许可制度，加强对重点用水户、特殊用水行业用水户的监督管理。加强农业节水，推进退地减水，推广节水灌溉技术，完善灌溉用水计量设施，建设高效节水示范区。加强工业水循环利用。实施再生水利用工程，高标准节水灌溉工程。严格控制地下水开采，实施好地下水超采区治理工程。推进水价改革，探索梯级用水制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夯实农村水利基础设施。大力实施农田水利工程，加强农村供水设施改造与建设，提升农村水利基本公共服务水平。加强中小型农田水利设施建设。积极实施农村饮水提质增效工程，推进农村饮水安全巩固提升工程，提高农村饮用水处理能力，提升供水保证率、水质达标率和供水保障程度。实施水利规划信息化建设，配套水源骨干工程、防洪、灌区、农村供水、水资源监控、水环境监测等自动化控制系统，提高全县水利信息化水平。加大水土保持监管力度，严格执行水土保持“三同时”（水土保持与项目主体工程同时设计、同时施工、同时竣工验收投入使用），依法征收水土保持补偿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本项目属于防渗渠节水改造项目，以若羌河地表水为水源，核心为输水灌溉，本项目</w:t>
            </w:r>
            <w:r>
              <w:rPr>
                <w:rFonts w:hint="default" w:ascii="Times New Roman" w:hAnsi="Times New Roman" w:eastAsia="宋体" w:cs="Times New Roman"/>
                <w:color w:val="auto"/>
                <w:sz w:val="24"/>
                <w:szCs w:val="24"/>
                <w:lang w:val="en-US" w:eastAsia="zh-CN"/>
              </w:rPr>
              <w:t>实施后，可减少渗漏损失，增加有效水量，降低地下水位，改善灌溉条件，提高作物产量，增加生态用水，具有良好的经济、生态、社会效益，项目的实施将为灌区经济的可持续发展奠定坚实的基础，</w:t>
            </w:r>
            <w:r>
              <w:rPr>
                <w:rFonts w:hint="eastAsia" w:cs="Times New Roman"/>
                <w:color w:val="auto"/>
                <w:sz w:val="24"/>
                <w:szCs w:val="24"/>
                <w:lang w:val="en-US" w:eastAsia="zh-CN"/>
              </w:rPr>
              <w:t>31</w:t>
            </w:r>
            <w:r>
              <w:rPr>
                <w:rFonts w:hint="default" w:ascii="Times New Roman" w:hAnsi="Times New Roman" w:eastAsia="宋体" w:cs="Times New Roman"/>
                <w:color w:val="auto"/>
                <w:sz w:val="24"/>
                <w:szCs w:val="24"/>
                <w:lang w:val="en-US" w:eastAsia="zh-CN"/>
              </w:rPr>
              <w:t>条渠道</w:t>
            </w:r>
            <w:r>
              <w:rPr>
                <w:rFonts w:hint="eastAsia" w:cs="Times New Roman"/>
                <w:color w:val="auto"/>
                <w:sz w:val="24"/>
                <w:szCs w:val="24"/>
                <w:lang w:val="en-US" w:eastAsia="zh-CN"/>
              </w:rPr>
              <w:t>及其附属构筑物</w:t>
            </w:r>
            <w:r>
              <w:rPr>
                <w:rFonts w:hint="default" w:ascii="Times New Roman" w:hAnsi="Times New Roman" w:eastAsia="宋体" w:cs="Times New Roman"/>
                <w:color w:val="auto"/>
                <w:sz w:val="24"/>
                <w:szCs w:val="24"/>
                <w:lang w:val="en-US" w:eastAsia="zh-CN"/>
              </w:rPr>
              <w:t>的实施能够有效保障项目区灌区</w:t>
            </w:r>
            <w:r>
              <w:rPr>
                <w:rFonts w:hint="eastAsia" w:cs="Times New Roman"/>
                <w:color w:val="auto"/>
                <w:sz w:val="24"/>
                <w:szCs w:val="24"/>
                <w:highlight w:val="none"/>
                <w:lang w:val="en-US" w:eastAsia="zh-CN"/>
              </w:rPr>
              <w:t>0.1万亩</w:t>
            </w:r>
            <w:r>
              <w:rPr>
                <w:rFonts w:hint="default" w:ascii="Times New Roman" w:hAnsi="Times New Roman" w:eastAsia="宋体" w:cs="Times New Roman"/>
                <w:color w:val="auto"/>
                <w:sz w:val="24"/>
                <w:szCs w:val="24"/>
                <w:highlight w:val="none"/>
                <w:lang w:val="en-US" w:eastAsia="zh-CN"/>
              </w:rPr>
              <w:t>的灌溉用水量</w:t>
            </w:r>
            <w:r>
              <w:rPr>
                <w:rFonts w:hint="default" w:ascii="Times New Roman" w:hAnsi="Times New Roman" w:eastAsia="宋体" w:cs="Times New Roman"/>
                <w:color w:val="auto"/>
                <w:sz w:val="24"/>
                <w:szCs w:val="24"/>
                <w:lang w:val="en-US" w:eastAsia="zh-CN"/>
              </w:rPr>
              <w:t>。</w:t>
            </w:r>
          </w:p>
          <w:p>
            <w:pPr>
              <w:pStyle w:val="3"/>
              <w:bidi w:val="0"/>
              <w:rPr>
                <w:rFonts w:hint="default"/>
                <w:highlight w:val="none"/>
              </w:rPr>
            </w:pPr>
            <w:r>
              <w:rPr>
                <w:rFonts w:hint="eastAsia"/>
                <w:highlight w:val="none"/>
                <w:lang w:val="en-US" w:eastAsia="zh-CN"/>
              </w:rPr>
              <w:t xml:space="preserve">5 </w:t>
            </w:r>
            <w:r>
              <w:rPr>
                <w:rFonts w:hint="default"/>
                <w:highlight w:val="none"/>
              </w:rPr>
              <w:t>与区域水环境功能区划符合性分析</w:t>
            </w:r>
          </w:p>
          <w:p>
            <w:pPr>
              <w:pStyle w:val="5"/>
              <w:bidi w:val="0"/>
              <w:rPr>
                <w:rFonts w:hint="default"/>
              </w:rPr>
            </w:pPr>
            <w:r>
              <w:rPr>
                <w:rFonts w:hint="default"/>
                <w:lang w:val="en-US" w:eastAsia="zh-CN"/>
              </w:rPr>
              <w:t>表1-</w:t>
            </w:r>
            <w:r>
              <w:rPr>
                <w:rFonts w:hint="eastAsia"/>
                <w:lang w:val="en-US" w:eastAsia="zh-CN"/>
              </w:rPr>
              <w:t xml:space="preserve">3 </w:t>
            </w:r>
            <w:r>
              <w:rPr>
                <w:rFonts w:hint="default"/>
                <w:lang w:val="en-US" w:eastAsia="zh-CN"/>
              </w:rPr>
              <w:t xml:space="preserve"> 与《巴州若羌县若羌河流域规划环评报告》符合性分析</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613"/>
              <w:gridCol w:w="392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36" w:type="pct"/>
                  <w:gridSpan w:val="2"/>
                  <w:vAlign w:val="center"/>
                </w:tcPr>
                <w:p>
                  <w:pPr>
                    <w:pStyle w:val="6"/>
                    <w:bidi w:val="0"/>
                    <w:jc w:val="center"/>
                    <w:rPr>
                      <w:rFonts w:hint="default"/>
                      <w:lang w:val="en-US" w:eastAsia="zh-CN"/>
                    </w:rPr>
                  </w:pPr>
                  <w:r>
                    <w:rPr>
                      <w:rFonts w:hint="default"/>
                      <w:lang w:val="en-US" w:eastAsia="zh-CN"/>
                    </w:rPr>
                    <w:t>相关内容</w:t>
                  </w:r>
                </w:p>
              </w:tc>
              <w:tc>
                <w:tcPr>
                  <w:tcW w:w="2331" w:type="pct"/>
                  <w:vAlign w:val="center"/>
                </w:tcPr>
                <w:p>
                  <w:pPr>
                    <w:pStyle w:val="6"/>
                    <w:bidi w:val="0"/>
                    <w:jc w:val="center"/>
                    <w:rPr>
                      <w:rFonts w:hint="default"/>
                      <w:lang w:val="en-US" w:eastAsia="zh-CN"/>
                    </w:rPr>
                  </w:pPr>
                  <w:r>
                    <w:rPr>
                      <w:rFonts w:hint="eastAsia"/>
                      <w:lang w:val="en-US" w:eastAsia="zh-CN"/>
                    </w:rPr>
                    <w:t>本项目</w:t>
                  </w:r>
                </w:p>
              </w:tc>
              <w:tc>
                <w:tcPr>
                  <w:tcW w:w="431" w:type="pct"/>
                  <w:vAlign w:val="center"/>
                </w:tcPr>
                <w:p>
                  <w:pPr>
                    <w:pStyle w:val="6"/>
                    <w:bidi w:val="0"/>
                    <w:jc w:val="center"/>
                    <w:rPr>
                      <w:rFonts w:hint="default"/>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Align w:val="center"/>
                </w:tcPr>
                <w:p>
                  <w:pPr>
                    <w:pStyle w:val="6"/>
                    <w:bidi w:val="0"/>
                    <w:jc w:val="center"/>
                    <w:rPr>
                      <w:rFonts w:hint="default"/>
                      <w:lang w:val="en-US" w:eastAsia="zh-CN"/>
                    </w:rPr>
                  </w:pPr>
                  <w:r>
                    <w:rPr>
                      <w:rFonts w:hint="default"/>
                      <w:lang w:val="en-US" w:eastAsia="zh-CN"/>
                    </w:rPr>
                    <w:t>水资源利用及配置</w:t>
                  </w:r>
                </w:p>
              </w:tc>
              <w:tc>
                <w:tcPr>
                  <w:tcW w:w="1551" w:type="pct"/>
                  <w:vAlign w:val="center"/>
                </w:tcPr>
                <w:p>
                  <w:pPr>
                    <w:pStyle w:val="6"/>
                    <w:bidi w:val="0"/>
                    <w:jc w:val="center"/>
                    <w:rPr>
                      <w:rFonts w:hint="default"/>
                      <w:lang w:val="en-US" w:eastAsia="zh-CN"/>
                    </w:rPr>
                  </w:pPr>
                  <w:r>
                    <w:rPr>
                      <w:rFonts w:hint="default"/>
                      <w:lang w:val="en-US" w:eastAsia="zh-CN"/>
                    </w:rPr>
                    <w:t>若羌河年均径流量为1.28亿立方米，需均衡保障工业、生活及农业灌溉用水。然而，现存传统土渠渗漏问题突出，致使大量水资源在输送途中流</w:t>
                  </w:r>
                  <w:r>
                    <w:rPr>
                      <w:rFonts w:hint="eastAsia"/>
                      <w:lang w:val="en-US" w:eastAsia="zh-CN"/>
                    </w:rPr>
                    <w:t>失。</w:t>
                  </w:r>
                </w:p>
              </w:tc>
              <w:tc>
                <w:tcPr>
                  <w:tcW w:w="2331" w:type="pct"/>
                  <w:vAlign w:val="center"/>
                </w:tcPr>
                <w:p>
                  <w:pPr>
                    <w:pStyle w:val="6"/>
                    <w:bidi w:val="0"/>
                    <w:jc w:val="center"/>
                    <w:rPr>
                      <w:rFonts w:hint="default"/>
                      <w:lang w:val="en-US" w:eastAsia="zh-CN"/>
                    </w:rPr>
                  </w:pPr>
                  <w:r>
                    <w:rPr>
                      <w:rFonts w:hint="default"/>
                      <w:lang w:val="en-US" w:eastAsia="zh-CN"/>
                    </w:rPr>
                    <w:t>防渗渠能够有效削减渠道输水时的渗漏损失，促使若羌河水资源更精准地惠及村庄农田灌溉，极</w:t>
                  </w:r>
                  <w:r>
                    <w:rPr>
                      <w:rFonts w:hint="eastAsia"/>
                      <w:lang w:val="en-US" w:eastAsia="zh-CN"/>
                    </w:rPr>
                    <w:t>大地</w:t>
                  </w:r>
                  <w:r>
                    <w:rPr>
                      <w:rFonts w:hint="default"/>
                      <w:lang w:val="en-US" w:eastAsia="zh-CN"/>
                    </w:rPr>
                    <w:t>优化</w:t>
                  </w:r>
                  <w:r>
                    <w:rPr>
                      <w:rFonts w:hint="eastAsia"/>
                      <w:lang w:val="en-US" w:eastAsia="zh-CN"/>
                    </w:rPr>
                    <w:t>了</w:t>
                  </w:r>
                  <w:r>
                    <w:rPr>
                      <w:rFonts w:hint="default"/>
                      <w:lang w:val="en-US" w:eastAsia="zh-CN"/>
                    </w:rPr>
                    <w:t>农业灌溉领域的水资源配置</w:t>
                  </w:r>
                  <w:r>
                    <w:rPr>
                      <w:rFonts w:hint="eastAsia"/>
                      <w:lang w:val="en-US" w:eastAsia="zh-CN"/>
                    </w:rPr>
                    <w:t>。</w:t>
                  </w:r>
                </w:p>
              </w:tc>
              <w:tc>
                <w:tcPr>
                  <w:tcW w:w="431" w:type="pct"/>
                  <w:vAlign w:val="center"/>
                </w:tcPr>
                <w:p>
                  <w:pPr>
                    <w:pStyle w:val="6"/>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Align w:val="center"/>
                </w:tcPr>
                <w:p>
                  <w:pPr>
                    <w:pStyle w:val="6"/>
                    <w:bidi w:val="0"/>
                    <w:jc w:val="center"/>
                    <w:rPr>
                      <w:rFonts w:hint="default"/>
                      <w:lang w:val="en-US" w:eastAsia="zh-CN"/>
                    </w:rPr>
                  </w:pPr>
                  <w:r>
                    <w:rPr>
                      <w:rFonts w:hint="default"/>
                      <w:lang w:val="en-US" w:eastAsia="zh-CN"/>
                    </w:rPr>
                    <w:t>灌溉方式</w:t>
                  </w:r>
                </w:p>
              </w:tc>
              <w:tc>
                <w:tcPr>
                  <w:tcW w:w="1551" w:type="pct"/>
                  <w:vAlign w:val="center"/>
                </w:tcPr>
                <w:p>
                  <w:pPr>
                    <w:pStyle w:val="6"/>
                    <w:bidi w:val="0"/>
                    <w:jc w:val="center"/>
                    <w:rPr>
                      <w:rFonts w:hint="default"/>
                      <w:lang w:val="en-US" w:eastAsia="zh-CN"/>
                    </w:rPr>
                  </w:pPr>
                  <w:r>
                    <w:rPr>
                      <w:rFonts w:hint="default"/>
                      <w:lang w:val="en-US" w:eastAsia="zh-CN"/>
                    </w:rPr>
                    <w:t>若羌县正大力推进农业灌溉向高效、智能化转型</w:t>
                  </w:r>
                  <w:r>
                    <w:rPr>
                      <w:rFonts w:hint="eastAsia"/>
                      <w:lang w:val="en-US" w:eastAsia="zh-CN"/>
                    </w:rPr>
                    <w:t>。</w:t>
                  </w:r>
                </w:p>
              </w:tc>
              <w:tc>
                <w:tcPr>
                  <w:tcW w:w="2331" w:type="pct"/>
                  <w:vAlign w:val="center"/>
                </w:tcPr>
                <w:p>
                  <w:pPr>
                    <w:pStyle w:val="6"/>
                    <w:bidi w:val="0"/>
                    <w:jc w:val="center"/>
                    <w:rPr>
                      <w:rFonts w:hint="default"/>
                      <w:lang w:val="en-US" w:eastAsia="zh-CN"/>
                    </w:rPr>
                  </w:pPr>
                  <w:r>
                    <w:rPr>
                      <w:rFonts w:hint="default"/>
                      <w:lang w:val="en-US" w:eastAsia="zh-CN"/>
                    </w:rPr>
                    <w:t>本项目虽未直接对田间灌溉方式进行变革，但通过构建稳定输水的防渗渠，为后续推广滴灌、喷灌等智能化灌溉模式筑牢基础，有效降低输水波动与水量损耗，有力确保先进灌溉设备的稳定运行</w:t>
                  </w:r>
                  <w:r>
                    <w:rPr>
                      <w:rFonts w:hint="eastAsia"/>
                      <w:lang w:val="en-US" w:eastAsia="zh-CN"/>
                    </w:rPr>
                    <w:t>。</w:t>
                  </w:r>
                </w:p>
              </w:tc>
              <w:tc>
                <w:tcPr>
                  <w:tcW w:w="431" w:type="pct"/>
                  <w:vAlign w:val="center"/>
                </w:tcPr>
                <w:p>
                  <w:pPr>
                    <w:pStyle w:val="6"/>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Align w:val="center"/>
                </w:tcPr>
                <w:p>
                  <w:pPr>
                    <w:pStyle w:val="6"/>
                    <w:bidi w:val="0"/>
                    <w:jc w:val="center"/>
                    <w:rPr>
                      <w:rFonts w:hint="default"/>
                      <w:lang w:val="en-US" w:eastAsia="zh-CN"/>
                    </w:rPr>
                  </w:pPr>
                  <w:r>
                    <w:rPr>
                      <w:rFonts w:hint="default"/>
                      <w:lang w:val="en-US" w:eastAsia="zh-CN"/>
                    </w:rPr>
                    <w:t>灌溉定额</w:t>
                  </w:r>
                </w:p>
              </w:tc>
              <w:tc>
                <w:tcPr>
                  <w:tcW w:w="1551" w:type="pct"/>
                  <w:vAlign w:val="center"/>
                </w:tcPr>
                <w:p>
                  <w:pPr>
                    <w:pStyle w:val="6"/>
                    <w:bidi w:val="0"/>
                    <w:jc w:val="center"/>
                    <w:rPr>
                      <w:rFonts w:hint="default"/>
                      <w:lang w:val="en-US" w:eastAsia="zh-CN"/>
                    </w:rPr>
                  </w:pPr>
                  <w:r>
                    <w:rPr>
                      <w:rFonts w:hint="default"/>
                      <w:lang w:val="en-US" w:eastAsia="zh-CN"/>
                    </w:rPr>
                    <w:t>项目区周边村庄当前灌溉亩均用水量较大，水资源浪费现象较为显著</w:t>
                  </w:r>
                  <w:r>
                    <w:rPr>
                      <w:rFonts w:hint="eastAsia"/>
                      <w:lang w:val="en-US" w:eastAsia="zh-CN"/>
                    </w:rPr>
                    <w:t>。</w:t>
                  </w:r>
                </w:p>
              </w:tc>
              <w:tc>
                <w:tcPr>
                  <w:tcW w:w="2331" w:type="pct"/>
                  <w:vAlign w:val="center"/>
                </w:tcPr>
                <w:p>
                  <w:pPr>
                    <w:pStyle w:val="6"/>
                    <w:bidi w:val="0"/>
                    <w:jc w:val="center"/>
                    <w:rPr>
                      <w:rFonts w:hint="default"/>
                      <w:lang w:val="en-US" w:eastAsia="zh-CN"/>
                    </w:rPr>
                  </w:pPr>
                  <w:r>
                    <w:rPr>
                      <w:rFonts w:hint="default"/>
                      <w:lang w:val="en-US" w:eastAsia="zh-CN"/>
                    </w:rPr>
                    <w:t>防渗渠建设可减少输水过程中的无效消耗，在充分满足农作物生长需水要求的基础上，大幅降低单位面积灌溉用水</w:t>
                  </w:r>
                  <w:r>
                    <w:rPr>
                      <w:rFonts w:hint="eastAsia"/>
                      <w:lang w:val="en-US" w:eastAsia="zh-CN"/>
                    </w:rPr>
                    <w:t>。</w:t>
                  </w:r>
                </w:p>
              </w:tc>
              <w:tc>
                <w:tcPr>
                  <w:tcW w:w="431" w:type="pct"/>
                  <w:vAlign w:val="center"/>
                </w:tcPr>
                <w:p>
                  <w:pPr>
                    <w:pStyle w:val="6"/>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Align w:val="center"/>
                </w:tcPr>
                <w:p>
                  <w:pPr>
                    <w:pStyle w:val="6"/>
                    <w:bidi w:val="0"/>
                    <w:jc w:val="center"/>
                    <w:rPr>
                      <w:rFonts w:hint="default"/>
                      <w:lang w:val="en-US" w:eastAsia="zh-CN"/>
                    </w:rPr>
                  </w:pPr>
                  <w:r>
                    <w:rPr>
                      <w:rFonts w:hint="default"/>
                      <w:lang w:val="en-US" w:eastAsia="zh-CN"/>
                    </w:rPr>
                    <w:t>灌溉用水保证率</w:t>
                  </w:r>
                </w:p>
              </w:tc>
              <w:tc>
                <w:tcPr>
                  <w:tcW w:w="1551" w:type="pct"/>
                  <w:vAlign w:val="center"/>
                </w:tcPr>
                <w:p>
                  <w:pPr>
                    <w:pStyle w:val="6"/>
                    <w:bidi w:val="0"/>
                    <w:jc w:val="center"/>
                    <w:rPr>
                      <w:rFonts w:hint="default"/>
                      <w:lang w:val="en-US" w:eastAsia="zh-CN"/>
                    </w:rPr>
                  </w:pPr>
                  <w:r>
                    <w:rPr>
                      <w:rFonts w:hint="default"/>
                      <w:lang w:val="en-US" w:eastAsia="zh-CN"/>
                    </w:rPr>
                    <w:t>若羌河水资源具有明显的季节性变化特征，严重影响村庄农业生产灌溉用水的稳定性</w:t>
                  </w:r>
                  <w:r>
                    <w:rPr>
                      <w:rFonts w:hint="eastAsia"/>
                      <w:lang w:val="en-US" w:eastAsia="zh-CN"/>
                    </w:rPr>
                    <w:t>。</w:t>
                  </w:r>
                </w:p>
              </w:tc>
              <w:tc>
                <w:tcPr>
                  <w:tcW w:w="2331" w:type="pct"/>
                  <w:vAlign w:val="center"/>
                </w:tcPr>
                <w:p>
                  <w:pPr>
                    <w:pStyle w:val="6"/>
                    <w:bidi w:val="0"/>
                    <w:jc w:val="center"/>
                    <w:rPr>
                      <w:rFonts w:hint="default"/>
                      <w:lang w:val="en-US" w:eastAsia="zh-CN"/>
                    </w:rPr>
                  </w:pPr>
                  <w:r>
                    <w:rPr>
                      <w:rFonts w:hint="default"/>
                      <w:lang w:val="en-US" w:eastAsia="zh-CN"/>
                    </w:rPr>
                    <w:t>防渗渠建设有效减少渠道渗漏，显著增强输水的稳定性与可靠性，尤其在枯水期，能够切实保障一定规模的灌溉用水供应</w:t>
                  </w:r>
                  <w:r>
                    <w:rPr>
                      <w:rFonts w:hint="eastAsia"/>
                      <w:lang w:val="en-US" w:eastAsia="zh-CN"/>
                    </w:rPr>
                    <w:t>。</w:t>
                  </w:r>
                </w:p>
              </w:tc>
              <w:tc>
                <w:tcPr>
                  <w:tcW w:w="431" w:type="pct"/>
                  <w:vAlign w:val="center"/>
                </w:tcPr>
                <w:p>
                  <w:pPr>
                    <w:pStyle w:val="6"/>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vAlign w:val="center"/>
                </w:tcPr>
                <w:p>
                  <w:pPr>
                    <w:pStyle w:val="6"/>
                    <w:bidi w:val="0"/>
                    <w:jc w:val="center"/>
                    <w:rPr>
                      <w:rFonts w:hint="default"/>
                      <w:lang w:val="en-US" w:eastAsia="zh-CN"/>
                    </w:rPr>
                  </w:pPr>
                  <w:r>
                    <w:rPr>
                      <w:rFonts w:hint="default"/>
                      <w:lang w:val="en-US" w:eastAsia="zh-CN"/>
                    </w:rPr>
                    <w:t>灌溉水有效利用系数</w:t>
                  </w:r>
                </w:p>
              </w:tc>
              <w:tc>
                <w:tcPr>
                  <w:tcW w:w="1551" w:type="pct"/>
                  <w:vAlign w:val="center"/>
                </w:tcPr>
                <w:p>
                  <w:pPr>
                    <w:pStyle w:val="6"/>
                    <w:bidi w:val="0"/>
                    <w:jc w:val="center"/>
                    <w:rPr>
                      <w:rFonts w:hint="default"/>
                      <w:lang w:val="en-US" w:eastAsia="zh-CN"/>
                    </w:rPr>
                  </w:pPr>
                  <w:r>
                    <w:rPr>
                      <w:rFonts w:hint="default"/>
                      <w:lang w:val="en-US" w:eastAsia="zh-CN"/>
                    </w:rPr>
                    <w:t>目前农业灌溉水有效利用系数，整体处于较低水平</w:t>
                  </w:r>
                  <w:r>
                    <w:rPr>
                      <w:rFonts w:hint="eastAsia"/>
                      <w:lang w:val="en-US" w:eastAsia="zh-CN"/>
                    </w:rPr>
                    <w:t>。</w:t>
                  </w:r>
                </w:p>
              </w:tc>
              <w:tc>
                <w:tcPr>
                  <w:tcW w:w="2331" w:type="pct"/>
                  <w:vAlign w:val="center"/>
                </w:tcPr>
                <w:p>
                  <w:pPr>
                    <w:pStyle w:val="6"/>
                    <w:bidi w:val="0"/>
                    <w:jc w:val="center"/>
                    <w:rPr>
                      <w:rFonts w:hint="default"/>
                      <w:lang w:val="en-US" w:eastAsia="zh-CN"/>
                    </w:rPr>
                  </w:pPr>
                  <w:r>
                    <w:rPr>
                      <w:rFonts w:hint="default"/>
                      <w:lang w:val="en-US" w:eastAsia="zh-CN"/>
                    </w:rPr>
                    <w:t>防渗渠建设能够切实减少输水渗漏损</w:t>
                  </w:r>
                </w:p>
                <w:p>
                  <w:pPr>
                    <w:pStyle w:val="6"/>
                    <w:bidi w:val="0"/>
                    <w:jc w:val="center"/>
                    <w:rPr>
                      <w:rFonts w:hint="default"/>
                      <w:lang w:val="en-US" w:eastAsia="zh-CN"/>
                    </w:rPr>
                  </w:pPr>
                  <w:r>
                    <w:rPr>
                      <w:rFonts w:hint="default"/>
                      <w:lang w:val="en-US" w:eastAsia="zh-CN"/>
                    </w:rPr>
                    <w:t>失，可将灌溉水有效利用</w:t>
                  </w:r>
                  <w:r>
                    <w:rPr>
                      <w:rFonts w:hint="eastAsia"/>
                      <w:lang w:val="en-US" w:eastAsia="zh-CN"/>
                    </w:rPr>
                    <w:t>。</w:t>
                  </w:r>
                </w:p>
              </w:tc>
              <w:tc>
                <w:tcPr>
                  <w:tcW w:w="431" w:type="pct"/>
                  <w:vAlign w:val="center"/>
                </w:tcPr>
                <w:p>
                  <w:pPr>
                    <w:pStyle w:val="6"/>
                    <w:bidi w:val="0"/>
                    <w:jc w:val="center"/>
                    <w:rPr>
                      <w:rFonts w:hint="default"/>
                      <w:lang w:val="en-US" w:eastAsia="zh-CN"/>
                    </w:rPr>
                  </w:pPr>
                  <w:r>
                    <w:rPr>
                      <w:rFonts w:hint="eastAsia"/>
                      <w:lang w:val="en-US" w:eastAsia="zh-CN"/>
                    </w:rPr>
                    <w:t>符合</w:t>
                  </w:r>
                </w:p>
              </w:tc>
            </w:tr>
          </w:tbl>
          <w:p>
            <w:pPr>
              <w:pStyle w:val="5"/>
              <w:bidi w:val="0"/>
              <w:rPr>
                <w:rFonts w:hint="eastAsia"/>
                <w:lang w:val="en-US" w:eastAsia="zh-CN"/>
              </w:rPr>
            </w:pPr>
            <w:r>
              <w:rPr>
                <w:rFonts w:hint="eastAsia"/>
                <w:lang w:val="en-US" w:eastAsia="zh-CN"/>
              </w:rPr>
              <w:t>表1-4  与《若羌县水资源综合规划》符合性分析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6"/>
              <w:gridCol w:w="1942"/>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6" w:type="dxa"/>
                  <w:shd w:val="clear" w:color="auto" w:fill="auto"/>
                  <w:vAlign w:val="center"/>
                </w:tcPr>
                <w:p>
                  <w:pPr>
                    <w:pStyle w:val="6"/>
                    <w:bidi w:val="0"/>
                    <w:jc w:val="center"/>
                    <w:rPr>
                      <w:rFonts w:hint="default"/>
                      <w:lang w:val="en-US" w:eastAsia="zh-CN"/>
                    </w:rPr>
                  </w:pPr>
                  <w:r>
                    <w:rPr>
                      <w:rFonts w:hint="default"/>
                      <w:lang w:val="en-US" w:eastAsia="zh-CN"/>
                    </w:rPr>
                    <w:t>相关内容</w:t>
                  </w:r>
                </w:p>
              </w:tc>
              <w:tc>
                <w:tcPr>
                  <w:tcW w:w="1942" w:type="dxa"/>
                  <w:shd w:val="clear" w:color="auto" w:fill="auto"/>
                  <w:vAlign w:val="center"/>
                </w:tcPr>
                <w:p>
                  <w:pPr>
                    <w:pStyle w:val="6"/>
                    <w:bidi w:val="0"/>
                    <w:jc w:val="center"/>
                    <w:rPr>
                      <w:rFonts w:hint="default"/>
                      <w:lang w:val="en-US" w:eastAsia="zh-CN"/>
                    </w:rPr>
                  </w:pPr>
                  <w:r>
                    <w:rPr>
                      <w:rFonts w:hint="eastAsia"/>
                      <w:lang w:val="en-US" w:eastAsia="zh-CN"/>
                    </w:rPr>
                    <w:t>本项目</w:t>
                  </w:r>
                </w:p>
              </w:tc>
              <w:tc>
                <w:tcPr>
                  <w:tcW w:w="726" w:type="dxa"/>
                  <w:shd w:val="clear" w:color="auto" w:fill="auto"/>
                  <w:vAlign w:val="center"/>
                </w:tcPr>
                <w:p>
                  <w:pPr>
                    <w:pStyle w:val="6"/>
                    <w:bidi w:val="0"/>
                    <w:jc w:val="center"/>
                    <w:rPr>
                      <w:rFonts w:hint="default"/>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56" w:type="dxa"/>
                  <w:vAlign w:val="center"/>
                </w:tcPr>
                <w:p>
                  <w:pPr>
                    <w:pStyle w:val="6"/>
                    <w:bidi w:val="0"/>
                    <w:jc w:val="center"/>
                    <w:rPr>
                      <w:rFonts w:hint="default"/>
                      <w:lang w:val="en-US" w:eastAsia="zh-CN"/>
                    </w:rPr>
                  </w:pPr>
                  <w:r>
                    <w:rPr>
                      <w:rFonts w:hint="default"/>
                      <w:lang w:val="en-US" w:eastAsia="zh-CN"/>
                    </w:rPr>
                    <w:t>若羌河流域现有引水干渠2条，总长度10.25km，包括铁干里克干渠、吾塔木干渠。其中铁干里克干渠全长4.25km，设计流量943.07m</w:t>
                  </w:r>
                  <w:r>
                    <w:rPr>
                      <w:rFonts w:hint="default"/>
                      <w:vertAlign w:val="superscript"/>
                      <w:lang w:val="en-US" w:eastAsia="zh-CN"/>
                    </w:rPr>
                    <w:t>3</w:t>
                  </w:r>
                  <w:r>
                    <w:rPr>
                      <w:rFonts w:hint="default"/>
                      <w:lang w:val="en-US" w:eastAsia="zh-CN"/>
                    </w:rPr>
                    <w:t>/s。控制灌溉面积4.6万亩，已改建完成；吾塔木乡干渠全长4.39km，设计流量2.0m</w:t>
                  </w:r>
                  <w:r>
                    <w:rPr>
                      <w:rFonts w:hint="default"/>
                      <w:vertAlign w:val="superscript"/>
                      <w:lang w:val="en-US" w:eastAsia="zh-CN"/>
                    </w:rPr>
                    <w:t>3</w:t>
                  </w:r>
                  <w:r>
                    <w:rPr>
                      <w:rFonts w:hint="default"/>
                      <w:lang w:val="en-US" w:eastAsia="zh-CN"/>
                    </w:rPr>
                    <w:t>/s，控制灌溉面积2.94万亩。</w:t>
                  </w:r>
                </w:p>
                <w:p>
                  <w:pPr>
                    <w:pStyle w:val="6"/>
                    <w:bidi w:val="0"/>
                    <w:jc w:val="center"/>
                    <w:rPr>
                      <w:rFonts w:hint="default"/>
                      <w:lang w:val="en-US" w:eastAsia="zh-CN"/>
                    </w:rPr>
                  </w:pPr>
                  <w:r>
                    <w:rPr>
                      <w:rFonts w:hint="default"/>
                      <w:lang w:val="en-US" w:eastAsia="zh-CN"/>
                    </w:rPr>
                    <w:t>若羌河流域内现有大小支渠共9条，总长27.42km，防渗长度为20.38km，防渗率为74.32%。2020年灌区完成节水改造支渠共4条，总长度13.10km，改建支渠配套渠系建筑物共34座；节水改造斗渠共7条，总长度6.784km，斗渠配套渠系建筑物共77座。</w:t>
                  </w:r>
                </w:p>
              </w:tc>
              <w:tc>
                <w:tcPr>
                  <w:tcW w:w="1942" w:type="dxa"/>
                  <w:vAlign w:val="center"/>
                </w:tcPr>
                <w:p>
                  <w:pPr>
                    <w:pStyle w:val="6"/>
                    <w:bidi w:val="0"/>
                    <w:jc w:val="center"/>
                    <w:rPr>
                      <w:rFonts w:hint="default"/>
                      <w:lang w:val="en-US" w:eastAsia="zh-CN"/>
                    </w:rPr>
                  </w:pPr>
                  <w:r>
                    <w:rPr>
                      <w:rFonts w:hint="default"/>
                      <w:lang w:val="en-US" w:eastAsia="zh-CN"/>
                    </w:rPr>
                    <w:t>本工程涉及若羌县库尔干村、亚喀吾斯塘村，项目从斗渠引水</w:t>
                  </w:r>
                  <w:r>
                    <w:rPr>
                      <w:rFonts w:hint="eastAsia"/>
                      <w:lang w:val="en-US" w:eastAsia="zh-CN"/>
                    </w:rPr>
                    <w:t>，不直接从若羌河引水。</w:t>
                  </w:r>
                </w:p>
              </w:tc>
              <w:tc>
                <w:tcPr>
                  <w:tcW w:w="726" w:type="dxa"/>
                  <w:vAlign w:val="center"/>
                </w:tcPr>
                <w:p>
                  <w:pPr>
                    <w:pStyle w:val="6"/>
                    <w:bidi w:val="0"/>
                    <w:jc w:val="center"/>
                    <w:rPr>
                      <w:rFonts w:hint="default"/>
                      <w:lang w:val="en-US" w:eastAsia="zh-CN"/>
                    </w:rPr>
                  </w:pPr>
                  <w:r>
                    <w:rPr>
                      <w:rFonts w:hint="eastAsia"/>
                      <w:lang w:val="en-US" w:eastAsia="zh-CN"/>
                    </w:rPr>
                    <w:t>符合</w:t>
                  </w:r>
                </w:p>
              </w:tc>
            </w:tr>
          </w:tbl>
          <w:p>
            <w:pPr>
              <w:pStyle w:val="5"/>
              <w:bidi w:val="0"/>
              <w:rPr>
                <w:rFonts w:hint="default"/>
                <w:lang w:val="en-US" w:eastAsia="zh-CN"/>
              </w:rPr>
            </w:pPr>
            <w:r>
              <w:rPr>
                <w:rFonts w:hint="eastAsia"/>
                <w:lang w:val="en-US" w:eastAsia="zh-CN"/>
              </w:rPr>
              <w:t>表1-5  与《若羌县水网建设规划》符合性分析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6"/>
              <w:gridCol w:w="1942"/>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6" w:type="dxa"/>
                  <w:shd w:val="clear" w:color="auto" w:fill="auto"/>
                  <w:vAlign w:val="center"/>
                </w:tcPr>
                <w:p>
                  <w:pPr>
                    <w:pStyle w:val="6"/>
                    <w:bidi w:val="0"/>
                    <w:jc w:val="center"/>
                    <w:rPr>
                      <w:rFonts w:hint="default"/>
                      <w:lang w:val="en-US" w:eastAsia="zh-CN"/>
                    </w:rPr>
                  </w:pPr>
                  <w:r>
                    <w:rPr>
                      <w:rFonts w:hint="default"/>
                      <w:lang w:val="en-US" w:eastAsia="zh-CN"/>
                    </w:rPr>
                    <w:t>相关内容</w:t>
                  </w:r>
                </w:p>
              </w:tc>
              <w:tc>
                <w:tcPr>
                  <w:tcW w:w="1942" w:type="dxa"/>
                  <w:shd w:val="clear" w:color="auto" w:fill="auto"/>
                  <w:vAlign w:val="center"/>
                </w:tcPr>
                <w:p>
                  <w:pPr>
                    <w:pStyle w:val="6"/>
                    <w:bidi w:val="0"/>
                    <w:jc w:val="center"/>
                    <w:rPr>
                      <w:rFonts w:hint="default"/>
                      <w:lang w:val="en-US" w:eastAsia="zh-CN"/>
                    </w:rPr>
                  </w:pPr>
                  <w:r>
                    <w:rPr>
                      <w:rFonts w:hint="eastAsia"/>
                      <w:lang w:val="en-US" w:eastAsia="zh-CN"/>
                    </w:rPr>
                    <w:t>本项目</w:t>
                  </w:r>
                </w:p>
              </w:tc>
              <w:tc>
                <w:tcPr>
                  <w:tcW w:w="726" w:type="dxa"/>
                  <w:shd w:val="clear" w:color="auto" w:fill="auto"/>
                  <w:vAlign w:val="center"/>
                </w:tcPr>
                <w:p>
                  <w:pPr>
                    <w:pStyle w:val="6"/>
                    <w:bidi w:val="0"/>
                    <w:jc w:val="center"/>
                    <w:rPr>
                      <w:rFonts w:hint="default"/>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6" w:type="dxa"/>
                  <w:vAlign w:val="center"/>
                </w:tcPr>
                <w:p>
                  <w:pPr>
                    <w:pStyle w:val="6"/>
                    <w:bidi w:val="0"/>
                    <w:jc w:val="center"/>
                    <w:rPr>
                      <w:rFonts w:hint="default"/>
                      <w:lang w:val="en-US" w:eastAsia="zh-CN"/>
                    </w:rPr>
                  </w:pPr>
                  <w:r>
                    <w:rPr>
                      <w:rFonts w:hint="default"/>
                      <w:b/>
                      <w:bCs/>
                      <w:highlight w:val="none"/>
                      <w:lang w:val="en-US" w:eastAsia="zh-CN"/>
                    </w:rPr>
                    <w:t>节水潜力挖掘与节水制度建设均不够。</w:t>
                  </w:r>
                  <w:r>
                    <w:rPr>
                      <w:rFonts w:hint="default"/>
                      <w:lang w:val="en-US" w:eastAsia="zh-CN"/>
                    </w:rPr>
                    <w:t>一是若羌农业用水占比大，超过了77%，灌区工程节水水平较为先进，但部分灌溉斗渠和个别干支渠道仍然为土渠，续建配套进度相对滞后，加之现代化灌区建设刚刚起步，精准化灌溉尚未系统实施，现状灌溉水有效利用系数0.55，仍有上升的空间。二是全县无高耗水工业，一般工业万元增加值用水量34.1m³/万元，与全州平均水平22.9m³/万元以及国内先进水平10m³/万元以下相比，仍有较大的差距。三是城镇生活用水智能化监测计量覆盖率和城镇公共供水管网漏损率仍有提升潜力。四是节水制度建设仍需完善，水资源刚性约束制度体系与考核体系尚未完全建立，</w:t>
                  </w:r>
                  <w:r>
                    <w:rPr>
                      <w:rFonts w:hint="eastAsia"/>
                      <w:lang w:val="en-US" w:eastAsia="zh-CN"/>
                    </w:rPr>
                    <w:t>“</w:t>
                  </w:r>
                  <w:r>
                    <w:rPr>
                      <w:rFonts w:hint="default"/>
                      <w:lang w:val="en-US" w:eastAsia="zh-CN"/>
                    </w:rPr>
                    <w:t>四水四定</w:t>
                  </w:r>
                  <w:r>
                    <w:rPr>
                      <w:rFonts w:hint="eastAsia"/>
                      <w:lang w:val="en-US" w:eastAsia="zh-CN"/>
                    </w:rPr>
                    <w:t>”</w:t>
                  </w:r>
                  <w:r>
                    <w:rPr>
                      <w:rFonts w:hint="default"/>
                      <w:lang w:val="en-US" w:eastAsia="zh-CN"/>
                    </w:rPr>
                    <w:t>落实力度仍需加强。</w:t>
                  </w:r>
                </w:p>
              </w:tc>
              <w:tc>
                <w:tcPr>
                  <w:tcW w:w="1942" w:type="dxa"/>
                  <w:vMerge w:val="restart"/>
                  <w:vAlign w:val="center"/>
                </w:tcPr>
                <w:p>
                  <w:pPr>
                    <w:pStyle w:val="6"/>
                    <w:bidi w:val="0"/>
                    <w:jc w:val="center"/>
                    <w:rPr>
                      <w:rFonts w:hint="default"/>
                      <w:lang w:val="en-US" w:eastAsia="zh-CN"/>
                    </w:rPr>
                  </w:pPr>
                  <w:r>
                    <w:rPr>
                      <w:rFonts w:hint="eastAsia"/>
                      <w:lang w:val="en-US" w:eastAsia="zh-CN"/>
                    </w:rPr>
                    <w:t>本项目实施土渠改造、建设防渗渠，可有效削减渠道输水过程中的渗漏损失，促使若羌河水资源更精准地惠及村庄农田灌溉，大幅优化农业灌溉领域的水资源配置效率。</w:t>
                  </w:r>
                </w:p>
              </w:tc>
              <w:tc>
                <w:tcPr>
                  <w:tcW w:w="726" w:type="dxa"/>
                  <w:vAlign w:val="center"/>
                </w:tcPr>
                <w:p>
                  <w:pPr>
                    <w:pStyle w:val="6"/>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6" w:type="dxa"/>
                  <w:vAlign w:val="center"/>
                </w:tcPr>
                <w:p>
                  <w:pPr>
                    <w:pStyle w:val="6"/>
                    <w:bidi w:val="0"/>
                    <w:jc w:val="center"/>
                    <w:rPr>
                      <w:rFonts w:hint="default"/>
                      <w:b/>
                      <w:bCs/>
                      <w:highlight w:val="none"/>
                      <w:lang w:val="en-US" w:eastAsia="zh-CN"/>
                    </w:rPr>
                  </w:pPr>
                  <w:r>
                    <w:rPr>
                      <w:rFonts w:hint="default"/>
                      <w:b/>
                      <w:bCs/>
                      <w:highlight w:val="none"/>
                      <w:lang w:val="en-US" w:eastAsia="zh-CN"/>
                    </w:rPr>
                    <w:t>推进渠道管道化改造。</w:t>
                  </w:r>
                  <w:r>
                    <w:rPr>
                      <w:rFonts w:hint="default"/>
                      <w:b w:val="0"/>
                      <w:bCs w:val="0"/>
                      <w:highlight w:val="none"/>
                      <w:lang w:val="en-US" w:eastAsia="zh-CN"/>
                    </w:rPr>
                    <w:t>按照建设新时代坎儿井的精神要求，优先选择水质较好、含沙量相对较低、输水线路相对较短的水44库下游靠近取水口的灌区进行渠道管道化改造，进一步提高农业灌溉用水效率。对不具备实施渠道管道化改造的灌片，积极引进、推广渠道防渗新技术新工艺，进一步提高渠系灌溉水利用系数。规划到 2035 年，因地制宜推进支渠及以下渠道管道化改造，有条件的灌区尽量实现管道化改造，选择试点灌片采用新技术推进渠道防渗</w:t>
                  </w:r>
                  <w:r>
                    <w:rPr>
                      <w:rFonts w:hint="eastAsia"/>
                      <w:b w:val="0"/>
                      <w:bCs w:val="0"/>
                      <w:highlight w:val="none"/>
                      <w:lang w:val="en-US" w:eastAsia="zh-CN"/>
                    </w:rPr>
                    <w:t>。</w:t>
                  </w:r>
                </w:p>
              </w:tc>
              <w:tc>
                <w:tcPr>
                  <w:tcW w:w="1942" w:type="dxa"/>
                  <w:vMerge w:val="continue"/>
                  <w:vAlign w:val="center"/>
                </w:tcPr>
                <w:p>
                  <w:pPr>
                    <w:pStyle w:val="6"/>
                    <w:bidi w:val="0"/>
                    <w:jc w:val="center"/>
                    <w:rPr>
                      <w:rFonts w:hint="default"/>
                      <w:lang w:val="en-US" w:eastAsia="zh-CN"/>
                    </w:rPr>
                  </w:pPr>
                </w:p>
              </w:tc>
              <w:tc>
                <w:tcPr>
                  <w:tcW w:w="726" w:type="dxa"/>
                  <w:vAlign w:val="center"/>
                </w:tcPr>
                <w:p>
                  <w:pPr>
                    <w:pStyle w:val="6"/>
                    <w:bidi w:val="0"/>
                    <w:jc w:val="center"/>
                    <w:rPr>
                      <w:rFonts w:hint="eastAsia"/>
                      <w:lang w:val="en-US" w:eastAsia="zh-CN"/>
                    </w:rPr>
                  </w:pPr>
                  <w:r>
                    <w:rPr>
                      <w:rFonts w:hint="eastAsia"/>
                      <w:lang w:val="en-US" w:eastAsia="zh-CN"/>
                    </w:rPr>
                    <w:t>符合</w:t>
                  </w:r>
                </w:p>
              </w:tc>
            </w:tr>
          </w:tbl>
          <w:p>
            <w:pPr>
              <w:pStyle w:val="3"/>
              <w:bidi w:val="0"/>
              <w:rPr>
                <w:rFonts w:hint="eastAsia"/>
                <w:lang w:val="en-US" w:eastAsia="zh-CN"/>
              </w:rPr>
            </w:pPr>
            <w:r>
              <w:rPr>
                <w:rFonts w:hint="eastAsia"/>
                <w:lang w:val="en-US" w:eastAsia="zh-CN"/>
              </w:rPr>
              <w:t>6 《中华人民共和国水土保持法》（2010年修订）的符合性分析</w:t>
            </w:r>
          </w:p>
          <w:p>
            <w:pPr>
              <w:pStyle w:val="5"/>
              <w:bidi w:val="0"/>
              <w:rPr>
                <w:rFonts w:hint="eastAsia"/>
                <w:lang w:val="en-US" w:eastAsia="zh-CN"/>
              </w:rPr>
            </w:pPr>
            <w:r>
              <w:rPr>
                <w:rFonts w:hint="eastAsia"/>
                <w:lang w:val="en-US" w:eastAsia="zh-CN"/>
              </w:rPr>
              <w:t>表1-6  与《中华人民共和国水土保持法》符合性分析</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8"/>
              <w:gridCol w:w="2526"/>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pct"/>
                  <w:vAlign w:val="center"/>
                </w:tcPr>
                <w:p>
                  <w:pPr>
                    <w:pStyle w:val="6"/>
                    <w:bidi w:val="0"/>
                    <w:rPr>
                      <w:rFonts w:hint="eastAsia"/>
                      <w:lang w:val="en-US" w:eastAsia="zh-CN"/>
                    </w:rPr>
                  </w:pPr>
                  <w:r>
                    <w:rPr>
                      <w:rFonts w:hint="eastAsia"/>
                      <w:lang w:val="en-US" w:eastAsia="zh-CN"/>
                    </w:rPr>
                    <w:t>文件要求</w:t>
                  </w:r>
                </w:p>
              </w:tc>
              <w:tc>
                <w:tcPr>
                  <w:tcW w:w="1499" w:type="pct"/>
                  <w:vAlign w:val="center"/>
                </w:tcPr>
                <w:p>
                  <w:pPr>
                    <w:pStyle w:val="6"/>
                    <w:bidi w:val="0"/>
                    <w:rPr>
                      <w:rFonts w:hint="eastAsia"/>
                      <w:lang w:val="en-US" w:eastAsia="zh-CN"/>
                    </w:rPr>
                  </w:pPr>
                  <w:r>
                    <w:rPr>
                      <w:rFonts w:hint="eastAsia"/>
                      <w:lang w:val="en-US" w:eastAsia="zh-CN"/>
                    </w:rPr>
                    <w:t>本项目情况</w:t>
                  </w:r>
                </w:p>
              </w:tc>
              <w:tc>
                <w:tcPr>
                  <w:tcW w:w="372" w:type="pct"/>
                  <w:vAlign w:val="center"/>
                </w:tcPr>
                <w:p>
                  <w:pPr>
                    <w:pStyle w:val="6"/>
                    <w:bidi w:val="0"/>
                    <w:rPr>
                      <w:rFonts w:hint="eastAsia"/>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pct"/>
                  <w:vAlign w:val="center"/>
                </w:tcPr>
                <w:p>
                  <w:pPr>
                    <w:pStyle w:val="6"/>
                    <w:bidi w:val="0"/>
                    <w:rPr>
                      <w:rFonts w:hint="eastAsia"/>
                      <w:lang w:val="en-US" w:eastAsia="zh-CN"/>
                    </w:rPr>
                  </w:pPr>
                  <w:r>
                    <w:rPr>
                      <w:rFonts w:hint="eastAsia"/>
                      <w:lang w:val="en-US" w:eastAsia="zh-CN"/>
                    </w:rPr>
                    <w:t>第二十七条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pStyle w:val="6"/>
                    <w:bidi w:val="0"/>
                    <w:rPr>
                      <w:rFonts w:hint="eastAsia"/>
                      <w:lang w:val="en-US" w:eastAsia="zh-CN"/>
                    </w:rPr>
                  </w:pPr>
                  <w:r>
                    <w:rPr>
                      <w:rFonts w:hint="eastAsia"/>
                      <w:lang w:val="en-US" w:eastAsia="zh-CN"/>
                    </w:rPr>
                    <w:t>第二十八条 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tc>
              <w:tc>
                <w:tcPr>
                  <w:tcW w:w="1499" w:type="pct"/>
                  <w:vAlign w:val="center"/>
                </w:tcPr>
                <w:p>
                  <w:pPr>
                    <w:pStyle w:val="6"/>
                    <w:bidi w:val="0"/>
                    <w:rPr>
                      <w:rFonts w:hint="eastAsia"/>
                      <w:lang w:val="en-US" w:eastAsia="zh-CN"/>
                    </w:rPr>
                  </w:pPr>
                  <w:r>
                    <w:rPr>
                      <w:rFonts w:hint="eastAsia"/>
                      <w:lang w:val="en-US" w:eastAsia="zh-CN"/>
                    </w:rPr>
                    <w:t>本项目严格依法编制水土保持方案，严格落实水土保持设施与主体工程同时设计、同时施工、同时投入使用的“三同时”制度；项目竣工后，将按规定依规开展水土保持设施验收工作。本项目产生的弃土用于填筑渠堤、沿渠道摊平压实。</w:t>
                  </w:r>
                </w:p>
              </w:tc>
              <w:tc>
                <w:tcPr>
                  <w:tcW w:w="372" w:type="pct"/>
                  <w:vAlign w:val="center"/>
                </w:tcPr>
                <w:p>
                  <w:pPr>
                    <w:pStyle w:val="6"/>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pct"/>
                  <w:vAlign w:val="center"/>
                </w:tcPr>
                <w:p>
                  <w:pPr>
                    <w:pStyle w:val="6"/>
                    <w:bidi w:val="0"/>
                    <w:rPr>
                      <w:rFonts w:hint="eastAsia"/>
                      <w:lang w:val="en-US" w:eastAsia="zh-CN"/>
                    </w:rPr>
                  </w:pPr>
                  <w:r>
                    <w:rPr>
                      <w:rFonts w:hint="eastAsia"/>
                      <w:lang w:val="en-US" w:eastAsia="zh-CN"/>
                    </w:rPr>
                    <w:t>第三十二条 开办生产建设项目或者从事其他生产建设活动造成水土流失的，应当进行治理。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生产建设项目在建设过程中和生产过程中发生的水土保持费用，按照国家统一的财务会计制度处理。</w:t>
                  </w:r>
                </w:p>
              </w:tc>
              <w:tc>
                <w:tcPr>
                  <w:tcW w:w="1499" w:type="pct"/>
                  <w:vAlign w:val="center"/>
                </w:tcPr>
                <w:p>
                  <w:pPr>
                    <w:pStyle w:val="6"/>
                    <w:bidi w:val="0"/>
                    <w:rPr>
                      <w:rFonts w:hint="eastAsia"/>
                      <w:lang w:val="en-US" w:eastAsia="zh-CN"/>
                    </w:rPr>
                  </w:pPr>
                  <w:r>
                    <w:rPr>
                      <w:rFonts w:hint="eastAsia"/>
                      <w:lang w:val="en-US" w:eastAsia="zh-CN"/>
                    </w:rPr>
                    <w:t>项目建设将落实水土流失治理措施，及时防治施工扰动造成的水土流失；若施工损坏水土保持设施、地貌植被且无法恢复原有水土保持功能，将依法足额缴纳水土保持补偿费；项目水土保持相关费用严格按国家财务会计制度规范核算，确保合规执行。</w:t>
                  </w:r>
                </w:p>
              </w:tc>
              <w:tc>
                <w:tcPr>
                  <w:tcW w:w="372" w:type="pct"/>
                  <w:vAlign w:val="center"/>
                </w:tcPr>
                <w:p>
                  <w:pPr>
                    <w:pStyle w:val="6"/>
                    <w:bidi w:val="0"/>
                    <w:rPr>
                      <w:rFonts w:hint="eastAsia"/>
                      <w:lang w:val="en-US" w:eastAsia="zh-CN"/>
                    </w:rPr>
                  </w:pPr>
                  <w:r>
                    <w:rPr>
                      <w:rFonts w:hint="eastAsia"/>
                      <w:lang w:val="en-US" w:eastAsia="zh-CN"/>
                    </w:rPr>
                    <w:t>符合</w:t>
                  </w:r>
                </w:p>
              </w:tc>
            </w:tr>
          </w:tbl>
          <w:p>
            <w:pPr>
              <w:pStyle w:val="3"/>
              <w:bidi w:val="0"/>
              <w:rPr>
                <w:rFonts w:hint="default"/>
              </w:rPr>
            </w:pPr>
            <w:r>
              <w:rPr>
                <w:rFonts w:hint="eastAsia"/>
                <w:lang w:val="en-US" w:eastAsia="zh-CN"/>
              </w:rPr>
              <w:t xml:space="preserve">7 </w:t>
            </w:r>
            <w:r>
              <w:rPr>
                <w:rFonts w:hint="default"/>
              </w:rPr>
              <w:t>与《水利建设项目（灌区工程）环境影响评价文件审批原则（试行）》的符合性分析</w:t>
            </w:r>
          </w:p>
          <w:p>
            <w:pPr>
              <w:pStyle w:val="5"/>
              <w:bidi w:val="0"/>
              <w:rPr>
                <w:rFonts w:hint="default"/>
              </w:rPr>
            </w:pPr>
            <w:r>
              <w:rPr>
                <w:rFonts w:hint="default"/>
              </w:rPr>
              <w:t>表1-</w:t>
            </w:r>
            <w:r>
              <w:rPr>
                <w:rFonts w:hint="eastAsia"/>
                <w:lang w:val="en-US" w:eastAsia="zh-CN"/>
              </w:rPr>
              <w:t>7</w:t>
            </w:r>
            <w:r>
              <w:rPr>
                <w:rFonts w:hint="default"/>
              </w:rPr>
              <w:t xml:space="preserve">  与《水利建设项目（灌区工程）环境影响评价文件审批原则（试行）》符合性分析</w:t>
            </w:r>
          </w:p>
          <w:tbl>
            <w:tblPr>
              <w:tblStyle w:val="21"/>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5"/>
              <w:gridCol w:w="2947"/>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要求</w:t>
                  </w:r>
                </w:p>
              </w:tc>
              <w:tc>
                <w:tcPr>
                  <w:tcW w:w="180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本项目情况</w:t>
                  </w:r>
                </w:p>
              </w:tc>
              <w:tc>
                <w:tcPr>
                  <w:tcW w:w="45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条 项目符合生态环境及资源相关法律法规和政策要求，与主体功能区规划、生态功能区划、水（环境）功能区划、水污染防治规划、生态环境保护规划等相协调，项目开发任务、供水量、供水范围和对象、灌区规模、种植结构等主要内容总体符合流域区域综合规划、水资源规划、灌区规划、农业生产规划、节水规划等相关规划及规划环评要求。</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项目水资源开发利用符合以水定产、以水定地原则，未超出流域区域水资源利用上限，灌溉定额、灌溉用水保证率、灌溉水有效利用系数满足流域区域用水效率控制要求。</w:t>
                  </w:r>
                </w:p>
              </w:tc>
              <w:tc>
                <w:tcPr>
                  <w:tcW w:w="180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本项目符合新疆若羌河流域综合规划中对灌区的节水要求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本工程不涉及水资源开发利用</w:t>
                  </w:r>
                  <w:r>
                    <w:rPr>
                      <w:rFonts w:hint="eastAsia" w:ascii="宋体" w:hAnsi="宋体" w:eastAsia="宋体" w:cs="宋体"/>
                      <w:color w:val="auto"/>
                      <w:sz w:val="21"/>
                      <w:szCs w:val="21"/>
                      <w:highlight w:val="none"/>
                    </w:rPr>
                    <w:t>。</w:t>
                  </w:r>
                </w:p>
              </w:tc>
              <w:tc>
                <w:tcPr>
                  <w:tcW w:w="45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74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项目选址选线、取（蓄）水工程淹没、施工布置等不占用自然保护区、风景名胜区、世界文化和自然遗产地以及其他生态保护红线中法律法规禁止占用的区域，并与饮用水水源保护区、重要湿地等环境敏感区的保护要求相协调。</w:t>
                  </w:r>
                </w:p>
              </w:tc>
              <w:tc>
                <w:tcPr>
                  <w:tcW w:w="180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本项目占地范围及施工布置不占用自然保护区、风景名胜区、世界文化和自然遗产地以及其他生态保护红线中法律法规禁止占用的区域</w:t>
                  </w:r>
                  <w:r>
                    <w:rPr>
                      <w:rFonts w:hint="eastAsia" w:ascii="宋体" w:hAnsi="宋体" w:eastAsia="宋体" w:cs="宋体"/>
                      <w:color w:val="auto"/>
                      <w:sz w:val="21"/>
                      <w:szCs w:val="21"/>
                      <w:highlight w:val="none"/>
                      <w:lang w:eastAsia="zh-CN"/>
                    </w:rPr>
                    <w:t>。</w:t>
                  </w:r>
                </w:p>
              </w:tc>
              <w:tc>
                <w:tcPr>
                  <w:tcW w:w="45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项目施工组织方案具有环境合理性，对主体工程区、料场、弃土（渣）场、施工道路等施工区域提出了水土流失防治、生态修复等措施。根据环境保护相关标准和要求，提出了施工期废（污）水、施工机械车辆尾气、扬尘、噪声、固体废物等防治措施。</w:t>
                  </w:r>
                </w:p>
              </w:tc>
              <w:tc>
                <w:tcPr>
                  <w:tcW w:w="180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本项目施工组织方案较为合理，本项目已</w:t>
                  </w:r>
                  <w:r>
                    <w:rPr>
                      <w:rFonts w:hint="eastAsia" w:ascii="宋体" w:hAnsi="宋体" w:eastAsia="宋体" w:cs="宋体"/>
                      <w:color w:val="auto"/>
                      <w:sz w:val="21"/>
                      <w:szCs w:val="21"/>
                      <w:highlight w:val="none"/>
                      <w:lang w:eastAsia="zh-CN"/>
                    </w:rPr>
                    <w:t>提出有</w:t>
                  </w:r>
                  <w:r>
                    <w:rPr>
                      <w:rFonts w:hint="eastAsia" w:ascii="宋体" w:hAnsi="宋体" w:eastAsia="宋体" w:cs="宋体"/>
                      <w:color w:val="auto"/>
                      <w:sz w:val="21"/>
                      <w:szCs w:val="21"/>
                      <w:highlight w:val="none"/>
                    </w:rPr>
                    <w:t>相应的环保措施，在实施过程中对环境产生的影响是生态破坏、废水、噪声、粉尘的产生，在采取相应的控制措施后各种影响都在可接受的范围内。</w:t>
                  </w:r>
                </w:p>
              </w:tc>
              <w:tc>
                <w:tcPr>
                  <w:tcW w:w="45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改、扩建或依托现有工程的项目，在全面梳理与项目有关的现有工程环境问题的基础上，提出了与项目相适应的“以新带老”措施。</w:t>
                  </w:r>
                </w:p>
              </w:tc>
              <w:tc>
                <w:tcPr>
                  <w:tcW w:w="180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本项目为原有灌区土渠改造工程，工程建设对现有土质渠道进行改建，改善现状灌区水土流失现象，提高渠道水利用系数，且各改建渠道均沿原渠道进行建设，不破坏渠道周边环境，减少新增占地。</w:t>
                  </w:r>
                </w:p>
              </w:tc>
              <w:tc>
                <w:tcPr>
                  <w:tcW w:w="45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bl>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8 其他符合性分析</w:t>
            </w:r>
          </w:p>
          <w:p>
            <w:pPr>
              <w:pStyle w:val="5"/>
              <w:bidi w:val="0"/>
              <w:rPr>
                <w:rFonts w:hint="default"/>
                <w:lang w:val="en-US" w:eastAsia="zh-CN"/>
              </w:rPr>
            </w:pPr>
            <w:r>
              <w:rPr>
                <w:rFonts w:hint="eastAsia"/>
                <w:lang w:val="en-US" w:eastAsia="zh-CN"/>
              </w:rPr>
              <w:t>表1-8  其他符合性分析</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4465"/>
              <w:gridCol w:w="2052"/>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674" w:type="pct"/>
                  <w:vAlign w:val="center"/>
                </w:tcPr>
                <w:p>
                  <w:pPr>
                    <w:pStyle w:val="6"/>
                    <w:bidi w:val="0"/>
                    <w:rPr>
                      <w:rFonts w:hint="default"/>
                      <w:lang w:val="en-US" w:eastAsia="zh-CN"/>
                    </w:rPr>
                  </w:pPr>
                  <w:r>
                    <w:rPr>
                      <w:rFonts w:hint="eastAsia"/>
                      <w:lang w:val="en-US" w:eastAsia="zh-CN"/>
                    </w:rPr>
                    <w:t>文件名称</w:t>
                  </w:r>
                </w:p>
              </w:tc>
              <w:tc>
                <w:tcPr>
                  <w:tcW w:w="2650" w:type="pct"/>
                  <w:vAlign w:val="center"/>
                </w:tcPr>
                <w:p>
                  <w:pPr>
                    <w:pStyle w:val="6"/>
                    <w:bidi w:val="0"/>
                    <w:rPr>
                      <w:rFonts w:hint="eastAsia"/>
                    </w:rPr>
                  </w:pPr>
                  <w:r>
                    <w:rPr>
                      <w:rFonts w:hint="eastAsia"/>
                      <w:lang w:val="en-US" w:eastAsia="zh-CN"/>
                    </w:rPr>
                    <w:t>文件</w:t>
                  </w:r>
                  <w:r>
                    <w:rPr>
                      <w:rFonts w:hint="eastAsia"/>
                    </w:rPr>
                    <w:t>要求</w:t>
                  </w:r>
                </w:p>
              </w:tc>
              <w:tc>
                <w:tcPr>
                  <w:tcW w:w="1218" w:type="pct"/>
                  <w:vAlign w:val="center"/>
                </w:tcPr>
                <w:p>
                  <w:pPr>
                    <w:pStyle w:val="6"/>
                    <w:bidi w:val="0"/>
                    <w:rPr>
                      <w:rFonts w:hint="eastAsia"/>
                    </w:rPr>
                  </w:pPr>
                  <w:r>
                    <w:rPr>
                      <w:rFonts w:hint="eastAsia"/>
                    </w:rPr>
                    <w:t>本项目情况</w:t>
                  </w:r>
                </w:p>
              </w:tc>
              <w:tc>
                <w:tcPr>
                  <w:tcW w:w="456" w:type="pct"/>
                  <w:vAlign w:val="center"/>
                </w:tcPr>
                <w:p>
                  <w:pPr>
                    <w:pStyle w:val="6"/>
                    <w:bidi w:val="0"/>
                    <w:rPr>
                      <w:rFonts w:hint="eastAsia"/>
                    </w:rPr>
                  </w:pPr>
                  <w:r>
                    <w:rPr>
                      <w:rFonts w:hint="eastAsi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restart"/>
                  <w:vAlign w:val="center"/>
                </w:tcPr>
                <w:p>
                  <w:pPr>
                    <w:pStyle w:val="6"/>
                    <w:bidi w:val="0"/>
                    <w:rPr>
                      <w:rFonts w:hint="eastAsia"/>
                    </w:rPr>
                  </w:pPr>
                  <w:r>
                    <w:rPr>
                      <w:rFonts w:hint="eastAsia"/>
                    </w:rPr>
                    <w:t>《新疆维吾尔自治区人民政府办公厅新疆生产建设兵团办公厅关于印发</w:t>
                  </w:r>
                  <w:r>
                    <w:rPr>
                      <w:rFonts w:hint="eastAsia"/>
                      <w:lang w:eastAsia="zh-CN"/>
                    </w:rPr>
                    <w:t>，</w:t>
                  </w:r>
                  <w:r>
                    <w:rPr>
                      <w:rFonts w:hint="eastAsia"/>
                    </w:rPr>
                    <w:t>新疆维吾尔自治区2025年空气质量持续改善行动实施方案</w:t>
                  </w:r>
                  <w:r>
                    <w:rPr>
                      <w:rFonts w:hint="eastAsia"/>
                      <w:lang w:eastAsia="zh-CN"/>
                    </w:rPr>
                    <w:t>〉的通知》</w:t>
                  </w:r>
                </w:p>
              </w:tc>
              <w:tc>
                <w:tcPr>
                  <w:tcW w:w="2650" w:type="pct"/>
                  <w:vAlign w:val="center"/>
                </w:tcPr>
                <w:p>
                  <w:pPr>
                    <w:pStyle w:val="6"/>
                    <w:bidi w:val="0"/>
                    <w:rPr>
                      <w:rFonts w:hint="eastAsia"/>
                    </w:rPr>
                  </w:pPr>
                  <w:r>
                    <w:rPr>
                      <w:rFonts w:hint="eastAsia"/>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涉及产能置换的项目，被置换产能及设备关停后，新建项目方可投产。</w:t>
                  </w:r>
                </w:p>
              </w:tc>
              <w:tc>
                <w:tcPr>
                  <w:tcW w:w="1218" w:type="pct"/>
                  <w:vAlign w:val="center"/>
                </w:tcPr>
                <w:p>
                  <w:pPr>
                    <w:pStyle w:val="6"/>
                    <w:bidi w:val="0"/>
                    <w:rPr>
                      <w:rFonts w:hint="eastAsia"/>
                      <w:lang w:val="en-US" w:eastAsia="zh-CN"/>
                    </w:rPr>
                  </w:pPr>
                  <w:r>
                    <w:rPr>
                      <w:rFonts w:hint="eastAsia"/>
                      <w:lang w:val="en-US" w:eastAsia="zh-CN"/>
                    </w:rPr>
                    <w:t>本项目不属于</w:t>
                  </w:r>
                  <w:r>
                    <w:rPr>
                      <w:rFonts w:hint="eastAsia"/>
                    </w:rPr>
                    <w:t>高耗能、高排放、低水平项目</w:t>
                  </w:r>
                  <w:r>
                    <w:rPr>
                      <w:rFonts w:hint="eastAsia"/>
                      <w:lang w:eastAsia="zh-CN"/>
                    </w:rPr>
                    <w:t>。</w:t>
                  </w:r>
                </w:p>
              </w:tc>
              <w:tc>
                <w:tcPr>
                  <w:tcW w:w="456" w:type="pct"/>
                  <w:vAlign w:val="center"/>
                </w:tcPr>
                <w:p>
                  <w:pPr>
                    <w:pStyle w:val="6"/>
                    <w:bidi w:val="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bidi w:val="0"/>
                    <w:rPr>
                      <w:rFonts w:hint="eastAsia"/>
                    </w:rPr>
                  </w:pPr>
                </w:p>
              </w:tc>
              <w:tc>
                <w:tcPr>
                  <w:tcW w:w="2650" w:type="pct"/>
                  <w:vAlign w:val="center"/>
                </w:tcPr>
                <w:p>
                  <w:pPr>
                    <w:pStyle w:val="6"/>
                    <w:bidi w:val="0"/>
                    <w:rPr>
                      <w:rFonts w:hint="eastAsia"/>
                    </w:rPr>
                  </w:pPr>
                  <w:r>
                    <w:rPr>
                      <w:rFonts w:hint="eastAsia"/>
                    </w:rPr>
                    <w:t>退出重点行业落后产能。严格执行《产业结构调整指导目录》，依法依规淘汰落后产能。联防联控区进一步提高落后产能能耗、环保、质量、安全、技术等要求，逐步退出限制类涉气行业工艺和装备。</w:t>
                  </w:r>
                </w:p>
              </w:tc>
              <w:tc>
                <w:tcPr>
                  <w:tcW w:w="1218" w:type="pct"/>
                  <w:vAlign w:val="center"/>
                </w:tcPr>
                <w:p>
                  <w:pPr>
                    <w:pStyle w:val="6"/>
                    <w:bidi w:val="0"/>
                    <w:rPr>
                      <w:rFonts w:hint="default"/>
                      <w:lang w:val="en-US" w:eastAsia="zh-CN"/>
                    </w:rPr>
                  </w:pPr>
                  <w:r>
                    <w:rPr>
                      <w:rFonts w:hint="eastAsia"/>
                      <w:lang w:val="en-US" w:eastAsia="zh-CN"/>
                    </w:rPr>
                    <w:t>本项目不属于落后产能。</w:t>
                  </w:r>
                </w:p>
              </w:tc>
              <w:tc>
                <w:tcPr>
                  <w:tcW w:w="456" w:type="pct"/>
                  <w:vAlign w:val="center"/>
                </w:tcPr>
                <w:p>
                  <w:pPr>
                    <w:pStyle w:val="6"/>
                    <w:bidi w:val="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bidi w:val="0"/>
                    <w:rPr>
                      <w:rFonts w:hint="eastAsia"/>
                    </w:rPr>
                  </w:pPr>
                </w:p>
              </w:tc>
              <w:tc>
                <w:tcPr>
                  <w:tcW w:w="2650" w:type="pct"/>
                  <w:vAlign w:val="center"/>
                </w:tcPr>
                <w:p>
                  <w:pPr>
                    <w:pStyle w:val="6"/>
                    <w:bidi w:val="0"/>
                    <w:rPr>
                      <w:rFonts w:hint="eastAsia"/>
                    </w:rPr>
                  </w:pPr>
                  <w:r>
                    <w:rPr>
                      <w:rFonts w:hint="eastAsia"/>
                    </w:rPr>
                    <w:t>持续强化扬尘污染综合管控。施工场地严格落实“六个百分百”要求。扬尘污染防治费用纳入工程造价，3000m</w:t>
                  </w:r>
                  <w:r>
                    <w:rPr>
                      <w:rFonts w:hint="eastAsia"/>
                      <w:vertAlign w:val="superscript"/>
                    </w:rPr>
                    <w:t>2</w:t>
                  </w:r>
                  <w:r>
                    <w:rPr>
                      <w:rFonts w:hint="eastAsia"/>
                    </w:rPr>
                    <w:t>及以上建筑工地安装视频监控并接入当地监管平台。道路、水务等长距离线性工程实行分段施工。城市建成区主次干道机械化清扫率达到80%。加强城市及周边公共裸地、物料堆场等易产尘区域抑尘管理。</w:t>
                  </w:r>
                </w:p>
              </w:tc>
              <w:tc>
                <w:tcPr>
                  <w:tcW w:w="1218" w:type="pct"/>
                  <w:vAlign w:val="center"/>
                </w:tcPr>
                <w:p>
                  <w:pPr>
                    <w:pStyle w:val="6"/>
                    <w:bidi w:val="0"/>
                    <w:rPr>
                      <w:rFonts w:hint="eastAsia"/>
                    </w:rPr>
                  </w:pPr>
                  <w:r>
                    <w:rPr>
                      <w:rFonts w:hint="eastAsia"/>
                    </w:rPr>
                    <w:t>本项目施工作业工程中</w:t>
                  </w:r>
                  <w:r>
                    <w:rPr>
                      <w:rFonts w:hint="eastAsia"/>
                      <w:lang w:val="en-US" w:eastAsia="zh-CN"/>
                    </w:rPr>
                    <w:t>应</w:t>
                  </w:r>
                  <w:r>
                    <w:rPr>
                      <w:rFonts w:hint="eastAsia"/>
                    </w:rPr>
                    <w:t>采取洒水降尘措施以减少对周边环境和环境敏感目标的影响。</w:t>
                  </w:r>
                </w:p>
              </w:tc>
              <w:tc>
                <w:tcPr>
                  <w:tcW w:w="456" w:type="pct"/>
                  <w:vAlign w:val="center"/>
                </w:tcPr>
                <w:p>
                  <w:pPr>
                    <w:pStyle w:val="6"/>
                    <w:bidi w:val="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restart"/>
                  <w:vAlign w:val="center"/>
                </w:tcPr>
                <w:p>
                  <w:pPr>
                    <w:pStyle w:val="6"/>
                    <w:bidi w:val="0"/>
                    <w:rPr>
                      <w:rFonts w:hint="eastAsia"/>
                    </w:rPr>
                  </w:pPr>
                  <w:r>
                    <w:rPr>
                      <w:rFonts w:hint="eastAsia"/>
                      <w:lang w:val="en-US" w:eastAsia="zh-CN"/>
                    </w:rPr>
                    <w:t>《新疆维吾尔自治区大气污染防治条例》</w:t>
                  </w:r>
                </w:p>
              </w:tc>
              <w:tc>
                <w:tcPr>
                  <w:tcW w:w="2650" w:type="pct"/>
                  <w:vAlign w:val="center"/>
                </w:tcPr>
                <w:p>
                  <w:pPr>
                    <w:pStyle w:val="6"/>
                    <w:bidi w:val="0"/>
                    <w:rPr>
                      <w:rFonts w:hint="eastAsia"/>
                      <w:lang w:val="en-US" w:eastAsia="zh-CN"/>
                    </w:rPr>
                  </w:pPr>
                  <w:r>
                    <w:rPr>
                      <w:rFonts w:hint="eastAsia"/>
                      <w:lang w:val="en-US" w:eastAsia="zh-CN"/>
                    </w:rPr>
                    <w:t>自治区对重点大气污染物排放实行总量控制制度。</w:t>
                  </w:r>
                </w:p>
                <w:p>
                  <w:pPr>
                    <w:pStyle w:val="6"/>
                    <w:bidi w:val="0"/>
                    <w:rPr>
                      <w:rFonts w:hint="eastAsia"/>
                      <w:lang w:val="en-US" w:eastAsia="zh-CN"/>
                    </w:rPr>
                  </w:pPr>
                  <w:r>
                    <w:rPr>
                      <w:rFonts w:hint="eastAsia"/>
                      <w:lang w:val="en-US" w:eastAsia="zh-CN"/>
                    </w:rPr>
                    <w:t>自治区人民政府按照国家规定，控制或者削减自治区的重点大气污染物排放总量。</w:t>
                  </w:r>
                </w:p>
                <w:p>
                  <w:pPr>
                    <w:pStyle w:val="6"/>
                    <w:bidi w:val="0"/>
                    <w:rPr>
                      <w:rFonts w:hint="eastAsia"/>
                    </w:rPr>
                  </w:pPr>
                  <w:r>
                    <w:rPr>
                      <w:rFonts w:hint="eastAsia"/>
                      <w:lang w:val="en-US" w:eastAsia="zh-CN"/>
                    </w:rPr>
                    <w:t>自治区人民政府可以根据大气环境质量状况和大气污染防治工作需要，对国家重点大气污染物之外的其他大气污染物排放实行总量控制或者削减。</w:t>
                  </w:r>
                </w:p>
              </w:tc>
              <w:tc>
                <w:tcPr>
                  <w:tcW w:w="1218" w:type="pct"/>
                  <w:vMerge w:val="restart"/>
                  <w:vAlign w:val="center"/>
                </w:tcPr>
                <w:p>
                  <w:pPr>
                    <w:pStyle w:val="6"/>
                    <w:bidi w:val="0"/>
                    <w:rPr>
                      <w:rFonts w:hint="eastAsia"/>
                      <w:lang w:val="en-US" w:eastAsia="zh-CN"/>
                    </w:rPr>
                  </w:pPr>
                  <w:r>
                    <w:rPr>
                      <w:rFonts w:hint="eastAsia"/>
                      <w:lang w:val="en-US" w:eastAsia="zh-CN"/>
                    </w:rPr>
                    <w:t>本项目属于防渗渠节水改造项目，运营期不涉及重点大气污染物排放。</w:t>
                  </w:r>
                </w:p>
              </w:tc>
              <w:tc>
                <w:tcPr>
                  <w:tcW w:w="456" w:type="pct"/>
                  <w:vAlign w:val="center"/>
                </w:tcPr>
                <w:p>
                  <w:pPr>
                    <w:pStyle w:val="6"/>
                    <w:bidi w:val="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bidi w:val="0"/>
                    <w:rPr>
                      <w:rFonts w:hint="eastAsia"/>
                    </w:rPr>
                  </w:pPr>
                </w:p>
              </w:tc>
              <w:tc>
                <w:tcPr>
                  <w:tcW w:w="2650" w:type="pct"/>
                  <w:vAlign w:val="center"/>
                </w:tcPr>
                <w:p>
                  <w:pPr>
                    <w:pStyle w:val="6"/>
                    <w:bidi w:val="0"/>
                    <w:rPr>
                      <w:rFonts w:hint="eastAsia"/>
                      <w:lang w:val="en-US" w:eastAsia="zh-CN"/>
                    </w:rPr>
                  </w:pPr>
                  <w:r>
                    <w:rPr>
                      <w:rFonts w:hint="eastAsia"/>
                      <w:lang w:val="en-US" w:eastAsia="zh-CN"/>
                    </w:rPr>
                    <w:t>自治区对大气污染物实行排污许可管理制度。</w:t>
                  </w:r>
                </w:p>
                <w:p>
                  <w:pPr>
                    <w:pStyle w:val="6"/>
                    <w:bidi w:val="0"/>
                    <w:rPr>
                      <w:rFonts w:hint="eastAsia"/>
                    </w:rPr>
                  </w:pPr>
                  <w:r>
                    <w:rPr>
                      <w:rFonts w:hint="eastAsia"/>
                      <w:lang w:val="en-US" w:eastAsia="zh-CN"/>
                    </w:rPr>
                    <w:t>向大气排放工业废气或者排放国家规定的有毒有害大气污染物的企业事业单位、集中供热设施的燃煤热源生产运营单位，以及其他依法实行排污许可管理的单位，应当依法取得排污许可证。向大气排放污染物的排污单位，应当按照国家和自治区的规定，设置大气污染物排放口，并明确其标志。</w:t>
                  </w:r>
                </w:p>
              </w:tc>
              <w:tc>
                <w:tcPr>
                  <w:tcW w:w="1218" w:type="pct"/>
                  <w:vMerge w:val="continue"/>
                  <w:vAlign w:val="center"/>
                </w:tcPr>
                <w:p>
                  <w:pPr>
                    <w:pStyle w:val="6"/>
                    <w:bidi w:val="0"/>
                    <w:rPr>
                      <w:rFonts w:hint="eastAsia"/>
                    </w:rPr>
                  </w:pPr>
                </w:p>
              </w:tc>
              <w:tc>
                <w:tcPr>
                  <w:tcW w:w="456" w:type="pct"/>
                  <w:vAlign w:val="center"/>
                </w:tcPr>
                <w:p>
                  <w:pPr>
                    <w:pStyle w:val="6"/>
                    <w:bidi w:val="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bidi w:val="0"/>
                    <w:rPr>
                      <w:rFonts w:hint="eastAsia"/>
                    </w:rPr>
                  </w:pPr>
                </w:p>
              </w:tc>
              <w:tc>
                <w:tcPr>
                  <w:tcW w:w="2650" w:type="pct"/>
                  <w:vAlign w:val="center"/>
                </w:tcPr>
                <w:p>
                  <w:pPr>
                    <w:pStyle w:val="6"/>
                    <w:bidi w:val="0"/>
                    <w:rPr>
                      <w:rFonts w:hint="eastAsia"/>
                      <w:lang w:val="en-US" w:eastAsia="zh-CN"/>
                    </w:rPr>
                  </w:pPr>
                  <w:r>
                    <w:rPr>
                      <w:rFonts w:hint="eastAsia"/>
                      <w:lang w:val="en-US" w:eastAsia="zh-CN"/>
                    </w:rPr>
                    <w:t>各级人民政府应当加强对建设施工、矿产资源开采、物料运输的扬尘和沙尘污染的治理，保持道路清洁、控制料堆和渣土堆放，科学合理扩大绿地、水面、湿地、地面铺装和防风固沙绿化面积，防治扬尘污染。</w:t>
                  </w:r>
                </w:p>
              </w:tc>
              <w:tc>
                <w:tcPr>
                  <w:tcW w:w="1218" w:type="pct"/>
                  <w:vAlign w:val="center"/>
                </w:tcPr>
                <w:p>
                  <w:pPr>
                    <w:pStyle w:val="6"/>
                    <w:bidi w:val="0"/>
                    <w:rPr>
                      <w:rFonts w:hint="eastAsia"/>
                    </w:rPr>
                  </w:pPr>
                  <w:r>
                    <w:rPr>
                      <w:rFonts w:hint="eastAsia"/>
                    </w:rPr>
                    <w:t>本项目施工作业工程中</w:t>
                  </w:r>
                  <w:r>
                    <w:rPr>
                      <w:rFonts w:hint="eastAsia"/>
                      <w:lang w:val="en-US" w:eastAsia="zh-CN"/>
                    </w:rPr>
                    <w:t>应</w:t>
                  </w:r>
                  <w:r>
                    <w:rPr>
                      <w:rFonts w:hint="eastAsia"/>
                    </w:rPr>
                    <w:t>采取洒水降尘措施以减少对周边环境和环境敏感目标的影响。</w:t>
                  </w:r>
                </w:p>
              </w:tc>
              <w:tc>
                <w:tcPr>
                  <w:tcW w:w="456" w:type="pct"/>
                  <w:vAlign w:val="center"/>
                </w:tcPr>
                <w:p>
                  <w:pPr>
                    <w:pStyle w:val="6"/>
                    <w:bidi w:val="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restart"/>
                  <w:vAlign w:val="center"/>
                </w:tcPr>
                <w:p>
                  <w:pPr>
                    <w:pStyle w:val="6"/>
                    <w:bidi w:val="0"/>
                    <w:jc w:val="center"/>
                    <w:rPr>
                      <w:rFonts w:hint="eastAsia" w:eastAsia="宋体"/>
                      <w:lang w:eastAsia="zh-CN"/>
                    </w:rPr>
                  </w:pPr>
                  <w:r>
                    <w:rPr>
                      <w:rFonts w:hint="eastAsia"/>
                      <w:lang w:eastAsia="zh-CN"/>
                    </w:rPr>
                    <w:t>《新疆维吾尔自治区以工代赈管理实施细则》</w:t>
                  </w:r>
                </w:p>
              </w:tc>
              <w:tc>
                <w:tcPr>
                  <w:tcW w:w="2650" w:type="pct"/>
                  <w:vAlign w:val="center"/>
                </w:tcPr>
                <w:p>
                  <w:pPr>
                    <w:pStyle w:val="6"/>
                    <w:bidi w:val="0"/>
                    <w:jc w:val="center"/>
                    <w:rPr>
                      <w:rFonts w:hint="eastAsia"/>
                      <w:lang w:val="en-US" w:eastAsia="zh-CN"/>
                    </w:rPr>
                  </w:pPr>
                  <w:r>
                    <w:rPr>
                      <w:rFonts w:hint="eastAsia"/>
                      <w:lang w:val="en-US" w:eastAsia="zh-CN"/>
                    </w:rPr>
                    <w:t>第三十四条 县级发展改革部门应按照项目可行性研究报告（或实施方案），督导以工代赈项目业主单位、施工单位明确务工组织领导、管理、监督等工作任务，细化实化以工代赈务工岗位、数量及务工时间、劳务报酬、岗前技能培训等内容，落实“能用人工尽量不用机械，能组织当地群众务工尽量不用专业施工队伍”的要求，组织项目所在县域内农村劳动力、城镇低收入人口和就业困难群体等参加工程建设，并优先吸纳脱贫人口、防止返贫监测对象、因灾需救助人口、易地扶贫搬迁群众和受自然灾害等不可抗力影响无法外出务工劳动力等群体。</w:t>
                  </w:r>
                </w:p>
              </w:tc>
              <w:tc>
                <w:tcPr>
                  <w:tcW w:w="1218" w:type="pct"/>
                  <w:vAlign w:val="center"/>
                </w:tcPr>
                <w:p>
                  <w:pPr>
                    <w:pStyle w:val="6"/>
                    <w:bidi w:val="0"/>
                    <w:jc w:val="center"/>
                    <w:rPr>
                      <w:rFonts w:hint="default"/>
                      <w:lang w:val="en-US" w:eastAsia="zh-CN"/>
                    </w:rPr>
                  </w:pPr>
                  <w:r>
                    <w:rPr>
                      <w:rFonts w:hint="eastAsia"/>
                      <w:lang w:val="en-US" w:eastAsia="zh-CN"/>
                    </w:rPr>
                    <w:t>本项目严格遵守可行性研究报告进行建设，并优先雇用当地农村劳动力、城镇低收入人口、就业困难群体、因灾需救助人口、易地扶贫搬迁群众和受自然灾害等不可抗力影响无法外出务工劳动力等群体。</w:t>
                  </w:r>
                </w:p>
              </w:tc>
              <w:tc>
                <w:tcPr>
                  <w:tcW w:w="456" w:type="pct"/>
                  <w:vAlign w:val="center"/>
                </w:tcPr>
                <w:p>
                  <w:pPr>
                    <w:pStyle w:val="6"/>
                    <w:bidi w:val="0"/>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bidi w:val="0"/>
                    <w:jc w:val="center"/>
                    <w:rPr>
                      <w:rFonts w:hint="eastAsia"/>
                      <w:lang w:eastAsia="zh-CN"/>
                    </w:rPr>
                  </w:pPr>
                </w:p>
              </w:tc>
              <w:tc>
                <w:tcPr>
                  <w:tcW w:w="2650" w:type="pct"/>
                  <w:vAlign w:val="center"/>
                </w:tcPr>
                <w:p>
                  <w:pPr>
                    <w:pStyle w:val="6"/>
                    <w:bidi w:val="0"/>
                    <w:jc w:val="center"/>
                    <w:rPr>
                      <w:rFonts w:hint="eastAsia"/>
                      <w:lang w:val="en-US" w:eastAsia="zh-CN"/>
                    </w:rPr>
                  </w:pPr>
                  <w:r>
                    <w:rPr>
                      <w:rFonts w:hint="eastAsia"/>
                      <w:lang w:val="en-US" w:eastAsia="zh-CN"/>
                    </w:rPr>
                    <w:t>第三十八条 项目建成后，施工单位及时开展自验，业主单位组织竣工初验。初验合格后，县级发展改革部门会同相关行业部门组成验收组，组织开展全面验收。验收组采取电话访问、入户访谈、实地检查等方式，全面检查群众务工组织方案、用工协议所列群众务工条款、技能培训方案等落实情况，重点核查群众务工、劳务报酬发放、就业技能培训等台账真实性和规范性，综合评价项目发挥以工代赈政策作用情况，出具书面验收结论。</w:t>
                  </w:r>
                </w:p>
              </w:tc>
              <w:tc>
                <w:tcPr>
                  <w:tcW w:w="1218" w:type="pct"/>
                  <w:vAlign w:val="center"/>
                </w:tcPr>
                <w:p>
                  <w:pPr>
                    <w:pStyle w:val="6"/>
                    <w:bidi w:val="0"/>
                    <w:jc w:val="center"/>
                    <w:rPr>
                      <w:rFonts w:hint="default" w:eastAsia="宋体"/>
                      <w:lang w:val="en-US" w:eastAsia="zh-CN"/>
                    </w:rPr>
                  </w:pPr>
                  <w:r>
                    <w:rPr>
                      <w:rFonts w:hint="eastAsia"/>
                      <w:lang w:val="en-US" w:eastAsia="zh-CN"/>
                    </w:rPr>
                    <w:t>本项目严格执行以工代赈验收管理要求，项目建成后由施工单位自验、业主单位初验，初验合格后与县发改部门联合行业主管部门组织全面验收。</w:t>
                  </w:r>
                </w:p>
              </w:tc>
              <w:tc>
                <w:tcPr>
                  <w:tcW w:w="456" w:type="pct"/>
                  <w:vAlign w:val="center"/>
                </w:tcPr>
                <w:p>
                  <w:pPr>
                    <w:pStyle w:val="6"/>
                    <w:bidi w:val="0"/>
                    <w:rPr>
                      <w:rFonts w:hint="eastAsia" w:eastAsia="宋体"/>
                      <w:lang w:val="en-US" w:eastAsia="zh-CN"/>
                    </w:rPr>
                  </w:pPr>
                  <w:r>
                    <w:rPr>
                      <w:rFonts w:hint="eastAsia"/>
                      <w:lang w:val="en-US" w:eastAsia="zh-CN"/>
                    </w:rPr>
                    <w:t>符合</w:t>
                  </w:r>
                </w:p>
              </w:tc>
            </w:tr>
          </w:tbl>
          <w:p>
            <w:pPr>
              <w:autoSpaceDE w:val="0"/>
              <w:autoSpaceDN w:val="0"/>
              <w:adjustRightInd w:val="0"/>
              <w:snapToGrid w:val="0"/>
              <w:ind w:left="0" w:leftChars="0" w:firstLine="0" w:firstLineChars="0"/>
              <w:rPr>
                <w:rFonts w:hint="eastAsia" w:ascii="宋体" w:hAnsi="宋体" w:eastAsia="宋体" w:cs="宋体"/>
                <w:color w:val="auto"/>
                <w:sz w:val="24"/>
                <w:szCs w:val="24"/>
              </w:rPr>
            </w:pPr>
          </w:p>
        </w:tc>
      </w:tr>
    </w:tbl>
    <w:p>
      <w:pPr>
        <w:spacing w:line="360" w:lineRule="auto"/>
        <w:outlineLvl w:val="0"/>
        <w:rPr>
          <w:rFonts w:eastAsia="黑体"/>
          <w:color w:val="auto"/>
          <w:sz w:val="30"/>
        </w:rPr>
        <w:sectPr>
          <w:footerReference r:id="rId5" w:type="default"/>
          <w:pgSz w:w="11906" w:h="16838"/>
          <w:pgMar w:top="1701" w:right="1531" w:bottom="1701" w:left="1531" w:header="851" w:footer="1077" w:gutter="0"/>
          <w:pgNumType w:fmt="decimal" w:start="1"/>
          <w:cols w:space="720" w:num="1"/>
          <w:docGrid w:linePitch="312" w:charSpace="0"/>
        </w:sectPr>
      </w:pPr>
    </w:p>
    <w:p>
      <w:pPr>
        <w:pStyle w:val="19"/>
        <w:jc w:val="center"/>
        <w:outlineLvl w:val="0"/>
        <w:rPr>
          <w:rFonts w:ascii="黑体" w:hAnsi="黑体" w:eastAsia="黑体"/>
          <w:snapToGrid w:val="0"/>
          <w:color w:val="auto"/>
          <w:sz w:val="30"/>
          <w:szCs w:val="30"/>
          <w:vertAlign w:val="baseline"/>
        </w:rPr>
      </w:pPr>
      <w:r>
        <w:rPr>
          <w:rFonts w:hint="eastAsia" w:ascii="黑体" w:hAnsi="黑体" w:eastAsia="黑体"/>
          <w:snapToGrid w:val="0"/>
          <w:color w:val="auto"/>
          <w:sz w:val="30"/>
          <w:szCs w:val="30"/>
        </w:rPr>
        <w:t>二、建设内容</w:t>
      </w:r>
    </w:p>
    <w:tbl>
      <w:tblPr>
        <w:tblStyle w:val="22"/>
        <w:tblW w:w="53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pStyle w:val="6"/>
              <w:bidi w:val="0"/>
              <w:jc w:val="center"/>
            </w:pPr>
            <w:r>
              <w:rPr>
                <w:rFonts w:hint="eastAsia"/>
              </w:rPr>
              <w:t>地理位置</w:t>
            </w:r>
          </w:p>
        </w:tc>
        <w:tc>
          <w:tcPr>
            <w:tcW w:w="4616" w:type="pct"/>
          </w:tcPr>
          <w:p>
            <w:pPr>
              <w:pStyle w:val="3"/>
              <w:bidi w:val="0"/>
              <w:rPr>
                <w:rFonts w:hint="eastAsia"/>
                <w:lang w:val="en-US" w:eastAsia="zh-CN"/>
              </w:rPr>
            </w:pPr>
            <w:r>
              <w:rPr>
                <w:rFonts w:hint="eastAsia"/>
                <w:lang w:val="en-US" w:eastAsia="zh-CN"/>
              </w:rPr>
              <w:t>1 地理位置</w:t>
            </w:r>
          </w:p>
          <w:p>
            <w:pPr>
              <w:keepNext w:val="0"/>
              <w:keepLines w:val="0"/>
              <w:pageBreakBefore w:val="0"/>
              <w:widowControl w:val="0"/>
              <w:kinsoku/>
              <w:wordWrap w:val="0"/>
              <w:overflowPunct/>
              <w:topLinePunct w:val="0"/>
              <w:autoSpaceDE/>
              <w:autoSpaceDN/>
              <w:bidi w:val="0"/>
              <w:adjustRightInd/>
              <w:snapToGrid/>
              <w:textAlignment w:val="auto"/>
              <w:rPr>
                <w:rFonts w:hint="eastAsia"/>
                <w:lang w:val="en-US" w:eastAsia="zh-CN"/>
              </w:rPr>
            </w:pPr>
            <w:r>
              <w:rPr>
                <w:rFonts w:hint="eastAsia"/>
                <w:lang w:val="en-US" w:eastAsia="zh-CN"/>
              </w:rPr>
              <w:t>项目位于新疆巴音郭楞蒙古自治州若羌县铁干里克镇库尔干村、亚喀吾斯塘村。工程实施点距若羌县城1.5km，其地理坐标：</w:t>
            </w:r>
            <w:r>
              <w:rPr>
                <w:rFonts w:hint="default"/>
                <w:lang w:val="en-US" w:eastAsia="zh-CN"/>
              </w:rPr>
              <w:t>东经88°8′30.50</w:t>
            </w:r>
            <w:r>
              <w:rPr>
                <w:rFonts w:hint="eastAsia"/>
                <w:lang w:val="en-US" w:eastAsia="zh-CN"/>
              </w:rPr>
              <w:t>7</w:t>
            </w:r>
            <w:r>
              <w:rPr>
                <w:rFonts w:hint="default"/>
                <w:lang w:val="en-US" w:eastAsia="zh-CN"/>
              </w:rPr>
              <w:t>″~88°12′39.051″，北纬39°1′29.781″~39°4′37.261″，</w:t>
            </w:r>
            <w:r>
              <w:rPr>
                <w:rFonts w:hint="eastAsia"/>
                <w:lang w:val="en-US" w:eastAsia="zh-CN"/>
              </w:rPr>
              <w:t>交通较便利。建设项目地理位置示意图见附图1。</w:t>
            </w:r>
          </w:p>
          <w:p>
            <w:pPr>
              <w:pStyle w:val="3"/>
              <w:bidi w:val="0"/>
              <w:rPr>
                <w:rFonts w:hint="default"/>
                <w:lang w:val="en-US" w:eastAsia="zh-CN"/>
              </w:rPr>
            </w:pPr>
            <w:r>
              <w:rPr>
                <w:rFonts w:hint="eastAsia"/>
                <w:lang w:val="en-US" w:eastAsia="zh-CN"/>
              </w:rPr>
              <w:t>2 水资源</w:t>
            </w:r>
          </w:p>
          <w:p>
            <w:pPr>
              <w:bidi w:val="0"/>
              <w:rPr>
                <w:rFonts w:hint="eastAsia"/>
                <w:lang w:val="en-US" w:eastAsia="zh-CN"/>
              </w:rPr>
            </w:pPr>
            <w:r>
              <w:rPr>
                <w:rFonts w:hint="eastAsia"/>
                <w:lang w:val="en-US" w:eastAsia="zh-CN"/>
              </w:rPr>
              <w:t>项目区灌溉水源主要为若羌河地表水，年均径流量0.901亿立方米，水质符合《地表水环境质量标准》（GB3838-2002）</w:t>
            </w:r>
            <w:r>
              <w:rPr>
                <w:rFonts w:hint="default" w:ascii="Times New Roman" w:hAnsi="Times New Roman" w:cs="Times New Roman"/>
                <w:lang w:val="en-US" w:eastAsia="zh-CN"/>
              </w:rPr>
              <w:t>Ⅲ</w:t>
            </w:r>
            <w:r>
              <w:rPr>
                <w:rFonts w:hint="eastAsia"/>
                <w:lang w:val="en-US" w:eastAsia="zh-CN"/>
              </w:rPr>
              <w:t>类标准，可满足农业灌溉需求。</w:t>
            </w:r>
          </w:p>
          <w:p>
            <w:pPr>
              <w:bidi w:val="0"/>
              <w:rPr>
                <w:rFonts w:hint="eastAsia"/>
                <w:highlight w:val="yellow"/>
                <w:lang w:val="en-US" w:eastAsia="zh-CN"/>
              </w:rPr>
            </w:pPr>
            <w:r>
              <w:rPr>
                <w:rFonts w:hint="eastAsia"/>
                <w:highlight w:val="none"/>
                <w:lang w:val="en-US" w:eastAsia="zh-CN"/>
              </w:rPr>
              <w:t>本项目建设内容仅对若羌县铁干里克镇库尔干村、亚喀吾斯塘村进行防渗改造，灌溉用水引自兰干村一号斗渠、夏普都一号斗渠、夏普都二号斗渠、夏普都三号斗渠、英阿瓦提村一号斗渠、英阿瓦提村一条田一号斗渠、英阿瓦提村三号斗渠、亚客吾斯塘和果勒吾斯唐支渠、东塔提让一斗渠、东塔提让二斗渠、东塔提让三斗渠、亚尔巴格村一斗渠、洛浦村一斗渠和亚克吾斯塘一斗渠，不直接从河流引水。</w:t>
            </w:r>
          </w:p>
          <w:p>
            <w:pPr>
              <w:pStyle w:val="3"/>
              <w:bidi w:val="0"/>
              <w:rPr>
                <w:rFonts w:hint="default"/>
                <w:lang w:val="en-US" w:eastAsia="zh-CN"/>
              </w:rPr>
            </w:pPr>
            <w:r>
              <w:rPr>
                <w:rFonts w:hint="eastAsia"/>
                <w:lang w:val="en-US" w:eastAsia="zh-CN"/>
              </w:rPr>
              <w:t>3 起止点坐标</w:t>
            </w:r>
          </w:p>
          <w:p>
            <w:pPr>
              <w:bidi w:val="0"/>
              <w:rPr>
                <w:rFonts w:hint="eastAsia"/>
                <w:lang w:val="en-US" w:eastAsia="zh-CN"/>
              </w:rPr>
            </w:pPr>
            <w:r>
              <w:rPr>
                <w:rFonts w:hint="eastAsia"/>
                <w:lang w:val="en-US" w:eastAsia="zh-CN"/>
              </w:rPr>
              <w:t>本工程涉及若羌县库尔干村、亚喀吾斯塘村，项目从斗渠引水，修建防渗渠共计31条，总长5.5</w:t>
            </w:r>
            <w:r>
              <w:rPr>
                <w:rFonts w:hint="default"/>
                <w:lang w:val="en-US" w:eastAsia="zh-CN"/>
              </w:rPr>
              <w:t>km</w:t>
            </w:r>
            <w:r>
              <w:rPr>
                <w:rFonts w:hint="eastAsia"/>
                <w:lang w:val="en-US" w:eastAsia="zh-CN"/>
              </w:rPr>
              <w:t>，渠道线路坐标见表2-1。项目平面布置图见附图2和附图3。</w:t>
            </w:r>
          </w:p>
          <w:p>
            <w:pPr>
              <w:bidi w:val="0"/>
              <w:rPr>
                <w:rFonts w:hint="eastAsia"/>
                <w:lang w:val="en-US" w:eastAsia="zh-CN"/>
              </w:rPr>
            </w:pPr>
          </w:p>
          <w:p>
            <w:pPr>
              <w:bidi w:val="0"/>
              <w:ind w:left="0" w:leftChars="0" w:firstLine="0" w:firstLineChars="0"/>
              <w:rPr>
                <w:rFonts w:hint="eastAsia"/>
                <w:lang w:val="en-US" w:eastAsia="zh-CN"/>
              </w:rPr>
            </w:pPr>
          </w:p>
          <w:p>
            <w:pPr>
              <w:bidi w:val="0"/>
              <w:ind w:left="0" w:leftChars="0" w:firstLine="0" w:firstLineChars="0"/>
              <w:rPr>
                <w:rFonts w:hint="eastAsia"/>
                <w:lang w:val="en-US" w:eastAsia="zh-CN"/>
              </w:rPr>
            </w:pPr>
          </w:p>
          <w:p>
            <w:pPr>
              <w:bidi w:val="0"/>
            </w:pPr>
          </w:p>
        </w:tc>
      </w:tr>
    </w:tbl>
    <w:p>
      <w:pPr>
        <w:pStyle w:val="19"/>
        <w:jc w:val="center"/>
        <w:outlineLvl w:val="0"/>
        <w:rPr>
          <w:rFonts w:ascii="黑体" w:hAnsi="黑体" w:eastAsia="黑体"/>
          <w:snapToGrid w:val="0"/>
          <w:color w:val="auto"/>
          <w:sz w:val="30"/>
          <w:szCs w:val="30"/>
        </w:rPr>
        <w:sectPr>
          <w:pgSz w:w="11906" w:h="16838"/>
          <w:pgMar w:top="1440" w:right="1800" w:bottom="1440" w:left="1800" w:header="851" w:footer="1077" w:gutter="0"/>
          <w:pgNumType w:fmt="decimal"/>
          <w:cols w:space="720" w:num="1"/>
          <w:docGrid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tcPr>
          <w:p>
            <w:pPr>
              <w:pStyle w:val="19"/>
              <w:jc w:val="center"/>
              <w:outlineLvl w:val="0"/>
              <w:rPr>
                <w:rFonts w:ascii="黑体" w:hAnsi="黑体" w:eastAsia="黑体"/>
                <w:snapToGrid w:val="0"/>
                <w:color w:val="auto"/>
                <w:sz w:val="30"/>
                <w:szCs w:val="30"/>
                <w:vertAlign w:val="baseline"/>
              </w:rPr>
            </w:pPr>
          </w:p>
        </w:tc>
        <w:tc>
          <w:tcPr>
            <w:tcW w:w="13221" w:type="dxa"/>
          </w:tcPr>
          <w:p>
            <w:pPr>
              <w:pStyle w:val="5"/>
              <w:bidi w:val="0"/>
              <w:rPr>
                <w:rFonts w:hint="eastAsia"/>
                <w:lang w:val="en-US" w:eastAsia="zh-CN"/>
              </w:rPr>
            </w:pPr>
            <w:r>
              <w:rPr>
                <w:rFonts w:hint="eastAsia"/>
                <w:lang w:val="en-US" w:eastAsia="zh-CN"/>
              </w:rPr>
              <w:t>表2-1  工程起止点坐标</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228"/>
              <w:gridCol w:w="2250"/>
              <w:gridCol w:w="3331"/>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序号</w:t>
                  </w:r>
                </w:p>
              </w:tc>
              <w:tc>
                <w:tcPr>
                  <w:tcW w:w="1242" w:type="pct"/>
                  <w:vAlign w:val="center"/>
                </w:tcPr>
                <w:p>
                  <w:pPr>
                    <w:pStyle w:val="6"/>
                    <w:bidi w:val="0"/>
                    <w:rPr>
                      <w:rFonts w:hint="default"/>
                      <w:lang w:val="en-US" w:eastAsia="zh-CN"/>
                    </w:rPr>
                  </w:pPr>
                  <w:r>
                    <w:rPr>
                      <w:rFonts w:hint="eastAsia"/>
                      <w:lang w:val="en-US" w:eastAsia="zh-CN"/>
                    </w:rPr>
                    <w:t>渠道名称</w:t>
                  </w:r>
                </w:p>
              </w:tc>
              <w:tc>
                <w:tcPr>
                  <w:tcW w:w="866" w:type="pct"/>
                  <w:vAlign w:val="center"/>
                </w:tcPr>
                <w:p>
                  <w:pPr>
                    <w:pStyle w:val="6"/>
                    <w:bidi w:val="0"/>
                    <w:rPr>
                      <w:rFonts w:hint="default"/>
                      <w:lang w:val="en-US" w:eastAsia="zh-CN"/>
                    </w:rPr>
                  </w:pPr>
                  <w:r>
                    <w:rPr>
                      <w:rFonts w:hint="eastAsia"/>
                      <w:lang w:val="en-US" w:eastAsia="zh-CN"/>
                    </w:rPr>
                    <w:t>渠道长度（m）</w:t>
                  </w:r>
                </w:p>
              </w:tc>
              <w:tc>
                <w:tcPr>
                  <w:tcW w:w="1282" w:type="pct"/>
                  <w:vAlign w:val="center"/>
                </w:tcPr>
                <w:p>
                  <w:pPr>
                    <w:pStyle w:val="6"/>
                    <w:bidi w:val="0"/>
                    <w:rPr>
                      <w:rFonts w:hint="default"/>
                      <w:lang w:val="en-US" w:eastAsia="zh-CN"/>
                    </w:rPr>
                  </w:pPr>
                  <w:r>
                    <w:rPr>
                      <w:rFonts w:hint="eastAsia"/>
                      <w:lang w:val="en-US" w:eastAsia="zh-CN"/>
                    </w:rPr>
                    <w:t>起点坐标</w:t>
                  </w:r>
                </w:p>
              </w:tc>
              <w:tc>
                <w:tcPr>
                  <w:tcW w:w="1362" w:type="pct"/>
                  <w:vAlign w:val="center"/>
                </w:tcPr>
                <w:p>
                  <w:pPr>
                    <w:pStyle w:val="6"/>
                    <w:bidi w:val="0"/>
                    <w:rPr>
                      <w:rFonts w:hint="default"/>
                      <w:lang w:val="en-US" w:eastAsia="zh-CN"/>
                    </w:rPr>
                  </w:pPr>
                  <w:r>
                    <w:rPr>
                      <w:rFonts w:hint="eastAsia"/>
                      <w:lang w:val="en-US" w:eastAsia="zh-CN"/>
                    </w:rPr>
                    <w:t>终点坐标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大园子斗渠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827.93</w:t>
                  </w:r>
                </w:p>
              </w:tc>
              <w:tc>
                <w:tcPr>
                  <w:tcW w:w="1282" w:type="pct"/>
                  <w:vAlign w:val="center"/>
                </w:tcPr>
                <w:p>
                  <w:pPr>
                    <w:pStyle w:val="6"/>
                    <w:bidi w:val="0"/>
                    <w:rPr>
                      <w:rFonts w:hint="default"/>
                      <w:highlight w:val="none"/>
                      <w:lang w:val="en-US" w:eastAsia="zh-CN"/>
                    </w:rPr>
                  </w:pPr>
                  <w:r>
                    <w:rPr>
                      <w:rFonts w:hint="default"/>
                      <w:highlight w:val="none"/>
                      <w:lang w:val="en-US" w:eastAsia="zh-CN"/>
                    </w:rPr>
                    <w:t>E88°10′9.2</w:t>
                  </w:r>
                  <w:r>
                    <w:rPr>
                      <w:rFonts w:hint="eastAsia"/>
                      <w:highlight w:val="none"/>
                      <w:lang w:val="en-US" w:eastAsia="zh-CN"/>
                    </w:rPr>
                    <w:t>20</w:t>
                  </w:r>
                  <w:r>
                    <w:rPr>
                      <w:rFonts w:hint="default"/>
                      <w:highlight w:val="none"/>
                      <w:lang w:val="en-US" w:eastAsia="zh-CN"/>
                    </w:rPr>
                    <w:t>″，N39°4′10.543″</w:t>
                  </w:r>
                </w:p>
              </w:tc>
              <w:tc>
                <w:tcPr>
                  <w:tcW w:w="1362" w:type="pct"/>
                  <w:vAlign w:val="center"/>
                </w:tcPr>
                <w:p>
                  <w:pPr>
                    <w:pStyle w:val="6"/>
                    <w:bidi w:val="0"/>
                    <w:rPr>
                      <w:rFonts w:hint="default"/>
                      <w:highlight w:val="none"/>
                      <w:lang w:val="en-US" w:eastAsia="zh-CN"/>
                    </w:rPr>
                  </w:pPr>
                  <w:r>
                    <w:rPr>
                      <w:rFonts w:hint="eastAsia"/>
                      <w:highlight w:val="none"/>
                      <w:lang w:val="en-US" w:eastAsia="zh-CN"/>
                    </w:rPr>
                    <w:t>E</w:t>
                  </w:r>
                  <w:r>
                    <w:rPr>
                      <w:rFonts w:hint="default"/>
                      <w:highlight w:val="none"/>
                      <w:lang w:val="en-US" w:eastAsia="zh-CN"/>
                    </w:rPr>
                    <w:t>88°10′4.797″</w:t>
                  </w:r>
                  <w:r>
                    <w:rPr>
                      <w:rFonts w:hint="eastAsia"/>
                      <w:highlight w:val="none"/>
                      <w:lang w:val="en-US" w:eastAsia="zh-CN"/>
                    </w:rPr>
                    <w:t>，N</w:t>
                  </w:r>
                  <w:r>
                    <w:rPr>
                      <w:rFonts w:hint="default"/>
                      <w:highlight w:val="none"/>
                      <w:lang w:val="en-US" w:eastAsia="zh-CN"/>
                    </w:rPr>
                    <w:t>39°4′30.994″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2</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兰干村1条田渠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367.19</w:t>
                  </w:r>
                </w:p>
              </w:tc>
              <w:tc>
                <w:tcPr>
                  <w:tcW w:w="1282" w:type="pct"/>
                  <w:vAlign w:val="center"/>
                </w:tcPr>
                <w:p>
                  <w:pPr>
                    <w:pStyle w:val="6"/>
                    <w:bidi w:val="0"/>
                    <w:rPr>
                      <w:rFonts w:hint="default"/>
                      <w:highlight w:val="none"/>
                      <w:lang w:val="en-US" w:eastAsia="zh-CN"/>
                    </w:rPr>
                  </w:pPr>
                  <w:r>
                    <w:rPr>
                      <w:rFonts w:hint="default"/>
                      <w:highlight w:val="none"/>
                      <w:lang w:val="en-US" w:eastAsia="zh-CN"/>
                    </w:rPr>
                    <w:t>E88°9′59.44</w:t>
                  </w:r>
                  <w:r>
                    <w:rPr>
                      <w:rFonts w:hint="eastAsia"/>
                      <w:highlight w:val="none"/>
                      <w:lang w:val="en-US" w:eastAsia="zh-CN"/>
                    </w:rPr>
                    <w:t>8</w:t>
                  </w:r>
                  <w:r>
                    <w:rPr>
                      <w:rFonts w:hint="default"/>
                      <w:highlight w:val="none"/>
                      <w:lang w:val="en-US" w:eastAsia="zh-CN"/>
                    </w:rPr>
                    <w:t>″，N39°3′57.27</w:t>
                  </w:r>
                  <w:r>
                    <w:rPr>
                      <w:rFonts w:hint="eastAsia"/>
                      <w:highlight w:val="none"/>
                      <w:lang w:val="en-US" w:eastAsia="zh-CN"/>
                    </w:rPr>
                    <w:t>6</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E88°9′59.19</w:t>
                  </w:r>
                  <w:r>
                    <w:rPr>
                      <w:rFonts w:hint="eastAsia"/>
                      <w:highlight w:val="none"/>
                      <w:lang w:val="en-US" w:eastAsia="zh-CN"/>
                    </w:rPr>
                    <w:t>7</w:t>
                  </w:r>
                  <w:r>
                    <w:rPr>
                      <w:rFonts w:hint="default"/>
                      <w:highlight w:val="none"/>
                      <w:lang w:val="en-US" w:eastAsia="zh-CN"/>
                    </w:rPr>
                    <w:t>″，N39°4′8.</w:t>
                  </w:r>
                  <w:r>
                    <w:rPr>
                      <w:rFonts w:hint="eastAsia"/>
                      <w:highlight w:val="none"/>
                      <w:lang w:val="en-US" w:eastAsia="zh-CN"/>
                    </w:rPr>
                    <w:t>400</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3</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兰干村1-1条田渠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137.38</w:t>
                  </w:r>
                </w:p>
              </w:tc>
              <w:tc>
                <w:tcPr>
                  <w:tcW w:w="1282" w:type="pct"/>
                  <w:vAlign w:val="center"/>
                </w:tcPr>
                <w:p>
                  <w:pPr>
                    <w:pStyle w:val="6"/>
                    <w:bidi w:val="0"/>
                    <w:rPr>
                      <w:rFonts w:hint="default"/>
                      <w:highlight w:val="none"/>
                      <w:lang w:val="en-US" w:eastAsia="zh-CN"/>
                    </w:rPr>
                  </w:pPr>
                  <w:r>
                    <w:rPr>
                      <w:rFonts w:hint="default"/>
                      <w:highlight w:val="none"/>
                      <w:lang w:val="en-US" w:eastAsia="zh-CN"/>
                    </w:rPr>
                    <w:t>E88°9′59.44</w:t>
                  </w:r>
                  <w:r>
                    <w:rPr>
                      <w:rFonts w:hint="eastAsia"/>
                      <w:highlight w:val="none"/>
                      <w:lang w:val="en-US" w:eastAsia="zh-CN"/>
                    </w:rPr>
                    <w:t>8</w:t>
                  </w:r>
                  <w:r>
                    <w:rPr>
                      <w:rFonts w:hint="default"/>
                      <w:highlight w:val="none"/>
                      <w:lang w:val="en-US" w:eastAsia="zh-CN"/>
                    </w:rPr>
                    <w:t>″，N39°3′57.27</w:t>
                  </w:r>
                  <w:r>
                    <w:rPr>
                      <w:rFonts w:hint="eastAsia"/>
                      <w:highlight w:val="none"/>
                      <w:lang w:val="en-US" w:eastAsia="zh-CN"/>
                    </w:rPr>
                    <w:t>6</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E88°9′54.3</w:t>
                  </w:r>
                  <w:r>
                    <w:rPr>
                      <w:rFonts w:hint="eastAsia"/>
                      <w:highlight w:val="none"/>
                      <w:lang w:val="en-US" w:eastAsia="zh-CN"/>
                    </w:rPr>
                    <w:t>50</w:t>
                  </w:r>
                  <w:r>
                    <w:rPr>
                      <w:rFonts w:hint="default"/>
                      <w:highlight w:val="none"/>
                      <w:lang w:val="en-US" w:eastAsia="zh-CN"/>
                    </w:rPr>
                    <w:t>″，N39°3′57.21</w:t>
                  </w:r>
                  <w:r>
                    <w:rPr>
                      <w:rFonts w:hint="eastAsia"/>
                      <w:highlight w:val="none"/>
                      <w:lang w:val="en-US" w:eastAsia="zh-CN"/>
                    </w:rPr>
                    <w:t>8</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4</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兰干村1-2条田渠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147.43</w:t>
                  </w:r>
                </w:p>
              </w:tc>
              <w:tc>
                <w:tcPr>
                  <w:tcW w:w="1282" w:type="pct"/>
                  <w:vAlign w:val="center"/>
                </w:tcPr>
                <w:p>
                  <w:pPr>
                    <w:pStyle w:val="6"/>
                    <w:bidi w:val="0"/>
                    <w:rPr>
                      <w:rFonts w:hint="default"/>
                      <w:highlight w:val="none"/>
                      <w:lang w:val="en-US" w:eastAsia="zh-CN"/>
                    </w:rPr>
                  </w:pPr>
                  <w:r>
                    <w:rPr>
                      <w:rFonts w:hint="default"/>
                      <w:highlight w:val="none"/>
                      <w:lang w:val="en-US" w:eastAsia="zh-CN"/>
                    </w:rPr>
                    <w:t>E88°10′4.913″，N39°3′57.14</w:t>
                  </w:r>
                  <w:r>
                    <w:rPr>
                      <w:rFonts w:hint="eastAsia"/>
                      <w:highlight w:val="none"/>
                      <w:lang w:val="en-US" w:eastAsia="zh-CN"/>
                    </w:rPr>
                    <w:t>1</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E88°10′4.81</w:t>
                  </w:r>
                  <w:r>
                    <w:rPr>
                      <w:rFonts w:hint="eastAsia"/>
                      <w:highlight w:val="none"/>
                      <w:lang w:val="en-US" w:eastAsia="zh-CN"/>
                    </w:rPr>
                    <w:t>7</w:t>
                  </w:r>
                  <w:r>
                    <w:rPr>
                      <w:rFonts w:hint="default"/>
                      <w:highlight w:val="none"/>
                      <w:lang w:val="en-US" w:eastAsia="zh-CN"/>
                    </w:rPr>
                    <w:t>″，N39°4′1.466″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5</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郭礼行斗渠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197.71</w:t>
                  </w:r>
                </w:p>
              </w:tc>
              <w:tc>
                <w:tcPr>
                  <w:tcW w:w="1282" w:type="pct"/>
                  <w:vAlign w:val="center"/>
                </w:tcPr>
                <w:p>
                  <w:pPr>
                    <w:pStyle w:val="6"/>
                    <w:bidi w:val="0"/>
                    <w:rPr>
                      <w:rFonts w:hint="default"/>
                      <w:highlight w:val="none"/>
                      <w:lang w:val="en-US" w:eastAsia="zh-CN"/>
                    </w:rPr>
                  </w:pPr>
                  <w:r>
                    <w:rPr>
                      <w:rFonts w:hint="default"/>
                      <w:highlight w:val="none"/>
                      <w:lang w:val="en-US" w:eastAsia="zh-CN"/>
                    </w:rPr>
                    <w:t>E88°10′4.50</w:t>
                  </w:r>
                  <w:r>
                    <w:rPr>
                      <w:rFonts w:hint="eastAsia"/>
                      <w:highlight w:val="none"/>
                      <w:lang w:val="en-US" w:eastAsia="zh-CN"/>
                    </w:rPr>
                    <w:t>8</w:t>
                  </w:r>
                  <w:r>
                    <w:rPr>
                      <w:rFonts w:hint="default"/>
                      <w:highlight w:val="none"/>
                      <w:lang w:val="en-US" w:eastAsia="zh-CN"/>
                    </w:rPr>
                    <w:t>″，N39°4′31.245″</w:t>
                  </w:r>
                </w:p>
              </w:tc>
              <w:tc>
                <w:tcPr>
                  <w:tcW w:w="1362" w:type="pct"/>
                  <w:vAlign w:val="center"/>
                </w:tcPr>
                <w:p>
                  <w:pPr>
                    <w:pStyle w:val="6"/>
                    <w:bidi w:val="0"/>
                    <w:rPr>
                      <w:rFonts w:hint="default"/>
                      <w:highlight w:val="none"/>
                      <w:lang w:val="en-US" w:eastAsia="zh-CN"/>
                    </w:rPr>
                  </w:pPr>
                  <w:r>
                    <w:rPr>
                      <w:rFonts w:hint="default"/>
                      <w:highlight w:val="none"/>
                      <w:lang w:val="en-US" w:eastAsia="zh-CN"/>
                    </w:rPr>
                    <w:t>E88°10′4.36</w:t>
                  </w:r>
                  <w:r>
                    <w:rPr>
                      <w:rFonts w:hint="eastAsia"/>
                      <w:highlight w:val="none"/>
                      <w:lang w:val="en-US" w:eastAsia="zh-CN"/>
                    </w:rPr>
                    <w:t>3</w:t>
                  </w:r>
                  <w:r>
                    <w:rPr>
                      <w:rFonts w:hint="default"/>
                      <w:highlight w:val="none"/>
                      <w:lang w:val="en-US" w:eastAsia="zh-CN"/>
                    </w:rPr>
                    <w:t>″，N39°4′37.222″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6</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张金成渠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74.27</w:t>
                  </w:r>
                </w:p>
              </w:tc>
              <w:tc>
                <w:tcPr>
                  <w:tcW w:w="1282" w:type="pct"/>
                  <w:vAlign w:val="center"/>
                </w:tcPr>
                <w:p>
                  <w:pPr>
                    <w:pStyle w:val="6"/>
                    <w:bidi w:val="0"/>
                    <w:rPr>
                      <w:rFonts w:hint="default"/>
                      <w:highlight w:val="none"/>
                      <w:lang w:val="en-US" w:eastAsia="zh-CN"/>
                    </w:rPr>
                  </w:pPr>
                  <w:r>
                    <w:rPr>
                      <w:rFonts w:hint="default"/>
                      <w:highlight w:val="none"/>
                      <w:lang w:val="en-US" w:eastAsia="zh-CN"/>
                    </w:rPr>
                    <w:t>E88°10′4.440″，N39°4′31.033″</w:t>
                  </w:r>
                </w:p>
              </w:tc>
              <w:tc>
                <w:tcPr>
                  <w:tcW w:w="1362" w:type="pct"/>
                  <w:vAlign w:val="center"/>
                </w:tcPr>
                <w:p>
                  <w:pPr>
                    <w:pStyle w:val="6"/>
                    <w:bidi w:val="0"/>
                    <w:rPr>
                      <w:rFonts w:hint="default"/>
                      <w:highlight w:val="none"/>
                      <w:lang w:val="en-US" w:eastAsia="zh-CN"/>
                    </w:rPr>
                  </w:pPr>
                  <w:r>
                    <w:rPr>
                      <w:rFonts w:hint="default"/>
                      <w:highlight w:val="none"/>
                      <w:lang w:val="en-US" w:eastAsia="zh-CN"/>
                    </w:rPr>
                    <w:t>E88°10′1.86</w:t>
                  </w:r>
                  <w:r>
                    <w:rPr>
                      <w:rFonts w:hint="eastAsia"/>
                      <w:highlight w:val="none"/>
                      <w:lang w:val="en-US" w:eastAsia="zh-CN"/>
                    </w:rPr>
                    <w:t>2</w:t>
                  </w:r>
                  <w:r>
                    <w:rPr>
                      <w:rFonts w:hint="default"/>
                      <w:highlight w:val="none"/>
                      <w:lang w:val="en-US" w:eastAsia="zh-CN"/>
                    </w:rPr>
                    <w:t>″，N39°4′30.859″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7</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孙自强门口渠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498.10</w:t>
                  </w:r>
                </w:p>
              </w:tc>
              <w:tc>
                <w:tcPr>
                  <w:tcW w:w="1282" w:type="pct"/>
                  <w:vAlign w:val="center"/>
                </w:tcPr>
                <w:p>
                  <w:pPr>
                    <w:pStyle w:val="6"/>
                    <w:bidi w:val="0"/>
                    <w:rPr>
                      <w:rFonts w:hint="default"/>
                      <w:highlight w:val="none"/>
                      <w:lang w:val="en-US" w:eastAsia="zh-CN"/>
                    </w:rPr>
                  </w:pPr>
                  <w:r>
                    <w:rPr>
                      <w:rFonts w:hint="default"/>
                      <w:highlight w:val="none"/>
                      <w:lang w:val="en-US" w:eastAsia="zh-CN"/>
                    </w:rPr>
                    <w:t>E88°8′55.212″，N39°3′18.489″</w:t>
                  </w:r>
                </w:p>
              </w:tc>
              <w:tc>
                <w:tcPr>
                  <w:tcW w:w="1362" w:type="pct"/>
                  <w:vAlign w:val="center"/>
                </w:tcPr>
                <w:p>
                  <w:pPr>
                    <w:pStyle w:val="6"/>
                    <w:bidi w:val="0"/>
                    <w:rPr>
                      <w:rFonts w:hint="default"/>
                      <w:highlight w:val="none"/>
                      <w:lang w:val="en-US" w:eastAsia="zh-CN"/>
                    </w:rPr>
                  </w:pPr>
                  <w:r>
                    <w:rPr>
                      <w:rFonts w:hint="default"/>
                      <w:highlight w:val="none"/>
                      <w:lang w:val="en-US" w:eastAsia="zh-CN"/>
                    </w:rPr>
                    <w:t>E88°8′44.66</w:t>
                  </w:r>
                  <w:r>
                    <w:rPr>
                      <w:rFonts w:hint="eastAsia"/>
                      <w:highlight w:val="none"/>
                      <w:lang w:val="en-US" w:eastAsia="zh-CN"/>
                    </w:rPr>
                    <w:t>8</w:t>
                  </w:r>
                  <w:r>
                    <w:rPr>
                      <w:rFonts w:hint="default"/>
                      <w:highlight w:val="none"/>
                      <w:lang w:val="en-US" w:eastAsia="zh-CN"/>
                    </w:rPr>
                    <w:t>″，N39°3′31.312″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8</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英阿瓦提1号条田1号渠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310.70</w:t>
                  </w:r>
                </w:p>
              </w:tc>
              <w:tc>
                <w:tcPr>
                  <w:tcW w:w="1282" w:type="pct"/>
                  <w:vAlign w:val="center"/>
                </w:tcPr>
                <w:p>
                  <w:pPr>
                    <w:pStyle w:val="6"/>
                    <w:bidi w:val="0"/>
                    <w:rPr>
                      <w:rFonts w:hint="default"/>
                      <w:highlight w:val="none"/>
                      <w:lang w:val="en-US" w:eastAsia="zh-CN"/>
                    </w:rPr>
                  </w:pPr>
                  <w:r>
                    <w:rPr>
                      <w:rFonts w:hint="default"/>
                      <w:highlight w:val="none"/>
                      <w:lang w:val="en-US" w:eastAsia="zh-CN"/>
                    </w:rPr>
                    <w:t>E88°9′7.12</w:t>
                  </w:r>
                  <w:r>
                    <w:rPr>
                      <w:rFonts w:hint="eastAsia"/>
                      <w:highlight w:val="none"/>
                      <w:lang w:val="en-US" w:eastAsia="zh-CN"/>
                    </w:rPr>
                    <w:t>8</w:t>
                  </w:r>
                  <w:r>
                    <w:rPr>
                      <w:rFonts w:hint="default"/>
                      <w:highlight w:val="none"/>
                      <w:lang w:val="en-US" w:eastAsia="zh-CN"/>
                    </w:rPr>
                    <w:t>″，N39°3′30.105″</w:t>
                  </w:r>
                </w:p>
              </w:tc>
              <w:tc>
                <w:tcPr>
                  <w:tcW w:w="1362" w:type="pct"/>
                  <w:vAlign w:val="center"/>
                </w:tcPr>
                <w:p>
                  <w:pPr>
                    <w:pStyle w:val="6"/>
                    <w:bidi w:val="0"/>
                    <w:rPr>
                      <w:rFonts w:hint="default"/>
                      <w:highlight w:val="none"/>
                      <w:lang w:val="en-US" w:eastAsia="zh-CN"/>
                    </w:rPr>
                  </w:pPr>
                  <w:r>
                    <w:rPr>
                      <w:rFonts w:hint="default"/>
                      <w:highlight w:val="none"/>
                      <w:lang w:val="en-US" w:eastAsia="zh-CN"/>
                    </w:rPr>
                    <w:t>E88°9′5.235″，N39°3′39.06</w:t>
                  </w:r>
                  <w:r>
                    <w:rPr>
                      <w:rFonts w:hint="eastAsia"/>
                      <w:highlight w:val="none"/>
                      <w:lang w:val="en-US" w:eastAsia="zh-CN"/>
                    </w:rPr>
                    <w:t>6</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9</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英阿瓦提1号条田2号渠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403.24</w:t>
                  </w:r>
                </w:p>
              </w:tc>
              <w:tc>
                <w:tcPr>
                  <w:tcW w:w="1282" w:type="pct"/>
                  <w:vAlign w:val="center"/>
                </w:tcPr>
                <w:p>
                  <w:pPr>
                    <w:pStyle w:val="6"/>
                    <w:bidi w:val="0"/>
                    <w:rPr>
                      <w:rFonts w:hint="default"/>
                      <w:highlight w:val="none"/>
                      <w:lang w:val="en-US" w:eastAsia="zh-CN"/>
                    </w:rPr>
                  </w:pPr>
                  <w:r>
                    <w:rPr>
                      <w:rFonts w:hint="default"/>
                      <w:highlight w:val="none"/>
                      <w:lang w:val="en-US" w:eastAsia="zh-CN"/>
                    </w:rPr>
                    <w:t>E88°9′4.327″，N39°3′18.7</w:t>
                  </w:r>
                  <w:r>
                    <w:rPr>
                      <w:rFonts w:hint="eastAsia"/>
                      <w:highlight w:val="none"/>
                      <w:lang w:val="en-US" w:eastAsia="zh-CN"/>
                    </w:rPr>
                    <w:t>50</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E88°9′0.27</w:t>
                  </w:r>
                  <w:r>
                    <w:rPr>
                      <w:rFonts w:hint="eastAsia"/>
                      <w:highlight w:val="none"/>
                      <w:lang w:val="en-US" w:eastAsia="zh-CN"/>
                    </w:rPr>
                    <w:t>2</w:t>
                  </w:r>
                  <w:r>
                    <w:rPr>
                      <w:rFonts w:hint="default"/>
                      <w:highlight w:val="none"/>
                      <w:lang w:val="en-US" w:eastAsia="zh-CN"/>
                    </w:rPr>
                    <w:t>″，N39°3′31.18</w:t>
                  </w:r>
                  <w:r>
                    <w:rPr>
                      <w:rFonts w:hint="eastAsia"/>
                      <w:highlight w:val="none"/>
                      <w:lang w:val="en-US" w:eastAsia="zh-CN"/>
                    </w:rPr>
                    <w:t>7</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10</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英阿瓦提2号条田渠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171.42</w:t>
                  </w:r>
                </w:p>
              </w:tc>
              <w:tc>
                <w:tcPr>
                  <w:tcW w:w="1282" w:type="pct"/>
                  <w:vAlign w:val="center"/>
                </w:tcPr>
                <w:p>
                  <w:pPr>
                    <w:pStyle w:val="6"/>
                    <w:bidi w:val="0"/>
                    <w:rPr>
                      <w:rFonts w:hint="default"/>
                      <w:highlight w:val="none"/>
                      <w:lang w:val="en-US" w:eastAsia="zh-CN"/>
                    </w:rPr>
                  </w:pPr>
                  <w:r>
                    <w:rPr>
                      <w:rFonts w:hint="default"/>
                      <w:highlight w:val="none"/>
                      <w:lang w:val="en-US" w:eastAsia="zh-CN"/>
                    </w:rPr>
                    <w:t>E88°8′52.653″，N39°3′44.18</w:t>
                  </w:r>
                  <w:r>
                    <w:rPr>
                      <w:rFonts w:hint="eastAsia"/>
                      <w:highlight w:val="none"/>
                      <w:lang w:val="en-US" w:eastAsia="zh-CN"/>
                    </w:rPr>
                    <w:t>4</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E88°8′52.402″，N39°3′48.963″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11</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英阿瓦提2号条田1号渠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44.15</w:t>
                  </w:r>
                </w:p>
              </w:tc>
              <w:tc>
                <w:tcPr>
                  <w:tcW w:w="1282" w:type="pct"/>
                  <w:vAlign w:val="center"/>
                </w:tcPr>
                <w:p>
                  <w:pPr>
                    <w:pStyle w:val="6"/>
                    <w:bidi w:val="0"/>
                    <w:rPr>
                      <w:rFonts w:hint="default"/>
                      <w:highlight w:val="none"/>
                      <w:lang w:val="en-US" w:eastAsia="zh-CN"/>
                    </w:rPr>
                  </w:pPr>
                  <w:r>
                    <w:rPr>
                      <w:rFonts w:hint="default"/>
                      <w:highlight w:val="none"/>
                      <w:lang w:val="en-US" w:eastAsia="zh-CN"/>
                    </w:rPr>
                    <w:t>E88°8′48.926″，N39°3′57.34</w:t>
                  </w:r>
                  <w:r>
                    <w:rPr>
                      <w:rFonts w:hint="eastAsia"/>
                      <w:highlight w:val="none"/>
                      <w:lang w:val="en-US" w:eastAsia="zh-CN"/>
                    </w:rPr>
                    <w:t>5</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E88°8′47.11</w:t>
                  </w:r>
                  <w:r>
                    <w:rPr>
                      <w:rFonts w:hint="eastAsia"/>
                      <w:highlight w:val="none"/>
                      <w:lang w:val="en-US" w:eastAsia="zh-CN"/>
                    </w:rPr>
                    <w:t>6</w:t>
                  </w:r>
                  <w:r>
                    <w:rPr>
                      <w:rFonts w:hint="default"/>
                      <w:highlight w:val="none"/>
                      <w:lang w:val="en-US" w:eastAsia="zh-CN"/>
                    </w:rPr>
                    <w:t>″，N39°3′57.161″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12</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lang w:val="en-US" w:eastAsia="zh-CN"/>
                    </w:rPr>
                    <w:t>英阿瓦提2号条田2号渠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79.62</w:t>
                  </w:r>
                </w:p>
              </w:tc>
              <w:tc>
                <w:tcPr>
                  <w:tcW w:w="1282" w:type="pct"/>
                  <w:vAlign w:val="center"/>
                </w:tcPr>
                <w:p>
                  <w:pPr>
                    <w:pStyle w:val="6"/>
                    <w:bidi w:val="0"/>
                    <w:rPr>
                      <w:rFonts w:hint="default"/>
                      <w:highlight w:val="none"/>
                      <w:lang w:val="en-US" w:eastAsia="zh-CN"/>
                    </w:rPr>
                  </w:pPr>
                  <w:r>
                    <w:rPr>
                      <w:rFonts w:hint="default"/>
                      <w:highlight w:val="none"/>
                      <w:lang w:val="en-US" w:eastAsia="zh-CN"/>
                    </w:rPr>
                    <w:t>E88°8′33.44</w:t>
                  </w:r>
                  <w:r>
                    <w:rPr>
                      <w:rFonts w:hint="eastAsia"/>
                      <w:highlight w:val="none"/>
                      <w:lang w:val="en-US" w:eastAsia="zh-CN"/>
                    </w:rPr>
                    <w:t>3</w:t>
                  </w:r>
                  <w:r>
                    <w:rPr>
                      <w:rFonts w:hint="default"/>
                      <w:highlight w:val="none"/>
                      <w:lang w:val="en-US" w:eastAsia="zh-CN"/>
                    </w:rPr>
                    <w:t>″，N39°3′43.768″</w:t>
                  </w:r>
                </w:p>
              </w:tc>
              <w:tc>
                <w:tcPr>
                  <w:tcW w:w="1362" w:type="pct"/>
                  <w:vAlign w:val="center"/>
                </w:tcPr>
                <w:p>
                  <w:pPr>
                    <w:pStyle w:val="6"/>
                    <w:bidi w:val="0"/>
                    <w:rPr>
                      <w:rFonts w:hint="default"/>
                      <w:highlight w:val="none"/>
                      <w:lang w:val="en-US" w:eastAsia="zh-CN"/>
                    </w:rPr>
                  </w:pPr>
                  <w:r>
                    <w:rPr>
                      <w:rFonts w:hint="default"/>
                      <w:highlight w:val="none"/>
                      <w:lang w:val="en-US" w:eastAsia="zh-CN"/>
                    </w:rPr>
                    <w:t>E88°8′30.488″，N39°3′42.595″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13</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lang w:val="en-US" w:eastAsia="zh-CN"/>
                    </w:rPr>
                    <w:t>夏普吐1号条田1号渠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102.75</w:t>
                  </w:r>
                </w:p>
              </w:tc>
              <w:tc>
                <w:tcPr>
                  <w:tcW w:w="1282" w:type="pct"/>
                  <w:vAlign w:val="center"/>
                </w:tcPr>
                <w:p>
                  <w:pPr>
                    <w:pStyle w:val="6"/>
                    <w:bidi w:val="0"/>
                    <w:rPr>
                      <w:rFonts w:hint="default"/>
                      <w:highlight w:val="none"/>
                      <w:lang w:val="en-US" w:eastAsia="zh-CN"/>
                    </w:rPr>
                  </w:pPr>
                  <w:r>
                    <w:rPr>
                      <w:rFonts w:hint="default"/>
                      <w:highlight w:val="none"/>
                      <w:lang w:val="en-US" w:eastAsia="zh-CN"/>
                    </w:rPr>
                    <w:t>E88°9′52.858″，N39°3′52.20</w:t>
                  </w:r>
                  <w:r>
                    <w:rPr>
                      <w:rFonts w:hint="eastAsia"/>
                      <w:highlight w:val="none"/>
                      <w:lang w:val="en-US" w:eastAsia="zh-CN"/>
                    </w:rPr>
                    <w:t>8</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E88°9′48.571″，N39°3′52.140″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14</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夏普吐1号条田2号渠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96.35</w:t>
                  </w:r>
                </w:p>
              </w:tc>
              <w:tc>
                <w:tcPr>
                  <w:tcW w:w="1282" w:type="pct"/>
                  <w:vAlign w:val="center"/>
                </w:tcPr>
                <w:p>
                  <w:pPr>
                    <w:pStyle w:val="6"/>
                    <w:bidi w:val="0"/>
                    <w:rPr>
                      <w:rFonts w:hint="default"/>
                      <w:highlight w:val="none"/>
                      <w:lang w:val="en-US" w:eastAsia="zh-CN"/>
                    </w:rPr>
                  </w:pPr>
                  <w:r>
                    <w:rPr>
                      <w:rFonts w:hint="default"/>
                      <w:highlight w:val="none"/>
                      <w:lang w:val="en-US" w:eastAsia="zh-CN"/>
                    </w:rPr>
                    <w:t>E88°9′51.091″，N39°3′58.8</w:t>
                  </w:r>
                  <w:r>
                    <w:rPr>
                      <w:rFonts w:hint="eastAsia"/>
                      <w:highlight w:val="none"/>
                      <w:lang w:val="en-US" w:eastAsia="zh-CN"/>
                    </w:rPr>
                    <w:t>80</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E88°9′47.055″，N39°3′58.74</w:t>
                  </w:r>
                  <w:r>
                    <w:rPr>
                      <w:rFonts w:hint="eastAsia"/>
                      <w:highlight w:val="none"/>
                      <w:lang w:val="en-US" w:eastAsia="zh-CN"/>
                    </w:rPr>
                    <w:t>5</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15</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夏普吐1号条田3号渠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98.63</w:t>
                  </w:r>
                </w:p>
              </w:tc>
              <w:tc>
                <w:tcPr>
                  <w:tcW w:w="1282" w:type="pct"/>
                  <w:vAlign w:val="center"/>
                </w:tcPr>
                <w:p>
                  <w:pPr>
                    <w:pStyle w:val="6"/>
                    <w:bidi w:val="0"/>
                    <w:rPr>
                      <w:rFonts w:hint="default"/>
                      <w:highlight w:val="none"/>
                      <w:lang w:val="en-US" w:eastAsia="zh-CN"/>
                    </w:rPr>
                  </w:pPr>
                  <w:r>
                    <w:rPr>
                      <w:rFonts w:hint="default"/>
                      <w:highlight w:val="none"/>
                      <w:lang w:val="en-US" w:eastAsia="zh-CN"/>
                    </w:rPr>
                    <w:t>E88°9′43.05</w:t>
                  </w:r>
                  <w:r>
                    <w:rPr>
                      <w:rFonts w:hint="eastAsia"/>
                      <w:highlight w:val="none"/>
                      <w:lang w:val="en-US" w:eastAsia="zh-CN"/>
                    </w:rPr>
                    <w:t>8</w:t>
                  </w:r>
                  <w:r>
                    <w:rPr>
                      <w:rFonts w:hint="default"/>
                      <w:highlight w:val="none"/>
                      <w:lang w:val="en-US" w:eastAsia="zh-CN"/>
                    </w:rPr>
                    <w:t>″，N39°3′50.82</w:t>
                  </w:r>
                  <w:r>
                    <w:rPr>
                      <w:rFonts w:hint="eastAsia"/>
                      <w:highlight w:val="none"/>
                      <w:lang w:val="en-US" w:eastAsia="zh-CN"/>
                    </w:rPr>
                    <w:t>7</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E88°9′47.2</w:t>
                  </w:r>
                  <w:r>
                    <w:rPr>
                      <w:rFonts w:hint="eastAsia"/>
                      <w:highlight w:val="none"/>
                      <w:lang w:val="en-US" w:eastAsia="zh-CN"/>
                    </w:rPr>
                    <w:t>10</w:t>
                  </w:r>
                  <w:r>
                    <w:rPr>
                      <w:rFonts w:hint="default"/>
                      <w:highlight w:val="none"/>
                      <w:lang w:val="en-US" w:eastAsia="zh-CN"/>
                    </w:rPr>
                    <w:t>″，N39°3′51.155″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16</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夏普吐1号条田4号渠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72.14</w:t>
                  </w:r>
                </w:p>
              </w:tc>
              <w:tc>
                <w:tcPr>
                  <w:tcW w:w="1282" w:type="pct"/>
                  <w:vAlign w:val="center"/>
                </w:tcPr>
                <w:p>
                  <w:pPr>
                    <w:pStyle w:val="6"/>
                    <w:bidi w:val="0"/>
                    <w:ind w:firstLine="0" w:firstLineChars="0"/>
                    <w:rPr>
                      <w:rFonts w:hint="default"/>
                      <w:highlight w:val="none"/>
                      <w:lang w:val="en-US" w:eastAsia="zh-CN"/>
                    </w:rPr>
                  </w:pPr>
                  <w:r>
                    <w:rPr>
                      <w:rFonts w:hint="default"/>
                      <w:highlight w:val="none"/>
                      <w:lang w:val="en-US" w:eastAsia="zh-CN"/>
                    </w:rPr>
                    <w:t>E88°9′24.769″，N39°3′47.12</w:t>
                  </w:r>
                  <w:r>
                    <w:rPr>
                      <w:rFonts w:hint="eastAsia"/>
                      <w:highlight w:val="none"/>
                      <w:lang w:val="en-US" w:eastAsia="zh-CN"/>
                    </w:rPr>
                    <w:t>4</w:t>
                  </w:r>
                  <w:r>
                    <w:rPr>
                      <w:rFonts w:hint="default"/>
                      <w:highlight w:val="none"/>
                      <w:lang w:val="en-US" w:eastAsia="zh-CN"/>
                    </w:rPr>
                    <w:t>″</w:t>
                  </w:r>
                </w:p>
              </w:tc>
              <w:tc>
                <w:tcPr>
                  <w:tcW w:w="1362" w:type="pct"/>
                  <w:vAlign w:val="center"/>
                </w:tcPr>
                <w:p>
                  <w:pPr>
                    <w:pStyle w:val="6"/>
                    <w:bidi w:val="0"/>
                    <w:ind w:firstLine="0" w:firstLineChars="0"/>
                    <w:rPr>
                      <w:rFonts w:hint="default"/>
                      <w:highlight w:val="none"/>
                      <w:lang w:val="en-US" w:eastAsia="zh-CN"/>
                    </w:rPr>
                  </w:pPr>
                  <w:r>
                    <w:rPr>
                      <w:rFonts w:hint="default"/>
                      <w:highlight w:val="none"/>
                      <w:lang w:val="en-US" w:eastAsia="zh-CN"/>
                    </w:rPr>
                    <w:t>E88°9′27.762″，N39°3′47.162″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17</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夏普吐3号条田1号渠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159.89</w:t>
                  </w:r>
                </w:p>
              </w:tc>
              <w:tc>
                <w:tcPr>
                  <w:tcW w:w="1282" w:type="pct"/>
                  <w:vAlign w:val="center"/>
                </w:tcPr>
                <w:p>
                  <w:pPr>
                    <w:pStyle w:val="6"/>
                    <w:bidi w:val="0"/>
                    <w:rPr>
                      <w:rFonts w:hint="default"/>
                      <w:highlight w:val="none"/>
                      <w:lang w:val="en-US" w:eastAsia="zh-CN"/>
                    </w:rPr>
                  </w:pPr>
                  <w:r>
                    <w:rPr>
                      <w:rFonts w:hint="default"/>
                      <w:highlight w:val="none"/>
                      <w:lang w:val="en-US" w:eastAsia="zh-CN"/>
                    </w:rPr>
                    <w:t>E88°9′8.0</w:t>
                  </w:r>
                  <w:r>
                    <w:rPr>
                      <w:rFonts w:hint="eastAsia"/>
                      <w:highlight w:val="none"/>
                      <w:lang w:val="en-US" w:eastAsia="zh-CN"/>
                    </w:rPr>
                    <w:t>6</w:t>
                  </w:r>
                  <w:r>
                    <w:rPr>
                      <w:rFonts w:hint="default"/>
                      <w:highlight w:val="none"/>
                      <w:lang w:val="en-US" w:eastAsia="zh-CN"/>
                    </w:rPr>
                    <w:t>0″，N39°4′3.11</w:t>
                  </w:r>
                  <w:r>
                    <w:rPr>
                      <w:rFonts w:hint="eastAsia"/>
                      <w:highlight w:val="none"/>
                      <w:lang w:val="en-US" w:eastAsia="zh-CN"/>
                    </w:rPr>
                    <w:t>9</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E88°9′13.003″，N39°4′6.576″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18</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夏普吐3号条田3号渠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highlight w:val="none"/>
                      <w:lang w:val="en-US" w:eastAsia="zh-CN"/>
                    </w:rPr>
                    <w:t>40.47</w:t>
                  </w:r>
                </w:p>
              </w:tc>
              <w:tc>
                <w:tcPr>
                  <w:tcW w:w="1282" w:type="pct"/>
                  <w:vAlign w:val="center"/>
                </w:tcPr>
                <w:p>
                  <w:pPr>
                    <w:pStyle w:val="6"/>
                    <w:bidi w:val="0"/>
                    <w:rPr>
                      <w:rFonts w:hint="default"/>
                      <w:highlight w:val="none"/>
                      <w:lang w:val="en-US" w:eastAsia="zh-CN"/>
                    </w:rPr>
                  </w:pPr>
                  <w:r>
                    <w:rPr>
                      <w:rFonts w:hint="default"/>
                      <w:highlight w:val="none"/>
                      <w:lang w:val="en-US" w:eastAsia="zh-CN"/>
                    </w:rPr>
                    <w:t>E88°9′11.51</w:t>
                  </w:r>
                  <w:r>
                    <w:rPr>
                      <w:rFonts w:hint="eastAsia"/>
                      <w:highlight w:val="none"/>
                      <w:lang w:val="en-US" w:eastAsia="zh-CN"/>
                    </w:rPr>
                    <w:t>2</w:t>
                  </w:r>
                  <w:r>
                    <w:rPr>
                      <w:rFonts w:hint="default"/>
                      <w:highlight w:val="none"/>
                      <w:lang w:val="en-US" w:eastAsia="zh-CN"/>
                    </w:rPr>
                    <w:t>″，N39°3′59.32</w:t>
                  </w:r>
                  <w:r>
                    <w:rPr>
                      <w:rFonts w:hint="eastAsia"/>
                      <w:highlight w:val="none"/>
                      <w:lang w:val="en-US" w:eastAsia="zh-CN"/>
                    </w:rPr>
                    <w:t>9</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E88°9′11.70</w:t>
                  </w:r>
                  <w:r>
                    <w:rPr>
                      <w:rFonts w:hint="eastAsia"/>
                      <w:highlight w:val="none"/>
                      <w:lang w:val="en-US" w:eastAsia="zh-CN"/>
                    </w:rPr>
                    <w:t>5</w:t>
                  </w:r>
                  <w:r>
                    <w:rPr>
                      <w:rFonts w:hint="default"/>
                      <w:highlight w:val="none"/>
                      <w:lang w:val="en-US" w:eastAsia="zh-CN"/>
                    </w:rPr>
                    <w:t>″，N39°4′0.62</w:t>
                  </w:r>
                  <w:r>
                    <w:rPr>
                      <w:rFonts w:hint="eastAsia"/>
                      <w:highlight w:val="none"/>
                      <w:lang w:val="en-US" w:eastAsia="zh-CN"/>
                    </w:rPr>
                    <w:t>8</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19</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lang w:val="en-US" w:eastAsia="zh-CN"/>
                    </w:rPr>
                    <w:t>王玉唐1号渠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38.78</w:t>
                  </w:r>
                </w:p>
              </w:tc>
              <w:tc>
                <w:tcPr>
                  <w:tcW w:w="1282"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E88°9′27.603″，N39°3′43.266″</w:t>
                  </w:r>
                </w:p>
              </w:tc>
              <w:tc>
                <w:tcPr>
                  <w:tcW w:w="1362"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E88°9′27.680″，N39°3′41.99</w:t>
                  </w:r>
                  <w:r>
                    <w:rPr>
                      <w:rFonts w:hint="eastAsia"/>
                      <w:highlight w:val="none"/>
                      <w:lang w:val="en-US" w:eastAsia="zh-CN"/>
                    </w:rPr>
                    <w:t>2</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bidi w:val="0"/>
                    <w:rPr>
                      <w:rFonts w:hint="default"/>
                      <w:lang w:val="en-US" w:eastAsia="zh-CN"/>
                    </w:rPr>
                  </w:pPr>
                  <w:r>
                    <w:rPr>
                      <w:rFonts w:hint="eastAsia"/>
                      <w:lang w:val="en-US" w:eastAsia="zh-CN"/>
                    </w:rPr>
                    <w:t>20</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lang w:val="en-US" w:eastAsia="zh-CN"/>
                    </w:rPr>
                    <w:t>王玉唐2号渠</w:t>
                  </w:r>
                </w:p>
              </w:tc>
              <w:tc>
                <w:tcPr>
                  <w:tcW w:w="866"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81.49</w:t>
                  </w:r>
                </w:p>
              </w:tc>
              <w:tc>
                <w:tcPr>
                  <w:tcW w:w="1282"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E88°9′26.348″，N39°3′41.90</w:t>
                  </w:r>
                  <w:r>
                    <w:rPr>
                      <w:rFonts w:hint="eastAsia"/>
                      <w:highlight w:val="none"/>
                      <w:lang w:val="en-US" w:eastAsia="zh-CN"/>
                    </w:rPr>
                    <w:t>5</w:t>
                  </w:r>
                  <w:r>
                    <w:rPr>
                      <w:rFonts w:hint="default"/>
                      <w:highlight w:val="none"/>
                      <w:lang w:val="en-US" w:eastAsia="zh-CN"/>
                    </w:rPr>
                    <w:t>″</w:t>
                  </w:r>
                </w:p>
              </w:tc>
              <w:tc>
                <w:tcPr>
                  <w:tcW w:w="1362"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E88°9′26.31</w:t>
                  </w:r>
                  <w:r>
                    <w:rPr>
                      <w:rFonts w:hint="eastAsia"/>
                      <w:highlight w:val="none"/>
                      <w:lang w:val="en-US" w:eastAsia="zh-CN"/>
                    </w:rPr>
                    <w:t>9</w:t>
                  </w:r>
                  <w:r>
                    <w:rPr>
                      <w:rFonts w:hint="default"/>
                      <w:highlight w:val="none"/>
                      <w:lang w:val="en-US" w:eastAsia="zh-CN"/>
                    </w:rPr>
                    <w:t>″，N39°3′39.28</w:t>
                  </w:r>
                  <w:r>
                    <w:rPr>
                      <w:rFonts w:hint="eastAsia"/>
                      <w:highlight w:val="none"/>
                      <w:lang w:val="en-US" w:eastAsia="zh-CN"/>
                    </w:rPr>
                    <w:t>8</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eastAsia" w:ascii="Times New Roman" w:hAnsi="Times New Roman" w:eastAsia="宋体" w:cs="Times New Roman"/>
                      <w:kern w:val="2"/>
                      <w:sz w:val="21"/>
                      <w:szCs w:val="21"/>
                      <w:lang w:val="en-US" w:eastAsia="zh-CN" w:bidi="ar-SA"/>
                    </w:rPr>
                  </w:pPr>
                  <w:r>
                    <w:rPr>
                      <w:rFonts w:hint="eastAsia"/>
                      <w:lang w:val="en-US" w:eastAsia="zh-CN"/>
                    </w:rPr>
                    <w:t>21</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lang w:val="en-US" w:eastAsia="zh-CN"/>
                    </w:rPr>
                    <w:t>鲁学书1号渠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default"/>
                      <w:highlight w:val="none"/>
                      <w:lang w:val="en-US" w:eastAsia="zh-CN"/>
                    </w:rPr>
                    <w:t>79.88</w:t>
                  </w:r>
                </w:p>
              </w:tc>
              <w:tc>
                <w:tcPr>
                  <w:tcW w:w="1282"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E88°9′30.664″，N39°3′34.489″</w:t>
                  </w:r>
                </w:p>
              </w:tc>
              <w:tc>
                <w:tcPr>
                  <w:tcW w:w="1362" w:type="pct"/>
                  <w:vAlign w:val="center"/>
                </w:tcPr>
                <w:p>
                  <w:pPr>
                    <w:pStyle w:val="6"/>
                    <w:bidi w:val="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E88°9′33.097″，N39°3′36.7</w:t>
                  </w:r>
                  <w:r>
                    <w:rPr>
                      <w:rFonts w:hint="eastAsia" w:cs="Times New Roman"/>
                      <w:kern w:val="2"/>
                      <w:sz w:val="21"/>
                      <w:szCs w:val="21"/>
                      <w:highlight w:val="none"/>
                      <w:lang w:val="en-US" w:eastAsia="zh-CN" w:bidi="ar-SA"/>
                    </w:rPr>
                    <w:t>1</w:t>
                  </w:r>
                  <w:r>
                    <w:rPr>
                      <w:rFonts w:hint="default" w:ascii="Times New Roman" w:hAnsi="Times New Roman" w:eastAsia="宋体" w:cs="Times New Roman"/>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22</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鲁学书2号渠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48.07</w:t>
                  </w:r>
                </w:p>
              </w:tc>
              <w:tc>
                <w:tcPr>
                  <w:tcW w:w="1282" w:type="pct"/>
                  <w:vAlign w:val="center"/>
                </w:tcPr>
                <w:p>
                  <w:pPr>
                    <w:pStyle w:val="6"/>
                    <w:bidi w:val="0"/>
                    <w:rPr>
                      <w:rFonts w:hint="default"/>
                      <w:highlight w:val="none"/>
                      <w:lang w:val="en-US" w:eastAsia="zh-CN"/>
                    </w:rPr>
                  </w:pPr>
                  <w:r>
                    <w:rPr>
                      <w:rFonts w:hint="default"/>
                      <w:highlight w:val="none"/>
                      <w:lang w:val="en-US" w:eastAsia="zh-CN"/>
                    </w:rPr>
                    <w:t>E88°9′30.654″，N39°3′34.479″</w:t>
                  </w:r>
                </w:p>
              </w:tc>
              <w:tc>
                <w:tcPr>
                  <w:tcW w:w="1362" w:type="pct"/>
                  <w:vAlign w:val="center"/>
                </w:tcPr>
                <w:p>
                  <w:pPr>
                    <w:pStyle w:val="6"/>
                    <w:bidi w:val="0"/>
                    <w:rPr>
                      <w:rFonts w:hint="default"/>
                      <w:highlight w:val="none"/>
                      <w:lang w:val="en-US" w:eastAsia="zh-CN"/>
                    </w:rPr>
                  </w:pPr>
                  <w:r>
                    <w:rPr>
                      <w:rFonts w:hint="default"/>
                      <w:highlight w:val="none"/>
                      <w:lang w:val="en-US" w:eastAsia="zh-CN"/>
                    </w:rPr>
                    <w:t>E88°9′30.64</w:t>
                  </w:r>
                  <w:r>
                    <w:rPr>
                      <w:rFonts w:hint="eastAsia"/>
                      <w:highlight w:val="none"/>
                      <w:lang w:val="en-US" w:eastAsia="zh-CN"/>
                    </w:rPr>
                    <w:t>5</w:t>
                  </w:r>
                  <w:r>
                    <w:rPr>
                      <w:rFonts w:hint="default"/>
                      <w:highlight w:val="none"/>
                      <w:lang w:val="en-US" w:eastAsia="zh-CN"/>
                    </w:rPr>
                    <w:t>″，N39°3′36.15</w:t>
                  </w:r>
                  <w:r>
                    <w:rPr>
                      <w:rFonts w:hint="eastAsia"/>
                      <w:highlight w:val="none"/>
                      <w:lang w:val="en-US" w:eastAsia="zh-CN"/>
                    </w:rPr>
                    <w:t>0</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23</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气象路土渠1号渠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296.59</w:t>
                  </w:r>
                </w:p>
              </w:tc>
              <w:tc>
                <w:tcPr>
                  <w:tcW w:w="1282" w:type="pct"/>
                  <w:vAlign w:val="center"/>
                </w:tcPr>
                <w:p>
                  <w:pPr>
                    <w:pStyle w:val="6"/>
                    <w:bidi w:val="0"/>
                    <w:rPr>
                      <w:rFonts w:hint="default"/>
                      <w:highlight w:val="none"/>
                      <w:lang w:val="en-US" w:eastAsia="zh-CN"/>
                    </w:rPr>
                  </w:pPr>
                  <w:r>
                    <w:rPr>
                      <w:rFonts w:hint="default"/>
                      <w:highlight w:val="none"/>
                      <w:lang w:val="en-US" w:eastAsia="zh-CN"/>
                    </w:rPr>
                    <w:t>E88°11′9.06</w:t>
                  </w:r>
                  <w:r>
                    <w:rPr>
                      <w:rFonts w:hint="eastAsia"/>
                      <w:highlight w:val="none"/>
                      <w:lang w:val="en-US" w:eastAsia="zh-CN"/>
                    </w:rPr>
                    <w:t>4</w:t>
                  </w:r>
                  <w:r>
                    <w:rPr>
                      <w:rFonts w:hint="default"/>
                      <w:highlight w:val="none"/>
                      <w:lang w:val="en-US" w:eastAsia="zh-CN"/>
                    </w:rPr>
                    <w:t>″，N39°1′30.05</w:t>
                  </w:r>
                  <w:r>
                    <w:rPr>
                      <w:rFonts w:hint="eastAsia"/>
                      <w:highlight w:val="none"/>
                      <w:lang w:val="en-US" w:eastAsia="zh-CN"/>
                    </w:rPr>
                    <w:t>0</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E88°11′8.678″，N39°1′38.70</w:t>
                  </w:r>
                  <w:r>
                    <w:rPr>
                      <w:rFonts w:hint="eastAsia"/>
                      <w:highlight w:val="none"/>
                      <w:lang w:val="en-US" w:eastAsia="zh-CN"/>
                    </w:rPr>
                    <w:t>2</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24</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气象路土渠2号渠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293.84</w:t>
                  </w:r>
                </w:p>
              </w:tc>
              <w:tc>
                <w:tcPr>
                  <w:tcW w:w="1282" w:type="pct"/>
                  <w:vAlign w:val="center"/>
                </w:tcPr>
                <w:p>
                  <w:pPr>
                    <w:pStyle w:val="6"/>
                    <w:bidi w:val="0"/>
                    <w:rPr>
                      <w:rFonts w:hint="default"/>
                      <w:highlight w:val="none"/>
                      <w:lang w:val="en-US" w:eastAsia="zh-CN"/>
                    </w:rPr>
                  </w:pPr>
                  <w:r>
                    <w:rPr>
                      <w:rFonts w:hint="default"/>
                      <w:highlight w:val="none"/>
                      <w:lang w:val="en-US" w:eastAsia="zh-CN"/>
                    </w:rPr>
                    <w:t>E88°11′6.186″，N39°1′30.03</w:t>
                  </w:r>
                  <w:r>
                    <w:rPr>
                      <w:rFonts w:hint="eastAsia"/>
                      <w:highlight w:val="none"/>
                      <w:lang w:val="en-US" w:eastAsia="zh-CN"/>
                    </w:rPr>
                    <w:t>1</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E88°11′5.78</w:t>
                  </w:r>
                  <w:r>
                    <w:rPr>
                      <w:rFonts w:hint="eastAsia"/>
                      <w:highlight w:val="none"/>
                      <w:lang w:val="en-US" w:eastAsia="zh-CN"/>
                    </w:rPr>
                    <w:t>1</w:t>
                  </w:r>
                  <w:r>
                    <w:rPr>
                      <w:rFonts w:hint="default"/>
                      <w:highlight w:val="none"/>
                      <w:lang w:val="en-US" w:eastAsia="zh-CN"/>
                    </w:rPr>
                    <w:t>″，N39°1′38.644″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25</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娜孜艾日克1号渠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65.86</w:t>
                  </w:r>
                </w:p>
              </w:tc>
              <w:tc>
                <w:tcPr>
                  <w:tcW w:w="1282" w:type="pct"/>
                  <w:vAlign w:val="center"/>
                </w:tcPr>
                <w:p>
                  <w:pPr>
                    <w:pStyle w:val="6"/>
                    <w:bidi w:val="0"/>
                    <w:rPr>
                      <w:rFonts w:hint="default"/>
                      <w:highlight w:val="none"/>
                      <w:lang w:val="en-US" w:eastAsia="zh-CN"/>
                    </w:rPr>
                  </w:pPr>
                  <w:r>
                    <w:rPr>
                      <w:rFonts w:hint="default"/>
                      <w:highlight w:val="none"/>
                      <w:lang w:val="en-US" w:eastAsia="zh-CN"/>
                    </w:rPr>
                    <w:t>E88°11′27.144″，N39°1′38.436″</w:t>
                  </w:r>
                </w:p>
              </w:tc>
              <w:tc>
                <w:tcPr>
                  <w:tcW w:w="1362" w:type="pct"/>
                  <w:vAlign w:val="center"/>
                </w:tcPr>
                <w:p>
                  <w:pPr>
                    <w:pStyle w:val="6"/>
                    <w:bidi w:val="0"/>
                    <w:rPr>
                      <w:rFonts w:hint="default"/>
                      <w:highlight w:val="none"/>
                      <w:lang w:val="en-US" w:eastAsia="zh-CN"/>
                    </w:rPr>
                  </w:pPr>
                  <w:r>
                    <w:rPr>
                      <w:rFonts w:hint="default"/>
                      <w:highlight w:val="none"/>
                      <w:lang w:val="en-US" w:eastAsia="zh-CN"/>
                    </w:rPr>
                    <w:t>E88°11′27.154″，N39°1′36.215″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26</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lang w:val="en-US" w:eastAsia="zh-CN"/>
                    </w:rPr>
                    <w:t>娜孜艾日克1-1号渠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113.82</w:t>
                  </w:r>
                </w:p>
              </w:tc>
              <w:tc>
                <w:tcPr>
                  <w:tcW w:w="1282" w:type="pct"/>
                  <w:vAlign w:val="center"/>
                </w:tcPr>
                <w:p>
                  <w:pPr>
                    <w:pStyle w:val="6"/>
                    <w:bidi w:val="0"/>
                    <w:rPr>
                      <w:rFonts w:hint="default"/>
                      <w:highlight w:val="none"/>
                      <w:lang w:val="en-US" w:eastAsia="zh-CN"/>
                    </w:rPr>
                  </w:pPr>
                  <w:r>
                    <w:rPr>
                      <w:rFonts w:hint="default"/>
                      <w:highlight w:val="none"/>
                      <w:lang w:val="en-US" w:eastAsia="zh-CN"/>
                    </w:rPr>
                    <w:t>E88°11′27.144″，N39°1′38.436″</w:t>
                  </w:r>
                </w:p>
              </w:tc>
              <w:tc>
                <w:tcPr>
                  <w:tcW w:w="1362" w:type="pct"/>
                  <w:vAlign w:val="center"/>
                </w:tcPr>
                <w:p>
                  <w:pPr>
                    <w:pStyle w:val="6"/>
                    <w:bidi w:val="0"/>
                    <w:rPr>
                      <w:rFonts w:hint="default"/>
                      <w:highlight w:val="none"/>
                      <w:lang w:val="en-US" w:eastAsia="zh-CN"/>
                    </w:rPr>
                  </w:pPr>
                  <w:r>
                    <w:rPr>
                      <w:rFonts w:hint="default"/>
                      <w:highlight w:val="none"/>
                      <w:lang w:val="en-US" w:eastAsia="zh-CN"/>
                    </w:rPr>
                    <w:t>E88°11′27.24</w:t>
                  </w:r>
                  <w:r>
                    <w:rPr>
                      <w:rFonts w:hint="eastAsia"/>
                      <w:highlight w:val="none"/>
                      <w:lang w:val="en-US" w:eastAsia="zh-CN"/>
                    </w:rPr>
                    <w:t>1</w:t>
                  </w:r>
                  <w:r>
                    <w:rPr>
                      <w:rFonts w:hint="default"/>
                      <w:highlight w:val="none"/>
                      <w:lang w:val="en-US" w:eastAsia="zh-CN"/>
                    </w:rPr>
                    <w:t>″，N39°1′42.086″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27</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yellow"/>
                      <w:lang w:val="en-US" w:eastAsia="zh-CN"/>
                    </w:rPr>
                  </w:pPr>
                  <w:r>
                    <w:rPr>
                      <w:lang w:val="en-US" w:eastAsia="zh-CN"/>
                    </w:rPr>
                    <w:t>娜孜艾日克2号渠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137.21</w:t>
                  </w:r>
                </w:p>
              </w:tc>
              <w:tc>
                <w:tcPr>
                  <w:tcW w:w="1282" w:type="pct"/>
                  <w:vAlign w:val="center"/>
                </w:tcPr>
                <w:p>
                  <w:pPr>
                    <w:pStyle w:val="6"/>
                    <w:bidi w:val="0"/>
                    <w:rPr>
                      <w:rFonts w:hint="default"/>
                      <w:highlight w:val="none"/>
                      <w:lang w:val="en-US" w:eastAsia="zh-CN"/>
                    </w:rPr>
                  </w:pPr>
                  <w:r>
                    <w:rPr>
                      <w:rFonts w:hint="default"/>
                      <w:highlight w:val="none"/>
                      <w:lang w:val="en-US" w:eastAsia="zh-CN"/>
                    </w:rPr>
                    <w:t>E88°11′27.14</w:t>
                  </w:r>
                  <w:r>
                    <w:rPr>
                      <w:rFonts w:hint="eastAsia"/>
                      <w:highlight w:val="none"/>
                      <w:lang w:val="en-US" w:eastAsia="zh-CN"/>
                    </w:rPr>
                    <w:t>4</w:t>
                  </w:r>
                  <w:r>
                    <w:rPr>
                      <w:rFonts w:hint="default"/>
                      <w:highlight w:val="none"/>
                      <w:lang w:val="en-US" w:eastAsia="zh-CN"/>
                    </w:rPr>
                    <w:t>″，N39°1′38.436″</w:t>
                  </w:r>
                </w:p>
              </w:tc>
              <w:tc>
                <w:tcPr>
                  <w:tcW w:w="1362" w:type="pct"/>
                  <w:vAlign w:val="center"/>
                </w:tcPr>
                <w:p>
                  <w:pPr>
                    <w:pStyle w:val="6"/>
                    <w:bidi w:val="0"/>
                    <w:rPr>
                      <w:rFonts w:hint="default"/>
                      <w:highlight w:val="none"/>
                      <w:lang w:val="en-US" w:eastAsia="zh-CN"/>
                    </w:rPr>
                  </w:pPr>
                  <w:r>
                    <w:rPr>
                      <w:rFonts w:hint="default"/>
                      <w:highlight w:val="none"/>
                      <w:lang w:val="en-US" w:eastAsia="zh-CN"/>
                    </w:rPr>
                    <w:t>E88°11′32.841″，N39°1′38.44</w:t>
                  </w:r>
                  <w:r>
                    <w:rPr>
                      <w:rFonts w:hint="eastAsia"/>
                      <w:highlight w:val="none"/>
                      <w:lang w:val="en-US" w:eastAsia="zh-CN"/>
                    </w:rPr>
                    <w:t>6</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28</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yellow"/>
                      <w:lang w:val="en-US" w:eastAsia="zh-CN"/>
                    </w:rPr>
                  </w:pPr>
                  <w:r>
                    <w:rPr>
                      <w:lang w:val="en-US" w:eastAsia="zh-CN"/>
                    </w:rPr>
                    <w:t>亚喀吾斯塘斗渠</w:t>
                  </w:r>
                </w:p>
              </w:tc>
              <w:tc>
                <w:tcPr>
                  <w:tcW w:w="866"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none"/>
                      <w:lang w:val="en-US" w:eastAsia="zh-CN"/>
                    </w:rPr>
                  </w:pPr>
                  <w:r>
                    <w:rPr>
                      <w:rFonts w:hint="default"/>
                      <w:highlight w:val="none"/>
                      <w:lang w:val="en-US" w:eastAsia="zh-CN"/>
                    </w:rPr>
                    <w:t>128.78</w:t>
                  </w:r>
                </w:p>
              </w:tc>
              <w:tc>
                <w:tcPr>
                  <w:tcW w:w="1282" w:type="pct"/>
                  <w:shd w:val="clear" w:color="auto" w:fill="auto"/>
                  <w:vAlign w:val="center"/>
                </w:tcPr>
                <w:p>
                  <w:pPr>
                    <w:pStyle w:val="6"/>
                    <w:bidi w:val="0"/>
                    <w:rPr>
                      <w:rFonts w:hint="default"/>
                      <w:highlight w:val="none"/>
                      <w:lang w:val="en-US" w:eastAsia="zh-CN"/>
                    </w:rPr>
                  </w:pPr>
                  <w:r>
                    <w:rPr>
                      <w:rFonts w:hint="default"/>
                      <w:highlight w:val="none"/>
                      <w:lang w:val="en-US" w:eastAsia="zh-CN"/>
                    </w:rPr>
                    <w:t>E88°11′24.88</w:t>
                  </w:r>
                  <w:r>
                    <w:rPr>
                      <w:rFonts w:hint="eastAsia"/>
                      <w:highlight w:val="none"/>
                      <w:lang w:val="en-US" w:eastAsia="zh-CN"/>
                    </w:rPr>
                    <w:t>5</w:t>
                  </w:r>
                  <w:r>
                    <w:rPr>
                      <w:rFonts w:hint="default"/>
                      <w:highlight w:val="none"/>
                      <w:lang w:val="en-US" w:eastAsia="zh-CN"/>
                    </w:rPr>
                    <w:t>″，N39°1′47.981″</w:t>
                  </w:r>
                </w:p>
              </w:tc>
              <w:tc>
                <w:tcPr>
                  <w:tcW w:w="1362" w:type="pct"/>
                  <w:shd w:val="clear" w:color="auto" w:fill="auto"/>
                  <w:vAlign w:val="center"/>
                </w:tcPr>
                <w:p>
                  <w:pPr>
                    <w:pStyle w:val="6"/>
                    <w:bidi w:val="0"/>
                    <w:rPr>
                      <w:rFonts w:hint="default"/>
                      <w:highlight w:val="none"/>
                      <w:lang w:val="en-US" w:eastAsia="zh-CN"/>
                    </w:rPr>
                  </w:pPr>
                  <w:r>
                    <w:rPr>
                      <w:rFonts w:hint="default"/>
                      <w:highlight w:val="none"/>
                      <w:lang w:val="en-US" w:eastAsia="zh-CN"/>
                    </w:rPr>
                    <w:t>E88°11′24.1</w:t>
                  </w:r>
                  <w:r>
                    <w:rPr>
                      <w:rFonts w:hint="eastAsia"/>
                      <w:highlight w:val="none"/>
                      <w:lang w:val="en-US" w:eastAsia="zh-CN"/>
                    </w:rPr>
                    <w:t>90</w:t>
                  </w:r>
                  <w:r>
                    <w:rPr>
                      <w:rFonts w:hint="default"/>
                      <w:highlight w:val="none"/>
                      <w:lang w:val="en-US" w:eastAsia="zh-CN"/>
                    </w:rPr>
                    <w:t>″，N39°1′51.766″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29</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yellow"/>
                      <w:lang w:val="en-US" w:eastAsia="zh-CN"/>
                    </w:rPr>
                  </w:pPr>
                  <w:r>
                    <w:rPr>
                      <w:lang w:val="en-US" w:eastAsia="zh-CN"/>
                    </w:rPr>
                    <w:t>亚喀吾斯塘1号渠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none"/>
                      <w:lang w:val="en-US" w:eastAsia="zh-CN"/>
                    </w:rPr>
                  </w:pPr>
                  <w:r>
                    <w:rPr>
                      <w:rFonts w:hint="default"/>
                      <w:highlight w:val="none"/>
                      <w:lang w:val="en-US" w:eastAsia="zh-CN"/>
                    </w:rPr>
                    <w:t>122.09</w:t>
                  </w:r>
                </w:p>
              </w:tc>
              <w:tc>
                <w:tcPr>
                  <w:tcW w:w="1282" w:type="pct"/>
                  <w:vAlign w:val="center"/>
                </w:tcPr>
                <w:p>
                  <w:pPr>
                    <w:pStyle w:val="6"/>
                    <w:bidi w:val="0"/>
                    <w:rPr>
                      <w:rFonts w:hint="default"/>
                      <w:highlight w:val="none"/>
                      <w:lang w:val="en-US" w:eastAsia="zh-CN"/>
                    </w:rPr>
                  </w:pPr>
                  <w:r>
                    <w:rPr>
                      <w:rFonts w:hint="default"/>
                      <w:highlight w:val="none"/>
                      <w:lang w:val="en-US" w:eastAsia="zh-CN"/>
                    </w:rPr>
                    <w:t>E88°12′38.97</w:t>
                  </w:r>
                  <w:r>
                    <w:rPr>
                      <w:rFonts w:hint="eastAsia"/>
                      <w:highlight w:val="none"/>
                      <w:lang w:val="en-US" w:eastAsia="zh-CN"/>
                    </w:rPr>
                    <w:t>6</w:t>
                  </w:r>
                  <w:r>
                    <w:rPr>
                      <w:rFonts w:hint="default"/>
                      <w:highlight w:val="none"/>
                      <w:lang w:val="en-US" w:eastAsia="zh-CN"/>
                    </w:rPr>
                    <w:t>″，N39°1′52.76</w:t>
                  </w:r>
                  <w:r>
                    <w:rPr>
                      <w:rFonts w:hint="eastAsia"/>
                      <w:highlight w:val="none"/>
                      <w:lang w:val="en-US" w:eastAsia="zh-CN"/>
                    </w:rPr>
                    <w:t>9</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E88°12′38.97</w:t>
                  </w:r>
                  <w:r>
                    <w:rPr>
                      <w:rFonts w:hint="eastAsia"/>
                      <w:highlight w:val="none"/>
                      <w:lang w:val="en-US" w:eastAsia="zh-CN"/>
                    </w:rPr>
                    <w:t>6</w:t>
                  </w:r>
                  <w:r>
                    <w:rPr>
                      <w:rFonts w:hint="default"/>
                      <w:highlight w:val="none"/>
                      <w:lang w:val="en-US" w:eastAsia="zh-CN"/>
                    </w:rPr>
                    <w:t>″，N39°1′56.747″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30</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yellow"/>
                      <w:lang w:val="en-US" w:eastAsia="zh-CN"/>
                    </w:rPr>
                  </w:pPr>
                  <w:r>
                    <w:rPr>
                      <w:lang w:val="en-US" w:eastAsia="zh-CN"/>
                    </w:rPr>
                    <w:t>亚喀吾斯塘2号渠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yellow"/>
                      <w:lang w:val="en-US" w:eastAsia="zh-CN"/>
                    </w:rPr>
                  </w:pPr>
                  <w:r>
                    <w:rPr>
                      <w:rFonts w:hint="default"/>
                      <w:lang w:val="en-US" w:eastAsia="zh-CN"/>
                    </w:rPr>
                    <w:t>152.26</w:t>
                  </w:r>
                </w:p>
              </w:tc>
              <w:tc>
                <w:tcPr>
                  <w:tcW w:w="1282" w:type="pct"/>
                  <w:vAlign w:val="center"/>
                </w:tcPr>
                <w:p>
                  <w:pPr>
                    <w:pStyle w:val="6"/>
                    <w:bidi w:val="0"/>
                    <w:rPr>
                      <w:rFonts w:hint="default"/>
                      <w:highlight w:val="none"/>
                      <w:lang w:val="en-US" w:eastAsia="zh-CN"/>
                    </w:rPr>
                  </w:pPr>
                  <w:r>
                    <w:rPr>
                      <w:rFonts w:hint="default"/>
                      <w:highlight w:val="none"/>
                      <w:lang w:val="en-US" w:eastAsia="zh-CN"/>
                    </w:rPr>
                    <w:t>E88°12′24.9</w:t>
                  </w:r>
                  <w:r>
                    <w:rPr>
                      <w:rFonts w:hint="eastAsia"/>
                      <w:highlight w:val="none"/>
                      <w:lang w:val="en-US" w:eastAsia="zh-CN"/>
                    </w:rPr>
                    <w:t>70</w:t>
                  </w:r>
                  <w:r>
                    <w:rPr>
                      <w:rFonts w:hint="default"/>
                      <w:highlight w:val="none"/>
                      <w:lang w:val="en-US" w:eastAsia="zh-CN"/>
                    </w:rPr>
                    <w:t>″，N39°2′11.63</w:t>
                  </w:r>
                  <w:r>
                    <w:rPr>
                      <w:rFonts w:hint="eastAsia"/>
                      <w:highlight w:val="none"/>
                      <w:lang w:val="en-US" w:eastAsia="zh-CN"/>
                    </w:rPr>
                    <w:t>2</w:t>
                  </w:r>
                  <w:r>
                    <w:rPr>
                      <w:rFonts w:hint="default"/>
                      <w:highlight w:val="none"/>
                      <w:lang w:val="en-US" w:eastAsia="zh-CN"/>
                    </w:rPr>
                    <w:t>″</w:t>
                  </w:r>
                </w:p>
              </w:tc>
              <w:tc>
                <w:tcPr>
                  <w:tcW w:w="1362" w:type="pct"/>
                  <w:vAlign w:val="center"/>
                </w:tcPr>
                <w:p>
                  <w:pPr>
                    <w:pStyle w:val="6"/>
                    <w:bidi w:val="0"/>
                    <w:rPr>
                      <w:rFonts w:hint="default"/>
                      <w:highlight w:val="none"/>
                      <w:lang w:val="en-US" w:eastAsia="zh-CN"/>
                    </w:rPr>
                  </w:pPr>
                  <w:r>
                    <w:rPr>
                      <w:rFonts w:hint="default"/>
                      <w:highlight w:val="none"/>
                      <w:lang w:val="en-US" w:eastAsia="zh-CN"/>
                    </w:rPr>
                    <w:t>E88°12′31.265″，N39°2′11.76</w:t>
                  </w:r>
                  <w:r>
                    <w:rPr>
                      <w:rFonts w:hint="eastAsia"/>
                      <w:highlight w:val="none"/>
                      <w:lang w:val="en-US" w:eastAsia="zh-CN"/>
                    </w:rPr>
                    <w:t>7</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31</w:t>
                  </w:r>
                </w:p>
              </w:tc>
              <w:tc>
                <w:tcPr>
                  <w:tcW w:w="1242" w:type="pct"/>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yellow"/>
                      <w:lang w:val="en-US" w:eastAsia="zh-CN"/>
                    </w:rPr>
                  </w:pPr>
                  <w:r>
                    <w:rPr>
                      <w:lang w:val="en-US" w:eastAsia="zh-CN"/>
                    </w:rPr>
                    <w:t>花瓣路土渠</w:t>
                  </w:r>
                </w:p>
              </w:tc>
              <w:tc>
                <w:tcPr>
                  <w:tcW w:w="86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highlight w:val="yellow"/>
                      <w:lang w:val="en-US" w:eastAsia="zh-CN"/>
                    </w:rPr>
                  </w:pPr>
                  <w:r>
                    <w:rPr>
                      <w:rFonts w:hint="default"/>
                      <w:lang w:val="en-US" w:eastAsia="zh-CN"/>
                    </w:rPr>
                    <w:t>113.13</w:t>
                  </w:r>
                </w:p>
              </w:tc>
              <w:tc>
                <w:tcPr>
                  <w:tcW w:w="1282" w:type="pct"/>
                  <w:vAlign w:val="center"/>
                </w:tcPr>
                <w:p>
                  <w:pPr>
                    <w:pStyle w:val="6"/>
                    <w:bidi w:val="0"/>
                    <w:rPr>
                      <w:rFonts w:hint="default"/>
                      <w:highlight w:val="none"/>
                      <w:lang w:val="en-US" w:eastAsia="zh-CN"/>
                    </w:rPr>
                  </w:pPr>
                  <w:r>
                    <w:rPr>
                      <w:rFonts w:hint="default"/>
                      <w:highlight w:val="none"/>
                      <w:lang w:val="en-US" w:eastAsia="zh-CN"/>
                    </w:rPr>
                    <w:t>E88°11′45.631″，N39°1′54.682″</w:t>
                  </w:r>
                </w:p>
              </w:tc>
              <w:tc>
                <w:tcPr>
                  <w:tcW w:w="1362" w:type="pct"/>
                  <w:vAlign w:val="center"/>
                </w:tcPr>
                <w:p>
                  <w:pPr>
                    <w:pStyle w:val="6"/>
                    <w:bidi w:val="0"/>
                    <w:rPr>
                      <w:rFonts w:hint="default"/>
                      <w:highlight w:val="none"/>
                      <w:lang w:val="en-US" w:eastAsia="zh-CN"/>
                    </w:rPr>
                  </w:pPr>
                  <w:r>
                    <w:rPr>
                      <w:rFonts w:hint="default"/>
                      <w:highlight w:val="none"/>
                      <w:lang w:val="en-US" w:eastAsia="zh-CN"/>
                    </w:rPr>
                    <w:t>E88°11′47.08</w:t>
                  </w:r>
                  <w:r>
                    <w:rPr>
                      <w:rFonts w:hint="eastAsia"/>
                      <w:highlight w:val="none"/>
                      <w:lang w:val="en-US" w:eastAsia="zh-CN"/>
                    </w:rPr>
                    <w:t>9</w:t>
                  </w:r>
                  <w:r>
                    <w:rPr>
                      <w:rFonts w:hint="default"/>
                      <w:highlight w:val="none"/>
                      <w:lang w:val="en-US" w:eastAsia="zh-CN"/>
                    </w:rPr>
                    <w:t>″，N39°1′58.01</w:t>
                  </w:r>
                  <w:r>
                    <w:rPr>
                      <w:rFonts w:hint="eastAsia"/>
                      <w:highlight w:val="none"/>
                      <w:lang w:val="en-US" w:eastAsia="zh-CN"/>
                    </w:rPr>
                    <w:t>4</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9" w:type="pct"/>
                  <w:gridSpan w:val="2"/>
                  <w:vAlign w:val="center"/>
                </w:tcPr>
                <w:p>
                  <w:pPr>
                    <w:pStyle w:val="6"/>
                    <w:bidi w:val="0"/>
                    <w:rPr>
                      <w:rFonts w:hint="eastAsia"/>
                      <w:lang w:val="en-US" w:eastAsia="zh-CN"/>
                    </w:rPr>
                  </w:pPr>
                  <w:r>
                    <w:rPr>
                      <w:rFonts w:hint="eastAsia"/>
                      <w:lang w:val="en-US" w:eastAsia="zh-CN"/>
                    </w:rPr>
                    <w:t>合计</w:t>
                  </w:r>
                </w:p>
              </w:tc>
              <w:tc>
                <w:tcPr>
                  <w:tcW w:w="866" w:type="pct"/>
                  <w:vAlign w:val="center"/>
                </w:tcPr>
                <w:p>
                  <w:pPr>
                    <w:pStyle w:val="6"/>
                    <w:bidi w:val="0"/>
                    <w:rPr>
                      <w:rFonts w:hint="default"/>
                      <w:lang w:val="en-US" w:eastAsia="zh-CN"/>
                    </w:rPr>
                  </w:pPr>
                  <w:r>
                    <w:rPr>
                      <w:rFonts w:hint="eastAsia"/>
                      <w:lang w:val="en-US" w:eastAsia="zh-CN"/>
                    </w:rPr>
                    <w:t>5501.15</w:t>
                  </w:r>
                </w:p>
              </w:tc>
              <w:tc>
                <w:tcPr>
                  <w:tcW w:w="1282" w:type="pct"/>
                  <w:vAlign w:val="center"/>
                </w:tcPr>
                <w:p>
                  <w:pPr>
                    <w:pStyle w:val="6"/>
                    <w:bidi w:val="0"/>
                    <w:rPr>
                      <w:rFonts w:hint="default"/>
                      <w:lang w:val="en-US" w:eastAsia="zh-CN"/>
                    </w:rPr>
                  </w:pPr>
                  <w:r>
                    <w:rPr>
                      <w:rFonts w:hint="eastAsia"/>
                      <w:lang w:val="en-US" w:eastAsia="zh-CN"/>
                    </w:rPr>
                    <w:t>/</w:t>
                  </w:r>
                </w:p>
              </w:tc>
              <w:tc>
                <w:tcPr>
                  <w:tcW w:w="1362" w:type="pct"/>
                  <w:vAlign w:val="center"/>
                </w:tcPr>
                <w:p>
                  <w:pPr>
                    <w:pStyle w:val="6"/>
                    <w:bidi w:val="0"/>
                    <w:rPr>
                      <w:rFonts w:hint="default"/>
                      <w:lang w:val="en-US" w:eastAsia="zh-CN"/>
                    </w:rPr>
                  </w:pPr>
                  <w:r>
                    <w:rPr>
                      <w:rFonts w:hint="eastAsia"/>
                      <w:lang w:val="en-US" w:eastAsia="zh-CN"/>
                    </w:rPr>
                    <w:t>/</w:t>
                  </w:r>
                </w:p>
              </w:tc>
            </w:tr>
          </w:tbl>
          <w:p>
            <w:pPr>
              <w:pStyle w:val="19"/>
              <w:jc w:val="center"/>
              <w:outlineLvl w:val="0"/>
              <w:rPr>
                <w:rFonts w:ascii="黑体" w:hAnsi="黑体" w:eastAsia="黑体"/>
                <w:snapToGrid w:val="0"/>
                <w:color w:val="auto"/>
                <w:sz w:val="30"/>
                <w:szCs w:val="30"/>
                <w:vertAlign w:val="baseline"/>
              </w:rPr>
            </w:pPr>
          </w:p>
        </w:tc>
      </w:tr>
    </w:tbl>
    <w:p>
      <w:pPr>
        <w:pStyle w:val="19"/>
        <w:jc w:val="center"/>
        <w:outlineLvl w:val="0"/>
        <w:rPr>
          <w:rFonts w:ascii="黑体" w:hAnsi="黑体" w:eastAsia="黑体"/>
          <w:snapToGrid w:val="0"/>
          <w:color w:val="auto"/>
          <w:sz w:val="30"/>
          <w:szCs w:val="30"/>
        </w:rPr>
        <w:sectPr>
          <w:pgSz w:w="16838" w:h="11906" w:orient="landscape"/>
          <w:pgMar w:top="1800" w:right="1440" w:bottom="1800" w:left="1440" w:header="851" w:footer="1077" w:gutter="0"/>
          <w:pgNumType w:fmt="decimal"/>
          <w:cols w:space="720" w:num="1"/>
          <w:docGrid w:linePitch="312" w:charSpace="0"/>
        </w:sectPr>
      </w:pPr>
    </w:p>
    <w:tbl>
      <w:tblPr>
        <w:tblStyle w:val="21"/>
        <w:tblW w:w="90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0"/>
                <w:sz w:val="24"/>
                <w:szCs w:val="24"/>
              </w:rPr>
            </w:pPr>
            <w:r>
              <w:rPr>
                <w:rFonts w:hint="eastAsia" w:ascii="宋体" w:hAnsi="宋体" w:cs="宋体"/>
                <w:color w:val="auto"/>
                <w:kern w:val="0"/>
                <w:sz w:val="21"/>
                <w:szCs w:val="21"/>
              </w:rPr>
              <w:t>项目组成及规模</w:t>
            </w:r>
          </w:p>
        </w:tc>
        <w:tc>
          <w:tcPr>
            <w:tcW w:w="8380" w:type="dxa"/>
            <w:noWrap w:val="0"/>
            <w:vAlign w:val="top"/>
          </w:tcPr>
          <w:p>
            <w:pPr>
              <w:pStyle w:val="3"/>
              <w:bidi w:val="0"/>
              <w:rPr>
                <w:rFonts w:hint="default"/>
                <w:lang w:val="en-US" w:eastAsia="zh-CN"/>
              </w:rPr>
            </w:pPr>
            <w:r>
              <w:rPr>
                <w:rFonts w:hint="eastAsia"/>
                <w:lang w:val="en-US" w:eastAsia="zh-CN"/>
              </w:rPr>
              <w:t>1 项目由来</w:t>
            </w:r>
          </w:p>
          <w:p>
            <w:pPr>
              <w:bidi w:val="0"/>
              <w:rPr>
                <w:rFonts w:hint="eastAsia"/>
                <w:lang w:val="en-US" w:eastAsia="zh-CN"/>
              </w:rPr>
            </w:pPr>
            <w:r>
              <w:rPr>
                <w:rFonts w:hint="eastAsia"/>
                <w:lang w:val="en-US" w:eastAsia="zh-CN"/>
              </w:rPr>
              <w:t>本次项目通过对若羌县铁干里克镇库尔干村、亚喀吾斯塘村渠道进行防渗改造，总长度5.5km，控制灌溉面积0.1万亩，现状渠道为土渠。经过多年使用，渠道变形严重，局部段淤堵，水流不畅，局部段冲毁，部分灌溉渠道未进行防渗，由于灌区渠道上分水口较多，引用水管理粗放，灌区普遍存在灌溉用水浪费现象。渠道现有主要构筑物为桥涵及闸门，由于灌区渠道上分水口较多，且闸门损坏严重，灌溉期无法准确控制分水量，普遍存在用水浪费的现象，部分分水口处没有配套分水构筑物。</w:t>
            </w:r>
          </w:p>
          <w:p>
            <w:pPr>
              <w:bidi w:val="0"/>
              <w:rPr>
                <w:rFonts w:hint="eastAsia"/>
                <w:lang w:val="en-US" w:eastAsia="zh-CN"/>
              </w:rPr>
            </w:pPr>
            <w:r>
              <w:rPr>
                <w:rFonts w:hint="eastAsia"/>
                <w:lang w:val="en-US" w:eastAsia="zh-CN"/>
              </w:rPr>
              <w:t>本工程实施后可减少杂草滋生、淤积和坍塌风险，维护成本降低50%以上；通过减少渠道渗漏损失，显著提高水资源利用效率；渗漏减少抑制地下水补给，避免盐分向地表聚集，改善土壤环境；</w:t>
            </w:r>
            <w:r>
              <w:rPr>
                <w:rFonts w:hint="eastAsia"/>
              </w:rPr>
              <w:t>防渗改造后</w:t>
            </w:r>
            <w:r>
              <w:rPr>
                <w:rFonts w:hint="eastAsia"/>
                <w:lang w:val="en-US" w:eastAsia="zh-CN"/>
              </w:rPr>
              <w:t>灌溉</w:t>
            </w:r>
            <w:r>
              <w:rPr>
                <w:rFonts w:hint="eastAsia"/>
              </w:rPr>
              <w:t>效率提升</w:t>
            </w:r>
            <w:r>
              <w:rPr>
                <w:rFonts w:hint="eastAsia"/>
                <w:lang w:eastAsia="zh-CN"/>
              </w:rPr>
              <w:t>，保障农作物稳定灌溉需求。</w:t>
            </w:r>
          </w:p>
          <w:p>
            <w:pPr>
              <w:bidi w:val="0"/>
              <w:rPr>
                <w:rFonts w:hint="eastAsia"/>
                <w:lang w:val="en-US" w:eastAsia="zh-CN"/>
              </w:rPr>
            </w:pPr>
            <w:r>
              <w:rPr>
                <w:rFonts w:hint="eastAsia"/>
                <w:lang w:val="en-US" w:eastAsia="zh-CN"/>
              </w:rPr>
              <w:t>按照《中华人民共和国环境保护法》《建设项目环境保护管理条例》和《建设项目环境影响评价分类管理名录（2021）》等有关法律法规规定，项目属《名录》所列“五十一、水利-125灌区工程（不含水源工程的）-其他（不含高标准农田、滴灌等节水改造工程）”，本项目应编制环境影响报告表。受建设单位委托，新疆领畅环保科技有限公司承担了本项目的环境影响评价工作。接受委托后，环评单位在现场踏勘和资料收集的基础上，编制完成了《若羌县铁干里克镇库尔干村、亚喀吾斯塘村2026年防渗渠以工代赈项目》，审批后作为生态环境主管部门和该企业进行环境管理的依据。</w:t>
            </w:r>
          </w:p>
          <w:p>
            <w:pPr>
              <w:pStyle w:val="3"/>
              <w:bidi w:val="0"/>
              <w:rPr>
                <w:rFonts w:hint="default"/>
                <w:lang w:val="en-US" w:eastAsia="zh-CN"/>
              </w:rPr>
            </w:pPr>
            <w:r>
              <w:rPr>
                <w:rFonts w:hint="eastAsia"/>
                <w:lang w:val="en-US" w:eastAsia="zh-CN"/>
              </w:rPr>
              <w:t>2 建设规模</w:t>
            </w:r>
          </w:p>
          <w:p>
            <w:pPr>
              <w:bidi w:val="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color w:val="auto"/>
                <w:kern w:val="0"/>
                <w:sz w:val="24"/>
                <w:szCs w:val="24"/>
                <w:lang w:val="en-US" w:eastAsia="zh-CN"/>
              </w:rPr>
              <w:t>本灌区现状年的灌溉面积为</w:t>
            </w:r>
            <w:r>
              <w:rPr>
                <w:rFonts w:hint="eastAsia" w:cs="Times New Roman"/>
                <w:color w:val="auto"/>
                <w:kern w:val="0"/>
                <w:sz w:val="24"/>
                <w:szCs w:val="24"/>
                <w:lang w:val="en-US" w:eastAsia="zh-CN"/>
              </w:rPr>
              <w:t>0.1万亩</w:t>
            </w:r>
            <w:r>
              <w:rPr>
                <w:rFonts w:hint="default" w:ascii="Times New Roman" w:hAnsi="Times New Roman" w:cs="Times New Roman"/>
                <w:color w:val="auto"/>
                <w:kern w:val="0"/>
                <w:sz w:val="24"/>
                <w:szCs w:val="24"/>
                <w:lang w:val="en-US" w:eastAsia="zh-CN"/>
              </w:rPr>
              <w:t>，至设计水平年灌溉面积仍维持为</w:t>
            </w:r>
            <w:r>
              <w:rPr>
                <w:rFonts w:hint="eastAsia" w:cs="Times New Roman"/>
                <w:color w:val="auto"/>
                <w:kern w:val="0"/>
                <w:sz w:val="24"/>
                <w:szCs w:val="24"/>
                <w:lang w:val="en-US" w:eastAsia="zh-CN"/>
              </w:rPr>
              <w:t>0.1万亩</w:t>
            </w:r>
            <w:r>
              <w:rPr>
                <w:rFonts w:hint="default" w:ascii="Times New Roman" w:hAnsi="Times New Roman" w:cs="Times New Roman"/>
                <w:color w:val="auto"/>
                <w:kern w:val="0"/>
                <w:sz w:val="24"/>
                <w:szCs w:val="24"/>
                <w:lang w:val="en-US" w:eastAsia="zh-CN"/>
              </w:rPr>
              <w:t>。本着满足现状、保证近期、控制长期的原则，根据设计水平年的灌水率和灌溉水利用系数，从而确定灌区的工程规模。本工程改建渠道共计3</w:t>
            </w:r>
            <w:r>
              <w:rPr>
                <w:rFonts w:hint="eastAsia" w:cs="Times New Roman"/>
                <w:color w:val="auto"/>
                <w:kern w:val="0"/>
                <w:sz w:val="24"/>
                <w:szCs w:val="24"/>
                <w:lang w:val="en-US" w:eastAsia="zh-CN"/>
              </w:rPr>
              <w:t>1</w:t>
            </w:r>
            <w:r>
              <w:rPr>
                <w:rFonts w:hint="default" w:ascii="Times New Roman" w:hAnsi="Times New Roman" w:cs="Times New Roman"/>
                <w:color w:val="auto"/>
                <w:kern w:val="0"/>
                <w:sz w:val="24"/>
                <w:szCs w:val="24"/>
                <w:lang w:val="en-US" w:eastAsia="zh-CN"/>
              </w:rPr>
              <w:t>条，总长5.</w:t>
            </w:r>
            <w:r>
              <w:rPr>
                <w:rFonts w:hint="eastAsia" w:cs="Times New Roman"/>
                <w:color w:val="auto"/>
                <w:kern w:val="0"/>
                <w:sz w:val="24"/>
                <w:szCs w:val="24"/>
                <w:lang w:val="en-US" w:eastAsia="zh-CN"/>
              </w:rPr>
              <w:t>5</w:t>
            </w:r>
            <w:r>
              <w:rPr>
                <w:rFonts w:hint="default" w:ascii="Times New Roman" w:hAnsi="Times New Roman" w:cs="Times New Roman"/>
                <w:color w:val="auto"/>
                <w:kern w:val="0"/>
                <w:sz w:val="24"/>
                <w:szCs w:val="24"/>
                <w:lang w:val="en-US" w:eastAsia="zh-CN"/>
              </w:rPr>
              <w:t>km，配套渠系</w:t>
            </w:r>
            <w:r>
              <w:rPr>
                <w:rFonts w:hint="eastAsia" w:cs="Times New Roman"/>
                <w:color w:val="auto"/>
                <w:kern w:val="0"/>
                <w:sz w:val="24"/>
                <w:szCs w:val="24"/>
                <w:lang w:val="en-US" w:eastAsia="zh-CN"/>
              </w:rPr>
              <w:t>构筑物183座</w:t>
            </w:r>
            <w:r>
              <w:rPr>
                <w:rFonts w:hint="eastAsia" w:ascii="Times New Roman" w:hAnsi="Times New Roman" w:cs="Times New Roman"/>
                <w:color w:val="auto"/>
                <w:kern w:val="0"/>
                <w:sz w:val="24"/>
                <w:szCs w:val="24"/>
                <w:lang w:val="en-US" w:eastAsia="zh-CN"/>
              </w:rPr>
              <w:t>，</w:t>
            </w:r>
            <w:r>
              <w:rPr>
                <w:rFonts w:hint="default" w:ascii="Times New Roman" w:hAnsi="Times New Roman" w:eastAsia="宋体" w:cs="Times New Roman"/>
                <w:b w:val="0"/>
                <w:bCs w:val="0"/>
                <w:color w:val="auto"/>
                <w:sz w:val="24"/>
                <w:szCs w:val="24"/>
                <w:highlight w:val="none"/>
                <w:lang w:val="en-US" w:eastAsia="zh-CN"/>
              </w:rPr>
              <w:t>项目主要建设内容见表2-1。</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表2-1  项目主要建设内容一览表</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318"/>
              <w:gridCol w:w="5975"/>
              <w:gridCol w:w="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tcBorders>
                    <w:tl2br w:val="nil"/>
                    <w:tr2bl w:val="nil"/>
                  </w:tcBorders>
                  <w:noWrap w:val="0"/>
                  <w:vAlign w:val="center"/>
                </w:tcPr>
                <w:p>
                  <w:pPr>
                    <w:pStyle w:val="6"/>
                    <w:bidi w:val="0"/>
                    <w:rPr>
                      <w:rFonts w:hint="default"/>
                    </w:rPr>
                  </w:pPr>
                  <w:r>
                    <w:rPr>
                      <w:rFonts w:hint="default"/>
                    </w:rPr>
                    <w:t>类别</w:t>
                  </w:r>
                </w:p>
              </w:tc>
              <w:tc>
                <w:tcPr>
                  <w:tcW w:w="809" w:type="pct"/>
                  <w:tcBorders>
                    <w:tl2br w:val="nil"/>
                    <w:tr2bl w:val="nil"/>
                  </w:tcBorders>
                  <w:noWrap w:val="0"/>
                  <w:vAlign w:val="center"/>
                </w:tcPr>
                <w:p>
                  <w:pPr>
                    <w:pStyle w:val="6"/>
                    <w:bidi w:val="0"/>
                    <w:rPr>
                      <w:rFonts w:hint="default"/>
                    </w:rPr>
                  </w:pPr>
                  <w:r>
                    <w:rPr>
                      <w:rFonts w:hint="default"/>
                    </w:rPr>
                    <w:t>项目名称</w:t>
                  </w:r>
                </w:p>
              </w:tc>
              <w:tc>
                <w:tcPr>
                  <w:tcW w:w="3668" w:type="pct"/>
                  <w:tcBorders>
                    <w:tl2br w:val="nil"/>
                    <w:tr2bl w:val="nil"/>
                  </w:tcBorders>
                  <w:noWrap w:val="0"/>
                  <w:vAlign w:val="center"/>
                </w:tcPr>
                <w:p>
                  <w:pPr>
                    <w:pStyle w:val="6"/>
                    <w:bidi w:val="0"/>
                    <w:rPr>
                      <w:rFonts w:hint="default"/>
                    </w:rPr>
                  </w:pPr>
                  <w:r>
                    <w:rPr>
                      <w:rFonts w:hint="default"/>
                    </w:rPr>
                    <w:t>建设内容</w:t>
                  </w:r>
                </w:p>
              </w:tc>
              <w:tc>
                <w:tcPr>
                  <w:tcW w:w="261" w:type="pct"/>
                  <w:tcBorders>
                    <w:tl2br w:val="nil"/>
                    <w:tr2bl w:val="nil"/>
                  </w:tcBorders>
                  <w:noWrap w:val="0"/>
                  <w:vAlign w:val="center"/>
                </w:tcPr>
                <w:p>
                  <w:pPr>
                    <w:pStyle w:val="6"/>
                    <w:bidi w:val="0"/>
                    <w:rPr>
                      <w:rFonts w:hint="default"/>
                    </w:rPr>
                  </w:pPr>
                  <w:r>
                    <w:rPr>
                      <w:rFonts w:hint="default"/>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restart"/>
                  <w:tcBorders>
                    <w:tl2br w:val="nil"/>
                    <w:tr2bl w:val="nil"/>
                  </w:tcBorders>
                  <w:noWrap w:val="0"/>
                  <w:vAlign w:val="center"/>
                </w:tcPr>
                <w:p>
                  <w:pPr>
                    <w:pStyle w:val="6"/>
                    <w:bidi w:val="0"/>
                    <w:rPr>
                      <w:rFonts w:hint="default"/>
                    </w:rPr>
                  </w:pPr>
                  <w:r>
                    <w:rPr>
                      <w:rFonts w:hint="default"/>
                    </w:rPr>
                    <w:t>主体工程</w:t>
                  </w:r>
                </w:p>
              </w:tc>
              <w:tc>
                <w:tcPr>
                  <w:tcW w:w="1318" w:type="dxa"/>
                  <w:tcBorders>
                    <w:tl2br w:val="nil"/>
                    <w:tr2bl w:val="nil"/>
                  </w:tcBorders>
                  <w:noWrap w:val="0"/>
                  <w:vAlign w:val="center"/>
                </w:tcPr>
                <w:p>
                  <w:pPr>
                    <w:pStyle w:val="6"/>
                    <w:bidi w:val="0"/>
                    <w:ind w:firstLine="0" w:firstLineChars="0"/>
                    <w:rPr>
                      <w:rFonts w:hint="default" w:eastAsia="宋体"/>
                      <w:lang w:val="en-US" w:eastAsia="zh-CN"/>
                    </w:rPr>
                  </w:pPr>
                  <w:r>
                    <w:rPr>
                      <w:rFonts w:hint="eastAsia"/>
                      <w:lang w:val="en-US" w:eastAsia="zh-CN"/>
                    </w:rPr>
                    <w:t>防渗渠道</w:t>
                  </w:r>
                </w:p>
              </w:tc>
              <w:tc>
                <w:tcPr>
                  <w:tcW w:w="5975" w:type="dxa"/>
                  <w:tcBorders>
                    <w:tl2br w:val="nil"/>
                    <w:tr2bl w:val="nil"/>
                  </w:tcBorders>
                  <w:noWrap w:val="0"/>
                  <w:vAlign w:val="center"/>
                </w:tcPr>
                <w:p>
                  <w:pPr>
                    <w:pStyle w:val="6"/>
                    <w:bidi w:val="0"/>
                    <w:ind w:firstLine="0" w:firstLineChars="0"/>
                    <w:rPr>
                      <w:rFonts w:hint="default" w:eastAsia="宋体"/>
                      <w:lang w:val="en-US" w:eastAsia="zh-CN"/>
                    </w:rPr>
                  </w:pPr>
                  <w:r>
                    <w:rPr>
                      <w:rFonts w:hint="eastAsia"/>
                      <w:lang w:val="en-US" w:eastAsia="zh-CN"/>
                    </w:rPr>
                    <w:t>新建防渗渠5.5km，其中80U防渗渠4.5km（上口宽0.8m，下口宽0.8m，渠深0.8m）；70U防渗渠1km（上口宽0.7m，下口宽0.7m，渠深0.7m），及配套附属设施。</w:t>
                  </w:r>
                </w:p>
              </w:tc>
              <w:tc>
                <w:tcPr>
                  <w:tcW w:w="261" w:type="pct"/>
                  <w:vMerge w:val="restart"/>
                  <w:tcBorders>
                    <w:tl2br w:val="nil"/>
                    <w:tr2bl w:val="nil"/>
                  </w:tcBorders>
                  <w:noWrap w:val="0"/>
                  <w:vAlign w:val="center"/>
                </w:tcPr>
                <w:p>
                  <w:pPr>
                    <w:pStyle w:val="6"/>
                    <w:bidi w:val="0"/>
                    <w:rPr>
                      <w:rFonts w:hint="eastAsia" w:eastAsia="宋体"/>
                      <w:lang w:val="en-US" w:eastAsia="zh-CN"/>
                    </w:rPr>
                  </w:pPr>
                  <w:r>
                    <w:rPr>
                      <w:rFonts w:hint="eastAsia"/>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tcBorders>
                    <w:tl2br w:val="nil"/>
                    <w:tr2bl w:val="nil"/>
                  </w:tcBorders>
                  <w:noWrap w:val="0"/>
                  <w:vAlign w:val="center"/>
                </w:tcPr>
                <w:p>
                  <w:pPr>
                    <w:pStyle w:val="6"/>
                    <w:bidi w:val="0"/>
                    <w:rPr>
                      <w:rFonts w:hint="default"/>
                    </w:rPr>
                  </w:pPr>
                </w:p>
              </w:tc>
              <w:tc>
                <w:tcPr>
                  <w:tcW w:w="1318" w:type="dxa"/>
                  <w:tcBorders>
                    <w:tl2br w:val="nil"/>
                    <w:tr2bl w:val="nil"/>
                  </w:tcBorders>
                  <w:noWrap w:val="0"/>
                  <w:vAlign w:val="center"/>
                </w:tcPr>
                <w:p>
                  <w:pPr>
                    <w:pStyle w:val="6"/>
                    <w:bidi w:val="0"/>
                    <w:ind w:firstLine="0" w:firstLineChars="0"/>
                    <w:rPr>
                      <w:rFonts w:hint="default"/>
                      <w:lang w:val="en-US" w:eastAsia="zh-CN"/>
                    </w:rPr>
                  </w:pPr>
                  <w:r>
                    <w:rPr>
                      <w:rFonts w:hint="eastAsia"/>
                      <w:lang w:val="en-US" w:eastAsia="zh-CN"/>
                    </w:rPr>
                    <w:t>渠系建筑物</w:t>
                  </w:r>
                </w:p>
              </w:tc>
              <w:tc>
                <w:tcPr>
                  <w:tcW w:w="5975" w:type="dxa"/>
                  <w:tcBorders>
                    <w:tl2br w:val="nil"/>
                    <w:tr2bl w:val="nil"/>
                  </w:tcBorders>
                  <w:noWrap w:val="0"/>
                  <w:vAlign w:val="center"/>
                </w:tcPr>
                <w:p>
                  <w:pPr>
                    <w:pStyle w:val="6"/>
                    <w:bidi w:val="0"/>
                    <w:ind w:firstLine="0" w:firstLineChars="0"/>
                    <w:rPr>
                      <w:rFonts w:hint="default"/>
                      <w:lang w:val="en-US" w:eastAsia="zh-CN"/>
                    </w:rPr>
                  </w:pPr>
                  <w:r>
                    <w:rPr>
                      <w:rFonts w:hint="eastAsia"/>
                      <w:lang w:val="en-US" w:eastAsia="zh-CN"/>
                    </w:rPr>
                    <w:t>配套渠系建筑物183座</w:t>
                  </w:r>
                </w:p>
              </w:tc>
              <w:tc>
                <w:tcPr>
                  <w:tcW w:w="261" w:type="pct"/>
                  <w:vMerge w:val="continue"/>
                  <w:tcBorders>
                    <w:tl2br w:val="nil"/>
                    <w:tr2bl w:val="nil"/>
                  </w:tcBorders>
                  <w:noWrap w:val="0"/>
                  <w:vAlign w:val="center"/>
                </w:tcPr>
                <w:p>
                  <w:pPr>
                    <w:pStyle w:val="6"/>
                    <w:bidi w:val="0"/>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60" w:type="pct"/>
                  <w:vMerge w:val="restart"/>
                  <w:tcBorders>
                    <w:tl2br w:val="nil"/>
                    <w:tr2bl w:val="nil"/>
                  </w:tcBorders>
                  <w:noWrap w:val="0"/>
                  <w:vAlign w:val="center"/>
                </w:tcPr>
                <w:p>
                  <w:pPr>
                    <w:pStyle w:val="6"/>
                    <w:bidi w:val="0"/>
                    <w:rPr>
                      <w:rFonts w:hint="default"/>
                      <w:lang w:val="en-US" w:eastAsia="zh-CN"/>
                    </w:rPr>
                  </w:pPr>
                  <w:r>
                    <w:rPr>
                      <w:rFonts w:hint="default"/>
                      <w:lang w:val="en-US" w:eastAsia="zh-CN"/>
                    </w:rPr>
                    <w:t>临时工程</w:t>
                  </w:r>
                </w:p>
              </w:tc>
              <w:tc>
                <w:tcPr>
                  <w:tcW w:w="809" w:type="pct"/>
                  <w:tcBorders>
                    <w:tl2br w:val="nil"/>
                    <w:tr2bl w:val="nil"/>
                  </w:tcBorders>
                  <w:noWrap w:val="0"/>
                  <w:vAlign w:val="center"/>
                </w:tcPr>
                <w:p>
                  <w:pPr>
                    <w:pStyle w:val="6"/>
                    <w:bidi w:val="0"/>
                    <w:rPr>
                      <w:rFonts w:hint="default"/>
                      <w:highlight w:val="yellow"/>
                      <w:lang w:val="en-US" w:eastAsia="zh-CN"/>
                    </w:rPr>
                  </w:pPr>
                  <w:r>
                    <w:rPr>
                      <w:rFonts w:hint="eastAsia"/>
                      <w:highlight w:val="none"/>
                      <w:lang w:val="en-US" w:eastAsia="zh-CN"/>
                    </w:rPr>
                    <w:t>临时堆土区</w:t>
                  </w:r>
                </w:p>
              </w:tc>
              <w:tc>
                <w:tcPr>
                  <w:tcW w:w="3668" w:type="pct"/>
                  <w:tcBorders>
                    <w:tl2br w:val="nil"/>
                    <w:tr2bl w:val="nil"/>
                  </w:tcBorders>
                  <w:noWrap w:val="0"/>
                  <w:vAlign w:val="center"/>
                </w:tcPr>
                <w:p>
                  <w:pPr>
                    <w:pStyle w:val="6"/>
                    <w:bidi w:val="0"/>
                    <w:rPr>
                      <w:rFonts w:hint="default"/>
                      <w:highlight w:val="yellow"/>
                      <w:lang w:val="en-US" w:eastAsia="zh-CN"/>
                    </w:rPr>
                  </w:pPr>
                  <w:r>
                    <w:rPr>
                      <w:rFonts w:hint="default"/>
                      <w:highlight w:val="none"/>
                      <w:lang w:val="en-US" w:eastAsia="zh-CN"/>
                    </w:rPr>
                    <w:t>占地面积</w:t>
                  </w:r>
                  <w:r>
                    <w:rPr>
                      <w:rFonts w:hint="eastAsia"/>
                      <w:highlight w:val="none"/>
                      <w:lang w:val="en-US" w:eastAsia="zh-CN"/>
                    </w:rPr>
                    <w:t>11000</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，位于</w:t>
                  </w:r>
                  <w:r>
                    <w:rPr>
                      <w:rFonts w:hint="eastAsia"/>
                      <w:highlight w:val="none"/>
                      <w:lang w:val="en-US" w:eastAsia="zh-CN"/>
                    </w:rPr>
                    <w:t>渠道</w:t>
                  </w:r>
                  <w:r>
                    <w:rPr>
                      <w:rFonts w:hint="default"/>
                      <w:highlight w:val="none"/>
                      <w:lang w:val="en-US" w:eastAsia="zh-CN"/>
                    </w:rPr>
                    <w:t>两侧边坡，主要堆放基础开挖的土方</w:t>
                  </w:r>
                  <w:r>
                    <w:rPr>
                      <w:rFonts w:hint="eastAsia"/>
                      <w:highlight w:val="none"/>
                      <w:lang w:val="en-US" w:eastAsia="zh-CN"/>
                    </w:rPr>
                    <w:t>和砂石料，</w:t>
                  </w:r>
                  <w:r>
                    <w:rPr>
                      <w:rFonts w:hint="default"/>
                      <w:highlight w:val="none"/>
                      <w:lang w:val="en-US" w:eastAsia="zh-CN"/>
                    </w:rPr>
                    <w:t>单次堆存时间不超过</w:t>
                  </w:r>
                  <w:r>
                    <w:rPr>
                      <w:rFonts w:hint="eastAsia"/>
                      <w:highlight w:val="none"/>
                      <w:lang w:val="en-US" w:eastAsia="zh-CN"/>
                    </w:rPr>
                    <w:t>2</w:t>
                  </w:r>
                  <w:r>
                    <w:rPr>
                      <w:rFonts w:hint="default"/>
                      <w:highlight w:val="none"/>
                      <w:lang w:val="en-US" w:eastAsia="zh-CN"/>
                    </w:rPr>
                    <w:t>天。</w:t>
                  </w:r>
                </w:p>
              </w:tc>
              <w:tc>
                <w:tcPr>
                  <w:tcW w:w="261" w:type="pct"/>
                  <w:tcBorders>
                    <w:tl2br w:val="nil"/>
                    <w:tr2bl w:val="nil"/>
                  </w:tcBorders>
                  <w:noWrap w:val="0"/>
                  <w:vAlign w:val="center"/>
                </w:tcPr>
                <w:p>
                  <w:pPr>
                    <w:pStyle w:val="6"/>
                    <w:bidi w:val="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60" w:type="pct"/>
                  <w:vMerge w:val="continue"/>
                  <w:tcBorders>
                    <w:tl2br w:val="nil"/>
                    <w:tr2bl w:val="nil"/>
                  </w:tcBorders>
                  <w:noWrap w:val="0"/>
                  <w:vAlign w:val="center"/>
                </w:tcPr>
                <w:p>
                  <w:pPr>
                    <w:pStyle w:val="6"/>
                    <w:bidi w:val="0"/>
                    <w:rPr>
                      <w:rFonts w:hint="default"/>
                      <w:lang w:val="en-US" w:eastAsia="zh-CN"/>
                    </w:rPr>
                  </w:pPr>
                </w:p>
              </w:tc>
              <w:tc>
                <w:tcPr>
                  <w:tcW w:w="809" w:type="pct"/>
                  <w:tcBorders>
                    <w:tl2br w:val="nil"/>
                    <w:tr2bl w:val="nil"/>
                  </w:tcBorders>
                  <w:noWrap w:val="0"/>
                  <w:vAlign w:val="center"/>
                </w:tcPr>
                <w:p>
                  <w:pPr>
                    <w:pStyle w:val="6"/>
                    <w:bidi w:val="0"/>
                    <w:rPr>
                      <w:rFonts w:hint="default"/>
                      <w:highlight w:val="none"/>
                      <w:lang w:val="en-US" w:eastAsia="zh-CN"/>
                    </w:rPr>
                  </w:pPr>
                  <w:r>
                    <w:rPr>
                      <w:rFonts w:hint="eastAsia"/>
                      <w:highlight w:val="none"/>
                      <w:lang w:val="en-US" w:eastAsia="zh-CN"/>
                    </w:rPr>
                    <w:t>临时工业区</w:t>
                  </w:r>
                </w:p>
              </w:tc>
              <w:tc>
                <w:tcPr>
                  <w:tcW w:w="3668" w:type="pct"/>
                  <w:tcBorders>
                    <w:tl2br w:val="nil"/>
                    <w:tr2bl w:val="nil"/>
                  </w:tcBorders>
                  <w:noWrap w:val="0"/>
                  <w:vAlign w:val="center"/>
                </w:tcPr>
                <w:p>
                  <w:pPr>
                    <w:pStyle w:val="6"/>
                    <w:bidi w:val="0"/>
                    <w:rPr>
                      <w:rFonts w:hint="default"/>
                      <w:highlight w:val="none"/>
                      <w:lang w:val="en-US" w:eastAsia="zh-CN"/>
                    </w:rPr>
                  </w:pPr>
                  <w:r>
                    <w:rPr>
                      <w:rFonts w:hint="eastAsia"/>
                      <w:highlight w:val="none"/>
                      <w:lang w:val="en-US" w:eastAsia="zh-CN"/>
                    </w:rPr>
                    <w:t>依托库尔干村、亚喀吾斯塘村村民委员会</w:t>
                  </w:r>
                  <w:r>
                    <w:rPr>
                      <w:rFonts w:hint="default"/>
                      <w:highlight w:val="none"/>
                      <w:lang w:val="en-US" w:eastAsia="zh-CN"/>
                    </w:rPr>
                    <w:t>，占地面积为</w:t>
                  </w:r>
                  <w:r>
                    <w:rPr>
                      <w:rFonts w:hint="eastAsia"/>
                      <w:highlight w:val="none"/>
                      <w:lang w:val="en-US" w:eastAsia="zh-CN"/>
                    </w:rPr>
                    <w:t>100</w:t>
                  </w:r>
                  <w:r>
                    <w:rPr>
                      <w:rFonts w:hint="default"/>
                      <w:highlight w:val="none"/>
                      <w:lang w:val="en-US" w:eastAsia="zh-CN"/>
                    </w:rPr>
                    <w:t>0m</w:t>
                  </w:r>
                  <w:r>
                    <w:rPr>
                      <w:rFonts w:hint="default"/>
                      <w:highlight w:val="none"/>
                      <w:vertAlign w:val="superscript"/>
                      <w:lang w:val="en-US" w:eastAsia="zh-CN"/>
                    </w:rPr>
                    <w:t>2</w:t>
                  </w:r>
                  <w:r>
                    <w:rPr>
                      <w:rFonts w:hint="default"/>
                      <w:highlight w:val="none"/>
                      <w:lang w:val="en-US" w:eastAsia="zh-CN"/>
                    </w:rPr>
                    <w:t>，用于堆放篷布</w:t>
                  </w:r>
                  <w:r>
                    <w:rPr>
                      <w:rFonts w:hint="eastAsia"/>
                      <w:highlight w:val="none"/>
                      <w:lang w:val="en-US" w:eastAsia="zh-CN"/>
                    </w:rPr>
                    <w:t>、</w:t>
                  </w:r>
                  <w:r>
                    <w:rPr>
                      <w:rFonts w:hint="default"/>
                      <w:highlight w:val="none"/>
                      <w:lang w:val="en-US" w:eastAsia="zh-CN"/>
                    </w:rPr>
                    <w:t>停放施工设备</w:t>
                  </w:r>
                  <w:r>
                    <w:rPr>
                      <w:rFonts w:hint="eastAsia"/>
                      <w:highlight w:val="none"/>
                      <w:lang w:val="en-US" w:eastAsia="zh-CN"/>
                    </w:rPr>
                    <w:t>。</w:t>
                  </w:r>
                </w:p>
              </w:tc>
              <w:tc>
                <w:tcPr>
                  <w:tcW w:w="261" w:type="pct"/>
                  <w:tcBorders>
                    <w:tl2br w:val="nil"/>
                    <w:tr2bl w:val="nil"/>
                  </w:tcBorders>
                  <w:noWrap w:val="0"/>
                  <w:vAlign w:val="center"/>
                </w:tcPr>
                <w:p>
                  <w:pPr>
                    <w:pStyle w:val="6"/>
                    <w:bidi w:val="0"/>
                    <w:rPr>
                      <w:rFonts w:hint="eastAsia"/>
                      <w:lang w:val="en-US" w:eastAsia="zh-CN"/>
                    </w:rPr>
                  </w:pPr>
                  <w:r>
                    <w:rPr>
                      <w:rFonts w:hint="eastAsia"/>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60" w:type="pct"/>
                  <w:vMerge w:val="continue"/>
                  <w:tcBorders>
                    <w:tl2br w:val="nil"/>
                    <w:tr2bl w:val="nil"/>
                  </w:tcBorders>
                  <w:noWrap w:val="0"/>
                  <w:vAlign w:val="center"/>
                </w:tcPr>
                <w:p>
                  <w:pPr>
                    <w:pStyle w:val="6"/>
                    <w:bidi w:val="0"/>
                    <w:rPr>
                      <w:rFonts w:hint="default"/>
                      <w:lang w:val="en-US" w:eastAsia="zh-CN"/>
                    </w:rPr>
                  </w:pPr>
                </w:p>
              </w:tc>
              <w:tc>
                <w:tcPr>
                  <w:tcW w:w="809" w:type="pct"/>
                  <w:tcBorders>
                    <w:tl2br w:val="nil"/>
                    <w:tr2bl w:val="nil"/>
                  </w:tcBorders>
                  <w:noWrap w:val="0"/>
                  <w:vAlign w:val="center"/>
                </w:tcPr>
                <w:p>
                  <w:pPr>
                    <w:pStyle w:val="6"/>
                    <w:bidi w:val="0"/>
                    <w:rPr>
                      <w:rFonts w:hint="default"/>
                      <w:highlight w:val="none"/>
                      <w:lang w:val="en-US" w:eastAsia="zh-CN"/>
                    </w:rPr>
                  </w:pPr>
                  <w:r>
                    <w:rPr>
                      <w:rFonts w:hint="eastAsia"/>
                      <w:highlight w:val="none"/>
                      <w:lang w:val="en-US" w:eastAsia="zh-CN"/>
                    </w:rPr>
                    <w:t>临时堆渣区</w:t>
                  </w:r>
                </w:p>
              </w:tc>
              <w:tc>
                <w:tcPr>
                  <w:tcW w:w="3668" w:type="pct"/>
                  <w:tcBorders>
                    <w:tl2br w:val="nil"/>
                    <w:tr2bl w:val="nil"/>
                  </w:tcBorders>
                  <w:noWrap w:val="0"/>
                  <w:vAlign w:val="center"/>
                </w:tcPr>
                <w:p>
                  <w:pPr>
                    <w:pStyle w:val="6"/>
                    <w:bidi w:val="0"/>
                    <w:rPr>
                      <w:rFonts w:hint="eastAsia"/>
                      <w:highlight w:val="none"/>
                      <w:lang w:val="en-US" w:eastAsia="zh-CN"/>
                    </w:rPr>
                  </w:pPr>
                  <w:r>
                    <w:rPr>
                      <w:rFonts w:hint="eastAsia"/>
                      <w:highlight w:val="none"/>
                      <w:lang w:val="en-US" w:eastAsia="zh-CN"/>
                    </w:rPr>
                    <w:t>占地面积1000m</w:t>
                  </w:r>
                  <w:r>
                    <w:rPr>
                      <w:rFonts w:hint="eastAsia"/>
                      <w:highlight w:val="none"/>
                      <w:vertAlign w:val="superscript"/>
                      <w:lang w:val="en-US" w:eastAsia="zh-CN"/>
                    </w:rPr>
                    <w:t>2</w:t>
                  </w:r>
                  <w:r>
                    <w:rPr>
                      <w:rFonts w:hint="eastAsia"/>
                      <w:highlight w:val="none"/>
                      <w:lang w:val="en-US" w:eastAsia="zh-CN"/>
                    </w:rPr>
                    <w:t>，位于渠道两侧边坡，主要堆放渠道挖掘废弃物，单次堆存时间不超过2天。</w:t>
                  </w:r>
                </w:p>
              </w:tc>
              <w:tc>
                <w:tcPr>
                  <w:tcW w:w="261" w:type="pct"/>
                  <w:tcBorders>
                    <w:tl2br w:val="nil"/>
                    <w:tr2bl w:val="nil"/>
                  </w:tcBorders>
                  <w:noWrap w:val="0"/>
                  <w:vAlign w:val="center"/>
                </w:tcPr>
                <w:p>
                  <w:pPr>
                    <w:pStyle w:val="6"/>
                    <w:bidi w:val="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60" w:type="pct"/>
                  <w:vMerge w:val="continue"/>
                  <w:tcBorders>
                    <w:tl2br w:val="nil"/>
                    <w:tr2bl w:val="nil"/>
                  </w:tcBorders>
                  <w:noWrap w:val="0"/>
                  <w:vAlign w:val="center"/>
                </w:tcPr>
                <w:p>
                  <w:pPr>
                    <w:pStyle w:val="6"/>
                    <w:bidi w:val="0"/>
                    <w:rPr>
                      <w:rFonts w:hint="default"/>
                      <w:lang w:val="en-US" w:eastAsia="zh-CN"/>
                    </w:rPr>
                  </w:pPr>
                </w:p>
              </w:tc>
              <w:tc>
                <w:tcPr>
                  <w:tcW w:w="809" w:type="pct"/>
                  <w:tcBorders>
                    <w:tl2br w:val="nil"/>
                    <w:tr2bl w:val="nil"/>
                  </w:tcBorders>
                  <w:shd w:val="clear" w:color="auto" w:fill="auto"/>
                  <w:noWrap w:val="0"/>
                  <w:vAlign w:val="center"/>
                </w:tcPr>
                <w:p>
                  <w:pPr>
                    <w:pStyle w:val="6"/>
                    <w:bidi w:val="0"/>
                    <w:ind w:firstLine="0" w:firstLineChars="0"/>
                    <w:rPr>
                      <w:rFonts w:hint="eastAsia" w:ascii="Times New Roman" w:hAnsi="Times New Roman" w:eastAsia="宋体" w:cs="Times New Roman"/>
                      <w:kern w:val="2"/>
                      <w:sz w:val="21"/>
                      <w:szCs w:val="21"/>
                      <w:lang w:val="en-US" w:eastAsia="zh-CN" w:bidi="ar-SA"/>
                    </w:rPr>
                  </w:pPr>
                  <w:r>
                    <w:rPr>
                      <w:rFonts w:hint="default"/>
                      <w:lang w:val="en-US" w:eastAsia="zh-CN"/>
                    </w:rPr>
                    <w:t>临时道路</w:t>
                  </w:r>
                </w:p>
              </w:tc>
              <w:tc>
                <w:tcPr>
                  <w:tcW w:w="3668" w:type="pct"/>
                  <w:tcBorders>
                    <w:tl2br w:val="nil"/>
                    <w:tr2bl w:val="nil"/>
                  </w:tcBorders>
                  <w:shd w:val="clear" w:color="auto" w:fill="auto"/>
                  <w:noWrap w:val="0"/>
                  <w:vAlign w:val="center"/>
                </w:tcPr>
                <w:p>
                  <w:pPr>
                    <w:pStyle w:val="6"/>
                    <w:bidi w:val="0"/>
                    <w:ind w:firstLine="0" w:firstLineChars="0"/>
                    <w:rPr>
                      <w:rFonts w:hint="default" w:ascii="Times New Roman" w:hAnsi="Times New Roman" w:eastAsia="宋体" w:cs="Times New Roman"/>
                      <w:kern w:val="2"/>
                      <w:sz w:val="21"/>
                      <w:szCs w:val="21"/>
                      <w:lang w:val="en-US" w:eastAsia="zh-CN" w:bidi="ar-SA"/>
                    </w:rPr>
                  </w:pPr>
                  <w:r>
                    <w:rPr>
                      <w:rFonts w:hint="default"/>
                      <w:lang w:val="en-US" w:eastAsia="zh-CN"/>
                    </w:rPr>
                    <w:t>工程沿线有乡间柏油路及乡村道路，工程施工时可作为施工临时道路。</w:t>
                  </w:r>
                </w:p>
              </w:tc>
              <w:tc>
                <w:tcPr>
                  <w:tcW w:w="261" w:type="pct"/>
                  <w:tcBorders>
                    <w:tl2br w:val="nil"/>
                    <w:tr2bl w:val="nil"/>
                  </w:tcBorders>
                  <w:noWrap w:val="0"/>
                  <w:vAlign w:val="center"/>
                </w:tcPr>
                <w:p>
                  <w:pPr>
                    <w:pStyle w:val="6"/>
                    <w:bidi w:val="0"/>
                    <w:rPr>
                      <w:rFonts w:hint="eastAsia"/>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60" w:type="pct"/>
                  <w:vMerge w:val="restart"/>
                  <w:tcBorders>
                    <w:tl2br w:val="nil"/>
                    <w:tr2bl w:val="nil"/>
                  </w:tcBorders>
                  <w:noWrap w:val="0"/>
                  <w:vAlign w:val="center"/>
                </w:tcPr>
                <w:p>
                  <w:pPr>
                    <w:pStyle w:val="6"/>
                    <w:bidi w:val="0"/>
                    <w:rPr>
                      <w:rFonts w:hint="default"/>
                    </w:rPr>
                  </w:pPr>
                  <w:r>
                    <w:rPr>
                      <w:rFonts w:hint="default"/>
                    </w:rPr>
                    <w:t>公用工程</w:t>
                  </w:r>
                </w:p>
              </w:tc>
              <w:tc>
                <w:tcPr>
                  <w:tcW w:w="809" w:type="pct"/>
                  <w:tcBorders>
                    <w:tl2br w:val="nil"/>
                    <w:tr2bl w:val="nil"/>
                  </w:tcBorders>
                  <w:noWrap w:val="0"/>
                  <w:vAlign w:val="center"/>
                </w:tcPr>
                <w:p>
                  <w:pPr>
                    <w:pStyle w:val="6"/>
                    <w:bidi w:val="0"/>
                    <w:rPr>
                      <w:rFonts w:hint="default"/>
                      <w:highlight w:val="none"/>
                      <w:lang w:val="en-US" w:eastAsia="zh-CN"/>
                    </w:rPr>
                  </w:pPr>
                  <w:r>
                    <w:rPr>
                      <w:rFonts w:hint="default"/>
                      <w:highlight w:val="none"/>
                    </w:rPr>
                    <w:t>供</w:t>
                  </w:r>
                  <w:r>
                    <w:rPr>
                      <w:rFonts w:hint="default"/>
                      <w:highlight w:val="none"/>
                      <w:lang w:val="en-US" w:eastAsia="zh-CN"/>
                    </w:rPr>
                    <w:t>水</w:t>
                  </w:r>
                </w:p>
              </w:tc>
              <w:tc>
                <w:tcPr>
                  <w:tcW w:w="3668" w:type="pct"/>
                  <w:tcBorders>
                    <w:tl2br w:val="nil"/>
                    <w:tr2bl w:val="nil"/>
                  </w:tcBorders>
                  <w:noWrap w:val="0"/>
                  <w:vAlign w:val="center"/>
                </w:tcPr>
                <w:p>
                  <w:pPr>
                    <w:pStyle w:val="6"/>
                    <w:bidi w:val="0"/>
                    <w:rPr>
                      <w:rFonts w:hint="default"/>
                      <w:highlight w:val="none"/>
                      <w:lang w:val="en-US" w:eastAsia="zh-CN"/>
                    </w:rPr>
                  </w:pPr>
                  <w:r>
                    <w:rPr>
                      <w:rFonts w:hint="default"/>
                      <w:highlight w:val="none"/>
                      <w:lang w:val="en-US" w:eastAsia="zh-CN"/>
                    </w:rPr>
                    <w:t>施工用水从附近</w:t>
                  </w:r>
                  <w:r>
                    <w:rPr>
                      <w:rFonts w:hint="eastAsia"/>
                      <w:highlight w:val="none"/>
                      <w:lang w:val="en-US" w:eastAsia="zh-CN"/>
                    </w:rPr>
                    <w:t>村庄拉运。</w:t>
                  </w:r>
                </w:p>
              </w:tc>
              <w:tc>
                <w:tcPr>
                  <w:tcW w:w="261" w:type="pct"/>
                  <w:tcBorders>
                    <w:tl2br w:val="nil"/>
                    <w:tr2bl w:val="nil"/>
                  </w:tcBorders>
                  <w:noWrap w:val="0"/>
                  <w:vAlign w:val="center"/>
                </w:tcPr>
                <w:p>
                  <w:pPr>
                    <w:pStyle w:val="6"/>
                    <w:bidi w:val="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60" w:type="pct"/>
                  <w:vMerge w:val="continue"/>
                  <w:tcBorders>
                    <w:tl2br w:val="nil"/>
                    <w:tr2bl w:val="nil"/>
                  </w:tcBorders>
                  <w:noWrap w:val="0"/>
                  <w:vAlign w:val="center"/>
                </w:tcPr>
                <w:p>
                  <w:pPr>
                    <w:pStyle w:val="6"/>
                    <w:bidi w:val="0"/>
                    <w:rPr>
                      <w:rFonts w:hint="default"/>
                    </w:rPr>
                  </w:pPr>
                </w:p>
              </w:tc>
              <w:tc>
                <w:tcPr>
                  <w:tcW w:w="809" w:type="pct"/>
                  <w:tcBorders>
                    <w:tl2br w:val="nil"/>
                    <w:tr2bl w:val="nil"/>
                  </w:tcBorders>
                  <w:noWrap w:val="0"/>
                  <w:vAlign w:val="center"/>
                </w:tcPr>
                <w:p>
                  <w:pPr>
                    <w:pStyle w:val="6"/>
                    <w:bidi w:val="0"/>
                    <w:rPr>
                      <w:rFonts w:hint="default"/>
                      <w:lang w:val="en-US" w:eastAsia="zh-CN"/>
                    </w:rPr>
                  </w:pPr>
                  <w:r>
                    <w:rPr>
                      <w:rFonts w:hint="default"/>
                      <w:lang w:val="en-US" w:eastAsia="zh-CN"/>
                    </w:rPr>
                    <w:t>排水</w:t>
                  </w:r>
                </w:p>
              </w:tc>
              <w:tc>
                <w:tcPr>
                  <w:tcW w:w="3668" w:type="pct"/>
                  <w:tcBorders>
                    <w:tl2br w:val="nil"/>
                    <w:tr2bl w:val="nil"/>
                  </w:tcBorders>
                  <w:noWrap w:val="0"/>
                  <w:vAlign w:val="center"/>
                </w:tcPr>
                <w:p>
                  <w:pPr>
                    <w:pStyle w:val="6"/>
                    <w:bidi w:val="0"/>
                    <w:rPr>
                      <w:rFonts w:hint="default"/>
                      <w:lang w:val="en-US" w:eastAsia="zh-CN"/>
                    </w:rPr>
                  </w:pPr>
                  <w:r>
                    <w:rPr>
                      <w:rFonts w:hint="default"/>
                      <w:lang w:val="en-US" w:eastAsia="zh-CN"/>
                    </w:rPr>
                    <w:t>生产废水设置临时沉淀池收集，沉淀后用于洒水抑尘</w:t>
                  </w:r>
                  <w:r>
                    <w:rPr>
                      <w:rFonts w:hint="eastAsia"/>
                      <w:lang w:val="en-US" w:eastAsia="zh-CN"/>
                    </w:rPr>
                    <w:t>；本项目施工人员均来自附近乡镇，不设置临时生活区，施工生活污水依托民房现有设施解决。</w:t>
                  </w:r>
                </w:p>
              </w:tc>
              <w:tc>
                <w:tcPr>
                  <w:tcW w:w="261" w:type="pct"/>
                  <w:tcBorders>
                    <w:tl2br w:val="nil"/>
                    <w:tr2bl w:val="nil"/>
                  </w:tcBorders>
                  <w:noWrap w:val="0"/>
                  <w:vAlign w:val="center"/>
                </w:tcPr>
                <w:p>
                  <w:pPr>
                    <w:pStyle w:val="6"/>
                    <w:bidi w:val="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tcBorders>
                    <w:tl2br w:val="nil"/>
                    <w:tr2bl w:val="nil"/>
                  </w:tcBorders>
                  <w:noWrap w:val="0"/>
                  <w:vAlign w:val="center"/>
                </w:tcPr>
                <w:p>
                  <w:pPr>
                    <w:pStyle w:val="6"/>
                    <w:bidi w:val="0"/>
                    <w:rPr>
                      <w:rFonts w:hint="default"/>
                    </w:rPr>
                  </w:pPr>
                </w:p>
              </w:tc>
              <w:tc>
                <w:tcPr>
                  <w:tcW w:w="1318" w:type="dxa"/>
                  <w:tcBorders>
                    <w:tl2br w:val="nil"/>
                    <w:tr2bl w:val="nil"/>
                  </w:tcBorders>
                  <w:noWrap w:val="0"/>
                  <w:vAlign w:val="center"/>
                </w:tcPr>
                <w:p>
                  <w:pPr>
                    <w:pStyle w:val="6"/>
                    <w:bidi w:val="0"/>
                    <w:ind w:firstLine="0" w:firstLineChars="0"/>
                    <w:rPr>
                      <w:rFonts w:hint="default"/>
                    </w:rPr>
                  </w:pPr>
                  <w:r>
                    <w:rPr>
                      <w:rFonts w:hint="default"/>
                    </w:rPr>
                    <w:t>供电</w:t>
                  </w:r>
                </w:p>
              </w:tc>
              <w:tc>
                <w:tcPr>
                  <w:tcW w:w="5975" w:type="dxa"/>
                  <w:tcBorders>
                    <w:tl2br w:val="nil"/>
                    <w:tr2bl w:val="nil"/>
                  </w:tcBorders>
                  <w:noWrap w:val="0"/>
                  <w:vAlign w:val="center"/>
                </w:tcPr>
                <w:p>
                  <w:pPr>
                    <w:pStyle w:val="6"/>
                    <w:bidi w:val="0"/>
                    <w:ind w:firstLine="0" w:firstLineChars="0"/>
                    <w:rPr>
                      <w:rFonts w:hint="default"/>
                      <w:lang w:val="en-US" w:eastAsia="zh-CN"/>
                    </w:rPr>
                  </w:pPr>
                  <w:r>
                    <w:rPr>
                      <w:rFonts w:hint="eastAsia"/>
                      <w:lang w:val="en-US" w:eastAsia="zh-CN"/>
                    </w:rPr>
                    <w:t>5</w:t>
                  </w:r>
                  <w:r>
                    <w:rPr>
                      <w:rFonts w:hint="default"/>
                      <w:lang w:val="en-US" w:eastAsia="zh-CN"/>
                    </w:rPr>
                    <w:t>0%电网供电，</w:t>
                  </w:r>
                  <w:r>
                    <w:rPr>
                      <w:rFonts w:hint="eastAsia"/>
                      <w:lang w:val="en-US" w:eastAsia="zh-CN"/>
                    </w:rPr>
                    <w:t>5</w:t>
                  </w:r>
                  <w:r>
                    <w:rPr>
                      <w:rFonts w:hint="default"/>
                      <w:lang w:val="en-US" w:eastAsia="zh-CN"/>
                    </w:rPr>
                    <w:t>0%自备柴油发电机供电</w:t>
                  </w:r>
                  <w:r>
                    <w:rPr>
                      <w:rFonts w:hint="eastAsia"/>
                      <w:lang w:val="en-US" w:eastAsia="zh-CN"/>
                    </w:rPr>
                    <w:t>。</w:t>
                  </w:r>
                </w:p>
              </w:tc>
              <w:tc>
                <w:tcPr>
                  <w:tcW w:w="261" w:type="pct"/>
                  <w:tcBorders>
                    <w:tl2br w:val="nil"/>
                    <w:tr2bl w:val="nil"/>
                  </w:tcBorders>
                  <w:noWrap w:val="0"/>
                  <w:vAlign w:val="center"/>
                </w:tcPr>
                <w:p>
                  <w:pPr>
                    <w:pStyle w:val="6"/>
                    <w:bidi w:val="0"/>
                    <w:rPr>
                      <w:rFonts w:hint="default"/>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tcBorders>
                    <w:tl2br w:val="nil"/>
                    <w:tr2bl w:val="nil"/>
                  </w:tcBorders>
                  <w:noWrap w:val="0"/>
                  <w:vAlign w:val="center"/>
                </w:tcPr>
                <w:p>
                  <w:pPr>
                    <w:pStyle w:val="6"/>
                    <w:bidi w:val="0"/>
                    <w:rPr>
                      <w:rFonts w:hint="default"/>
                    </w:rPr>
                  </w:pPr>
                </w:p>
              </w:tc>
              <w:tc>
                <w:tcPr>
                  <w:tcW w:w="1318" w:type="dxa"/>
                  <w:tcBorders>
                    <w:tl2br w:val="nil"/>
                    <w:tr2bl w:val="nil"/>
                  </w:tcBorders>
                  <w:noWrap w:val="0"/>
                  <w:vAlign w:val="center"/>
                </w:tcPr>
                <w:p>
                  <w:pPr>
                    <w:pStyle w:val="6"/>
                    <w:bidi w:val="0"/>
                    <w:ind w:firstLine="0" w:firstLineChars="0"/>
                    <w:rPr>
                      <w:rFonts w:hint="default"/>
                    </w:rPr>
                  </w:pPr>
                  <w:r>
                    <w:rPr>
                      <w:rFonts w:hint="default"/>
                    </w:rPr>
                    <w:t>供热</w:t>
                  </w:r>
                </w:p>
              </w:tc>
              <w:tc>
                <w:tcPr>
                  <w:tcW w:w="5975" w:type="dxa"/>
                  <w:tcBorders>
                    <w:tl2br w:val="nil"/>
                    <w:tr2bl w:val="nil"/>
                  </w:tcBorders>
                  <w:noWrap w:val="0"/>
                  <w:vAlign w:val="center"/>
                </w:tcPr>
                <w:p>
                  <w:pPr>
                    <w:pStyle w:val="6"/>
                    <w:bidi w:val="0"/>
                    <w:ind w:firstLine="0" w:firstLineChars="0"/>
                    <w:rPr>
                      <w:rFonts w:hint="default"/>
                      <w:lang w:val="en-US" w:eastAsia="zh-CN"/>
                    </w:rPr>
                  </w:pPr>
                  <w:r>
                    <w:rPr>
                      <w:rFonts w:hint="default"/>
                      <w:lang w:val="en-US" w:eastAsia="zh-CN"/>
                    </w:rPr>
                    <w:t>本项目无需供热。</w:t>
                  </w:r>
                </w:p>
              </w:tc>
              <w:tc>
                <w:tcPr>
                  <w:tcW w:w="261" w:type="pct"/>
                  <w:tcBorders>
                    <w:tl2br w:val="nil"/>
                    <w:tr2bl w:val="nil"/>
                  </w:tcBorders>
                  <w:noWrap w:val="0"/>
                  <w:vAlign w:val="center"/>
                </w:tcPr>
                <w:p>
                  <w:pPr>
                    <w:pStyle w:val="6"/>
                    <w:bidi w:val="0"/>
                    <w:rPr>
                      <w:rFonts w:hint="default"/>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restart"/>
                  <w:tcBorders>
                    <w:tl2br w:val="nil"/>
                    <w:tr2bl w:val="nil"/>
                  </w:tcBorders>
                  <w:noWrap w:val="0"/>
                  <w:vAlign w:val="center"/>
                </w:tcPr>
                <w:p>
                  <w:pPr>
                    <w:pStyle w:val="6"/>
                    <w:bidi w:val="0"/>
                    <w:rPr>
                      <w:rFonts w:hint="default"/>
                    </w:rPr>
                  </w:pPr>
                  <w:r>
                    <w:rPr>
                      <w:rFonts w:hint="default"/>
                    </w:rPr>
                    <w:t>环保工程</w:t>
                  </w:r>
                </w:p>
              </w:tc>
              <w:tc>
                <w:tcPr>
                  <w:tcW w:w="809" w:type="pct"/>
                  <w:tcBorders>
                    <w:tl2br w:val="nil"/>
                    <w:tr2bl w:val="nil"/>
                  </w:tcBorders>
                  <w:noWrap w:val="0"/>
                  <w:vAlign w:val="center"/>
                </w:tcPr>
                <w:p>
                  <w:pPr>
                    <w:pStyle w:val="6"/>
                    <w:bidi w:val="0"/>
                    <w:rPr>
                      <w:rFonts w:hint="default"/>
                    </w:rPr>
                  </w:pPr>
                  <w:r>
                    <w:rPr>
                      <w:rFonts w:hint="default"/>
                    </w:rPr>
                    <w:t>废气治理</w:t>
                  </w:r>
                </w:p>
              </w:tc>
              <w:tc>
                <w:tcPr>
                  <w:tcW w:w="3668" w:type="pct"/>
                  <w:tcBorders>
                    <w:tl2br w:val="nil"/>
                    <w:tr2bl w:val="nil"/>
                  </w:tcBorders>
                  <w:noWrap w:val="0"/>
                  <w:vAlign w:val="center"/>
                </w:tcPr>
                <w:p>
                  <w:pPr>
                    <w:pStyle w:val="6"/>
                    <w:bidi w:val="0"/>
                    <w:rPr>
                      <w:rFonts w:hint="default"/>
                      <w:lang w:val="en-US" w:eastAsia="zh-CN"/>
                    </w:rPr>
                  </w:pPr>
                  <w:r>
                    <w:rPr>
                      <w:rFonts w:hint="default"/>
                      <w:lang w:val="en-US" w:eastAsia="zh-CN"/>
                    </w:rPr>
                    <w:t>施工道路洒水抑尘</w:t>
                  </w:r>
                  <w:r>
                    <w:rPr>
                      <w:rFonts w:hint="default"/>
                      <w:lang w:eastAsia="zh-CN"/>
                    </w:rPr>
                    <w:t>；</w:t>
                  </w:r>
                  <w:r>
                    <w:rPr>
                      <w:rFonts w:hint="default"/>
                      <w:lang w:val="en-US" w:eastAsia="zh-CN"/>
                    </w:rPr>
                    <w:t>物料由料场运输至</w:t>
                  </w:r>
                  <w:r>
                    <w:rPr>
                      <w:rFonts w:hint="eastAsia"/>
                      <w:lang w:val="en-US" w:eastAsia="zh-CN"/>
                    </w:rPr>
                    <w:t>施工区</w:t>
                  </w:r>
                  <w:r>
                    <w:rPr>
                      <w:rFonts w:hint="default"/>
                      <w:lang w:val="en-US" w:eastAsia="zh-CN"/>
                    </w:rPr>
                    <w:t>临时堆放</w:t>
                  </w:r>
                  <w:r>
                    <w:rPr>
                      <w:rFonts w:hint="eastAsia"/>
                      <w:lang w:val="en-US" w:eastAsia="zh-CN"/>
                    </w:rPr>
                    <w:t>，单次堆存时间不超过2天</w:t>
                  </w:r>
                  <w:r>
                    <w:rPr>
                      <w:rFonts w:hint="default"/>
                      <w:lang w:val="en-US" w:eastAsia="zh-CN"/>
                    </w:rPr>
                    <w:t>，设置防尘网覆盖，定期洒水；运输车辆用</w:t>
                  </w:r>
                  <w:r>
                    <w:rPr>
                      <w:rFonts w:hint="eastAsia"/>
                      <w:lang w:val="en-US" w:eastAsia="zh-CN"/>
                    </w:rPr>
                    <w:t>篷布苫盖</w:t>
                  </w:r>
                  <w:r>
                    <w:rPr>
                      <w:rFonts w:hint="default"/>
                      <w:lang w:val="en-US" w:eastAsia="zh-CN"/>
                    </w:rPr>
                    <w:t>，减少施工扬尘</w:t>
                  </w:r>
                  <w:r>
                    <w:rPr>
                      <w:rFonts w:hint="eastAsia"/>
                      <w:lang w:val="en-US" w:eastAsia="zh-CN"/>
                    </w:rPr>
                    <w:t>；基础开挖的土方堆放于渠道两侧边坡，定期洒水单次堆存时间不超过2天。</w:t>
                  </w:r>
                </w:p>
              </w:tc>
              <w:tc>
                <w:tcPr>
                  <w:tcW w:w="261" w:type="pct"/>
                  <w:tcBorders>
                    <w:tl2br w:val="nil"/>
                    <w:tr2bl w:val="nil"/>
                  </w:tcBorders>
                  <w:noWrap w:val="0"/>
                  <w:vAlign w:val="center"/>
                </w:tcPr>
                <w:p>
                  <w:pPr>
                    <w:pStyle w:val="6"/>
                    <w:bidi w:val="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tcBorders>
                    <w:tl2br w:val="nil"/>
                    <w:tr2bl w:val="nil"/>
                  </w:tcBorders>
                  <w:noWrap w:val="0"/>
                  <w:vAlign w:val="center"/>
                </w:tcPr>
                <w:p>
                  <w:pPr>
                    <w:pStyle w:val="6"/>
                    <w:bidi w:val="0"/>
                    <w:rPr>
                      <w:rFonts w:hint="default"/>
                    </w:rPr>
                  </w:pPr>
                </w:p>
              </w:tc>
              <w:tc>
                <w:tcPr>
                  <w:tcW w:w="809" w:type="pct"/>
                  <w:tcBorders>
                    <w:tl2br w:val="nil"/>
                    <w:tr2bl w:val="nil"/>
                  </w:tcBorders>
                  <w:noWrap w:val="0"/>
                  <w:vAlign w:val="center"/>
                </w:tcPr>
                <w:p>
                  <w:pPr>
                    <w:pStyle w:val="6"/>
                    <w:bidi w:val="0"/>
                    <w:rPr>
                      <w:rFonts w:hint="default" w:eastAsia="宋体"/>
                      <w:lang w:val="en-US" w:eastAsia="zh-CN"/>
                    </w:rPr>
                  </w:pPr>
                  <w:r>
                    <w:rPr>
                      <w:rFonts w:hint="eastAsia"/>
                      <w:lang w:val="en-US" w:eastAsia="zh-CN"/>
                    </w:rPr>
                    <w:t>废水治理</w:t>
                  </w:r>
                </w:p>
              </w:tc>
              <w:tc>
                <w:tcPr>
                  <w:tcW w:w="3668" w:type="pct"/>
                  <w:tcBorders>
                    <w:tl2br w:val="nil"/>
                    <w:tr2bl w:val="nil"/>
                  </w:tcBorders>
                  <w:noWrap w:val="0"/>
                  <w:vAlign w:val="center"/>
                </w:tcPr>
                <w:p>
                  <w:pPr>
                    <w:pStyle w:val="6"/>
                    <w:bidi w:val="0"/>
                    <w:rPr>
                      <w:rFonts w:hint="default"/>
                      <w:lang w:val="en-US" w:eastAsia="zh-CN"/>
                    </w:rPr>
                  </w:pPr>
                  <w:r>
                    <w:rPr>
                      <w:rFonts w:hint="default"/>
                      <w:lang w:val="en-US" w:eastAsia="zh-CN"/>
                    </w:rPr>
                    <w:t>生产废水设置临时沉淀池收集，沉淀后用于洒水抑尘；本项目施工人员均来自附近乡镇，不设置临时生活区，施工生活污水依托民房现有设施解决。</w:t>
                  </w:r>
                </w:p>
              </w:tc>
              <w:tc>
                <w:tcPr>
                  <w:tcW w:w="261" w:type="pct"/>
                  <w:tcBorders>
                    <w:tl2br w:val="nil"/>
                    <w:tr2bl w:val="nil"/>
                  </w:tcBorders>
                  <w:noWrap w:val="0"/>
                  <w:vAlign w:val="center"/>
                </w:tcPr>
                <w:p>
                  <w:pPr>
                    <w:pStyle w:val="6"/>
                    <w:bidi w:val="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tcBorders>
                    <w:tl2br w:val="nil"/>
                    <w:tr2bl w:val="nil"/>
                  </w:tcBorders>
                  <w:noWrap w:val="0"/>
                  <w:vAlign w:val="center"/>
                </w:tcPr>
                <w:p>
                  <w:pPr>
                    <w:pStyle w:val="6"/>
                    <w:bidi w:val="0"/>
                    <w:rPr>
                      <w:rFonts w:hint="default"/>
                    </w:rPr>
                  </w:pPr>
                </w:p>
              </w:tc>
              <w:tc>
                <w:tcPr>
                  <w:tcW w:w="809" w:type="pct"/>
                  <w:tcBorders>
                    <w:tl2br w:val="nil"/>
                    <w:tr2bl w:val="nil"/>
                  </w:tcBorders>
                  <w:noWrap w:val="0"/>
                  <w:vAlign w:val="center"/>
                </w:tcPr>
                <w:p>
                  <w:pPr>
                    <w:pStyle w:val="6"/>
                    <w:bidi w:val="0"/>
                    <w:rPr>
                      <w:rFonts w:hint="default"/>
                    </w:rPr>
                  </w:pPr>
                  <w:r>
                    <w:rPr>
                      <w:rFonts w:hint="default"/>
                    </w:rPr>
                    <w:t>噪声治理</w:t>
                  </w:r>
                </w:p>
              </w:tc>
              <w:tc>
                <w:tcPr>
                  <w:tcW w:w="3668" w:type="pct"/>
                  <w:tcBorders>
                    <w:tl2br w:val="nil"/>
                    <w:tr2bl w:val="nil"/>
                  </w:tcBorders>
                  <w:noWrap w:val="0"/>
                  <w:vAlign w:val="center"/>
                </w:tcPr>
                <w:p>
                  <w:pPr>
                    <w:pStyle w:val="6"/>
                    <w:bidi w:val="0"/>
                    <w:rPr>
                      <w:rFonts w:hint="eastAsia"/>
                      <w:lang w:eastAsia="zh-CN"/>
                    </w:rPr>
                  </w:pPr>
                  <w:r>
                    <w:rPr>
                      <w:rFonts w:hint="default"/>
                    </w:rPr>
                    <w:t>合理安排施工时间，施工设备合理布局，加强施工管理，避免高噪声设备同时运行</w:t>
                  </w:r>
                  <w:r>
                    <w:rPr>
                      <w:rFonts w:hint="default"/>
                      <w:lang w:eastAsia="zh-CN"/>
                    </w:rPr>
                    <w:t>、</w:t>
                  </w:r>
                  <w:r>
                    <w:rPr>
                      <w:rFonts w:hint="default"/>
                    </w:rPr>
                    <w:t>基础减振等</w:t>
                  </w:r>
                  <w:r>
                    <w:rPr>
                      <w:rFonts w:hint="eastAsia"/>
                      <w:lang w:eastAsia="zh-CN"/>
                    </w:rPr>
                    <w:t>。</w:t>
                  </w:r>
                </w:p>
              </w:tc>
              <w:tc>
                <w:tcPr>
                  <w:tcW w:w="261" w:type="pct"/>
                  <w:tcBorders>
                    <w:tl2br w:val="nil"/>
                    <w:tr2bl w:val="nil"/>
                  </w:tcBorders>
                  <w:noWrap w:val="0"/>
                  <w:vAlign w:val="center"/>
                </w:tcPr>
                <w:p>
                  <w:pPr>
                    <w:pStyle w:val="6"/>
                    <w:bidi w:val="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tcBorders>
                    <w:tl2br w:val="nil"/>
                    <w:tr2bl w:val="nil"/>
                  </w:tcBorders>
                  <w:noWrap w:val="0"/>
                  <w:vAlign w:val="center"/>
                </w:tcPr>
                <w:p>
                  <w:pPr>
                    <w:pStyle w:val="6"/>
                    <w:bidi w:val="0"/>
                    <w:rPr>
                      <w:rFonts w:hint="default"/>
                    </w:rPr>
                  </w:pPr>
                </w:p>
              </w:tc>
              <w:tc>
                <w:tcPr>
                  <w:tcW w:w="809" w:type="pct"/>
                  <w:tcBorders>
                    <w:tl2br w:val="nil"/>
                    <w:tr2bl w:val="nil"/>
                  </w:tcBorders>
                  <w:noWrap w:val="0"/>
                  <w:vAlign w:val="center"/>
                </w:tcPr>
                <w:p>
                  <w:pPr>
                    <w:pStyle w:val="6"/>
                    <w:bidi w:val="0"/>
                    <w:rPr>
                      <w:rFonts w:hint="default"/>
                    </w:rPr>
                  </w:pPr>
                  <w:r>
                    <w:rPr>
                      <w:rFonts w:hint="default"/>
                    </w:rPr>
                    <w:t>固废治理</w:t>
                  </w:r>
                </w:p>
              </w:tc>
              <w:tc>
                <w:tcPr>
                  <w:tcW w:w="3668" w:type="pct"/>
                  <w:tcBorders>
                    <w:tl2br w:val="nil"/>
                    <w:tr2bl w:val="nil"/>
                  </w:tcBorders>
                  <w:noWrap w:val="0"/>
                  <w:vAlign w:val="center"/>
                </w:tcPr>
                <w:p>
                  <w:pPr>
                    <w:pStyle w:val="6"/>
                    <w:bidi w:val="0"/>
                    <w:jc w:val="both"/>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（1）弃土：用于填筑渠堤、沿渠道摊平压实；</w:t>
                  </w:r>
                </w:p>
                <w:p>
                  <w:pPr>
                    <w:pStyle w:val="6"/>
                    <w:bidi w:val="0"/>
                    <w:jc w:val="both"/>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（2）建筑垃圾：废钢筋、废铁皮、废包装等收集外售，拆除的现有堤防废混凝土、沉淀池底泥、混凝土废渣等建筑垃圾清运至当地市政环卫主管部门指定地点填埋处置。</w:t>
                  </w:r>
                </w:p>
                <w:p>
                  <w:pPr>
                    <w:pStyle w:val="6"/>
                    <w:bidi w:val="0"/>
                    <w:jc w:val="both"/>
                    <w:rPr>
                      <w:rFonts w:hint="default"/>
                      <w:lang w:val="en-US" w:eastAsia="zh-CN"/>
                    </w:rPr>
                  </w:pPr>
                  <w:r>
                    <w:rPr>
                      <w:rFonts w:hint="eastAsia" w:ascii="Times New Roman" w:hAnsi="Times New Roman" w:cs="Times New Roman"/>
                      <w:highlight w:val="none"/>
                      <w:lang w:val="en-US" w:eastAsia="zh-CN"/>
                    </w:rPr>
                    <w:t>（3）生活垃圾：项目不设置临时生活区，产生的生活垃圾由乡镇环卫部门统一收集。</w:t>
                  </w:r>
                </w:p>
              </w:tc>
              <w:tc>
                <w:tcPr>
                  <w:tcW w:w="261" w:type="pct"/>
                  <w:tcBorders>
                    <w:tl2br w:val="nil"/>
                    <w:tr2bl w:val="nil"/>
                  </w:tcBorders>
                  <w:noWrap w:val="0"/>
                  <w:vAlign w:val="center"/>
                </w:tcPr>
                <w:p>
                  <w:pPr>
                    <w:pStyle w:val="6"/>
                    <w:bidi w:val="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0" w:type="pct"/>
                  <w:vMerge w:val="continue"/>
                  <w:tcBorders>
                    <w:tl2br w:val="nil"/>
                    <w:tr2bl w:val="nil"/>
                  </w:tcBorders>
                  <w:noWrap w:val="0"/>
                  <w:vAlign w:val="center"/>
                </w:tcPr>
                <w:p>
                  <w:pPr>
                    <w:pStyle w:val="6"/>
                    <w:bidi w:val="0"/>
                    <w:rPr>
                      <w:rFonts w:hint="default"/>
                    </w:rPr>
                  </w:pPr>
                </w:p>
              </w:tc>
              <w:tc>
                <w:tcPr>
                  <w:tcW w:w="809" w:type="pct"/>
                  <w:tcBorders>
                    <w:tl2br w:val="nil"/>
                    <w:tr2bl w:val="nil"/>
                  </w:tcBorders>
                  <w:noWrap w:val="0"/>
                  <w:vAlign w:val="center"/>
                </w:tcPr>
                <w:p>
                  <w:pPr>
                    <w:pStyle w:val="6"/>
                    <w:bidi w:val="0"/>
                    <w:rPr>
                      <w:rFonts w:hint="default"/>
                      <w:lang w:val="en-US" w:eastAsia="zh-CN"/>
                    </w:rPr>
                  </w:pPr>
                  <w:r>
                    <w:rPr>
                      <w:rFonts w:hint="default"/>
                      <w:lang w:val="en-US" w:eastAsia="zh-CN"/>
                    </w:rPr>
                    <w:t>生态治理</w:t>
                  </w:r>
                </w:p>
              </w:tc>
              <w:tc>
                <w:tcPr>
                  <w:tcW w:w="3668" w:type="pct"/>
                  <w:tcBorders>
                    <w:tl2br w:val="nil"/>
                    <w:tr2bl w:val="nil"/>
                  </w:tcBorders>
                  <w:noWrap w:val="0"/>
                  <w:vAlign w:val="center"/>
                </w:tcPr>
                <w:p>
                  <w:pPr>
                    <w:pStyle w:val="6"/>
                    <w:bidi w:val="0"/>
                    <w:rPr>
                      <w:rFonts w:hint="default"/>
                      <w:lang w:val="en-US"/>
                    </w:rPr>
                  </w:pPr>
                  <w:r>
                    <w:rPr>
                      <w:rFonts w:hint="default"/>
                      <w:lang w:val="en-US" w:eastAsia="zh-CN"/>
                    </w:rPr>
                    <w:t>自然恢复地表植被</w:t>
                  </w:r>
                  <w:r>
                    <w:rPr>
                      <w:rFonts w:hint="eastAsia"/>
                      <w:lang w:val="en-US" w:eastAsia="zh-CN"/>
                    </w:rPr>
                    <w:t>。</w:t>
                  </w:r>
                </w:p>
              </w:tc>
              <w:tc>
                <w:tcPr>
                  <w:tcW w:w="261" w:type="pct"/>
                  <w:tcBorders>
                    <w:tl2br w:val="nil"/>
                    <w:tr2bl w:val="nil"/>
                  </w:tcBorders>
                  <w:noWrap w:val="0"/>
                  <w:vAlign w:val="center"/>
                </w:tcPr>
                <w:p>
                  <w:pPr>
                    <w:pStyle w:val="6"/>
                    <w:bidi w:val="0"/>
                    <w:rPr>
                      <w:rFonts w:hint="default"/>
                      <w:lang w:val="en-US" w:eastAsia="zh-CN"/>
                    </w:rPr>
                  </w:pPr>
                  <w:r>
                    <w:rPr>
                      <w:rFonts w:hint="default"/>
                      <w:lang w:val="en-US" w:eastAsia="zh-CN"/>
                    </w:rPr>
                    <w:t>/</w:t>
                  </w:r>
                </w:p>
              </w:tc>
            </w:tr>
          </w:tbl>
          <w:p>
            <w:pPr>
              <w:bidi w:val="0"/>
              <w:rPr>
                <w:rFonts w:hint="default"/>
                <w:lang w:val="en-US" w:eastAsia="zh-CN"/>
              </w:rPr>
            </w:pPr>
            <w:r>
              <w:rPr>
                <w:rFonts w:hint="default"/>
                <w:lang w:val="en-US" w:eastAsia="zh-CN"/>
              </w:rPr>
              <w:t>项目施工</w:t>
            </w:r>
            <w:r>
              <w:rPr>
                <w:rFonts w:hint="eastAsia"/>
                <w:lang w:val="en-US" w:eastAsia="zh-CN"/>
              </w:rPr>
              <w:t>期间</w:t>
            </w:r>
            <w:r>
              <w:rPr>
                <w:rFonts w:hint="default"/>
                <w:lang w:val="en-US" w:eastAsia="zh-CN"/>
              </w:rPr>
              <w:t>，临时设备使用情况见下表。</w:t>
            </w:r>
          </w:p>
          <w:p>
            <w:pPr>
              <w:pStyle w:val="5"/>
              <w:bidi w:val="0"/>
              <w:rPr>
                <w:rFonts w:hint="default"/>
                <w:lang w:val="en-US" w:eastAsia="zh-CN"/>
              </w:rPr>
            </w:pPr>
            <w:r>
              <w:rPr>
                <w:rFonts w:hint="default"/>
                <w:lang w:val="en-US" w:eastAsia="zh-CN"/>
              </w:rPr>
              <w:t>表2-2  主要设备一览表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57"/>
              <w:gridCol w:w="1358"/>
              <w:gridCol w:w="1358"/>
              <w:gridCol w:w="135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bidi w:val="0"/>
                    <w:rPr>
                      <w:rFonts w:hint="default"/>
                      <w:lang w:val="en-US" w:eastAsia="zh-CN"/>
                    </w:rPr>
                  </w:pPr>
                  <w:r>
                    <w:rPr>
                      <w:rFonts w:hint="default"/>
                      <w:lang w:val="en-US" w:eastAsia="zh-CN"/>
                    </w:rPr>
                    <w:t>序号</w:t>
                  </w:r>
                </w:p>
              </w:tc>
              <w:tc>
                <w:tcPr>
                  <w:tcW w:w="832" w:type="pct"/>
                  <w:noWrap w:val="0"/>
                  <w:vAlign w:val="center"/>
                </w:tcPr>
                <w:p>
                  <w:pPr>
                    <w:pStyle w:val="6"/>
                    <w:bidi w:val="0"/>
                    <w:rPr>
                      <w:rFonts w:hint="default"/>
                      <w:lang w:val="en-US" w:eastAsia="zh-CN"/>
                    </w:rPr>
                  </w:pPr>
                  <w:r>
                    <w:rPr>
                      <w:rFonts w:hint="default"/>
                      <w:lang w:val="en-US" w:eastAsia="zh-CN"/>
                    </w:rPr>
                    <w:t>设备名称</w:t>
                  </w:r>
                </w:p>
              </w:tc>
              <w:tc>
                <w:tcPr>
                  <w:tcW w:w="833" w:type="pct"/>
                  <w:noWrap w:val="0"/>
                  <w:vAlign w:val="center"/>
                </w:tcPr>
                <w:p>
                  <w:pPr>
                    <w:pStyle w:val="6"/>
                    <w:bidi w:val="0"/>
                    <w:rPr>
                      <w:rFonts w:hint="default"/>
                      <w:lang w:val="en-US" w:eastAsia="zh-CN"/>
                    </w:rPr>
                  </w:pPr>
                  <w:r>
                    <w:rPr>
                      <w:rFonts w:hint="default"/>
                      <w:lang w:val="en-US" w:eastAsia="zh-CN"/>
                    </w:rPr>
                    <w:t>型号规格</w:t>
                  </w:r>
                </w:p>
              </w:tc>
              <w:tc>
                <w:tcPr>
                  <w:tcW w:w="833" w:type="pct"/>
                  <w:noWrap w:val="0"/>
                  <w:vAlign w:val="center"/>
                </w:tcPr>
                <w:p>
                  <w:pPr>
                    <w:pStyle w:val="6"/>
                    <w:bidi w:val="0"/>
                    <w:rPr>
                      <w:rFonts w:hint="default"/>
                      <w:lang w:val="en-US" w:eastAsia="zh-CN"/>
                    </w:rPr>
                  </w:pPr>
                  <w:r>
                    <w:rPr>
                      <w:rFonts w:hint="default"/>
                      <w:lang w:val="en-US" w:eastAsia="zh-CN"/>
                    </w:rPr>
                    <w:t>单位</w:t>
                  </w:r>
                </w:p>
              </w:tc>
              <w:tc>
                <w:tcPr>
                  <w:tcW w:w="833" w:type="pct"/>
                  <w:noWrap w:val="0"/>
                  <w:vAlign w:val="center"/>
                </w:tcPr>
                <w:p>
                  <w:pPr>
                    <w:pStyle w:val="6"/>
                    <w:bidi w:val="0"/>
                    <w:rPr>
                      <w:rFonts w:hint="default"/>
                      <w:lang w:val="en-US" w:eastAsia="zh-CN"/>
                    </w:rPr>
                  </w:pPr>
                  <w:r>
                    <w:rPr>
                      <w:rFonts w:hint="default"/>
                      <w:lang w:val="en-US" w:eastAsia="zh-CN"/>
                    </w:rPr>
                    <w:t>数量</w:t>
                  </w:r>
                </w:p>
              </w:tc>
              <w:tc>
                <w:tcPr>
                  <w:tcW w:w="836" w:type="pct"/>
                  <w:noWrap w:val="0"/>
                  <w:vAlign w:val="center"/>
                </w:tcPr>
                <w:p>
                  <w:pPr>
                    <w:pStyle w:val="6"/>
                    <w:bidi w:val="0"/>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bidi w:val="0"/>
                    <w:rPr>
                      <w:rFonts w:hint="default"/>
                      <w:lang w:val="en-US" w:eastAsia="zh-CN"/>
                    </w:rPr>
                  </w:pPr>
                  <w:r>
                    <w:rPr>
                      <w:rFonts w:hint="default"/>
                      <w:lang w:val="en-US" w:eastAsia="zh-CN"/>
                    </w:rPr>
                    <w:t>1</w:t>
                  </w:r>
                </w:p>
              </w:tc>
              <w:tc>
                <w:tcPr>
                  <w:tcW w:w="832" w:type="pct"/>
                  <w:noWrap w:val="0"/>
                  <w:vAlign w:val="center"/>
                </w:tcPr>
                <w:p>
                  <w:pPr>
                    <w:pStyle w:val="6"/>
                    <w:bidi w:val="0"/>
                    <w:rPr>
                      <w:rFonts w:hint="default"/>
                      <w:lang w:val="en-US" w:eastAsia="zh-CN"/>
                    </w:rPr>
                  </w:pPr>
                  <w:r>
                    <w:rPr>
                      <w:rFonts w:hint="default"/>
                      <w:lang w:val="en-US" w:eastAsia="zh-CN"/>
                    </w:rPr>
                    <w:t>发电机</w:t>
                  </w:r>
                </w:p>
              </w:tc>
              <w:tc>
                <w:tcPr>
                  <w:tcW w:w="833" w:type="pct"/>
                  <w:noWrap w:val="0"/>
                  <w:vAlign w:val="center"/>
                </w:tcPr>
                <w:p>
                  <w:pPr>
                    <w:pStyle w:val="6"/>
                    <w:bidi w:val="0"/>
                    <w:rPr>
                      <w:rFonts w:hint="default"/>
                      <w:lang w:val="en-US" w:eastAsia="zh-CN"/>
                    </w:rPr>
                  </w:pPr>
                  <w:r>
                    <w:rPr>
                      <w:rFonts w:hint="eastAsia"/>
                      <w:lang w:val="en-US" w:eastAsia="zh-CN"/>
                    </w:rPr>
                    <w:t>60kW</w:t>
                  </w:r>
                </w:p>
              </w:tc>
              <w:tc>
                <w:tcPr>
                  <w:tcW w:w="833" w:type="pct"/>
                  <w:noWrap w:val="0"/>
                  <w:vAlign w:val="center"/>
                </w:tcPr>
                <w:p>
                  <w:pPr>
                    <w:pStyle w:val="6"/>
                    <w:bidi w:val="0"/>
                    <w:rPr>
                      <w:rFonts w:hint="default"/>
                      <w:lang w:val="en-US" w:eastAsia="zh-CN"/>
                    </w:rPr>
                  </w:pPr>
                  <w:r>
                    <w:rPr>
                      <w:rFonts w:hint="default"/>
                      <w:lang w:val="en-US" w:eastAsia="zh-CN"/>
                    </w:rPr>
                    <w:t>台</w:t>
                  </w:r>
                </w:p>
              </w:tc>
              <w:tc>
                <w:tcPr>
                  <w:tcW w:w="833" w:type="pct"/>
                  <w:noWrap w:val="0"/>
                  <w:vAlign w:val="center"/>
                </w:tcPr>
                <w:p>
                  <w:pPr>
                    <w:pStyle w:val="6"/>
                    <w:bidi w:val="0"/>
                    <w:rPr>
                      <w:rFonts w:hint="default"/>
                      <w:lang w:val="en-US" w:eastAsia="zh-CN"/>
                    </w:rPr>
                  </w:pPr>
                  <w:r>
                    <w:rPr>
                      <w:rFonts w:hint="default"/>
                      <w:lang w:val="en-US" w:eastAsia="zh-CN"/>
                    </w:rPr>
                    <w:t>2</w:t>
                  </w:r>
                </w:p>
              </w:tc>
              <w:tc>
                <w:tcPr>
                  <w:tcW w:w="836" w:type="pct"/>
                  <w:vMerge w:val="restart"/>
                  <w:noWrap w:val="0"/>
                  <w:vAlign w:val="center"/>
                </w:tcPr>
                <w:p>
                  <w:pPr>
                    <w:pStyle w:val="6"/>
                    <w:bidi w:val="0"/>
                    <w:rPr>
                      <w:rFonts w:hint="default"/>
                      <w:lang w:val="en-US" w:eastAsia="zh-CN"/>
                    </w:rPr>
                  </w:pPr>
                  <w:r>
                    <w:rPr>
                      <w:rFonts w:hint="default"/>
                      <w:lang w:val="en-US" w:eastAsia="zh-CN"/>
                    </w:rPr>
                    <w:t>临时设备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bidi w:val="0"/>
                    <w:rPr>
                      <w:rFonts w:hint="default"/>
                      <w:lang w:val="en-US" w:eastAsia="zh-CN"/>
                    </w:rPr>
                  </w:pPr>
                  <w:r>
                    <w:rPr>
                      <w:rFonts w:hint="eastAsia"/>
                      <w:lang w:val="en-US" w:eastAsia="zh-CN"/>
                    </w:rPr>
                    <w:t>2</w:t>
                  </w:r>
                </w:p>
              </w:tc>
              <w:tc>
                <w:tcPr>
                  <w:tcW w:w="832" w:type="pct"/>
                  <w:noWrap w:val="0"/>
                  <w:vAlign w:val="center"/>
                </w:tcPr>
                <w:p>
                  <w:pPr>
                    <w:pStyle w:val="6"/>
                    <w:bidi w:val="0"/>
                    <w:rPr>
                      <w:rFonts w:hint="default"/>
                      <w:lang w:val="en-US" w:eastAsia="zh-CN"/>
                    </w:rPr>
                  </w:pPr>
                  <w:r>
                    <w:rPr>
                      <w:rFonts w:hint="default"/>
                      <w:lang w:val="en-US" w:eastAsia="zh-CN"/>
                    </w:rPr>
                    <w:t>推土机</w:t>
                  </w:r>
                </w:p>
              </w:tc>
              <w:tc>
                <w:tcPr>
                  <w:tcW w:w="833" w:type="pct"/>
                  <w:noWrap w:val="0"/>
                  <w:vAlign w:val="center"/>
                </w:tcPr>
                <w:p>
                  <w:pPr>
                    <w:pStyle w:val="6"/>
                    <w:bidi w:val="0"/>
                    <w:rPr>
                      <w:rFonts w:hint="default"/>
                      <w:lang w:val="en-US" w:eastAsia="zh-CN"/>
                    </w:rPr>
                  </w:pPr>
                  <w:r>
                    <w:rPr>
                      <w:rFonts w:hint="default"/>
                      <w:lang w:val="en-US" w:eastAsia="zh-CN"/>
                    </w:rPr>
                    <w:t>/</w:t>
                  </w:r>
                </w:p>
              </w:tc>
              <w:tc>
                <w:tcPr>
                  <w:tcW w:w="833" w:type="pct"/>
                  <w:noWrap w:val="0"/>
                  <w:vAlign w:val="center"/>
                </w:tcPr>
                <w:p>
                  <w:pPr>
                    <w:pStyle w:val="6"/>
                    <w:bidi w:val="0"/>
                    <w:rPr>
                      <w:rFonts w:hint="default"/>
                      <w:lang w:val="en-US" w:eastAsia="zh-CN"/>
                    </w:rPr>
                  </w:pPr>
                  <w:r>
                    <w:rPr>
                      <w:rFonts w:hint="default"/>
                      <w:lang w:val="en-US" w:eastAsia="zh-CN"/>
                    </w:rPr>
                    <w:t>辆</w:t>
                  </w:r>
                </w:p>
              </w:tc>
              <w:tc>
                <w:tcPr>
                  <w:tcW w:w="833" w:type="pct"/>
                  <w:noWrap w:val="0"/>
                  <w:vAlign w:val="center"/>
                </w:tcPr>
                <w:p>
                  <w:pPr>
                    <w:pStyle w:val="6"/>
                    <w:bidi w:val="0"/>
                    <w:rPr>
                      <w:rFonts w:hint="default"/>
                      <w:lang w:val="en-US" w:eastAsia="zh-CN"/>
                    </w:rPr>
                  </w:pPr>
                  <w:r>
                    <w:rPr>
                      <w:rFonts w:hint="eastAsia"/>
                      <w:lang w:val="en-US" w:eastAsia="zh-CN"/>
                    </w:rPr>
                    <w:t>5</w:t>
                  </w:r>
                </w:p>
              </w:tc>
              <w:tc>
                <w:tcPr>
                  <w:tcW w:w="836" w:type="pct"/>
                  <w:vMerge w:val="continue"/>
                  <w:noWrap w:val="0"/>
                  <w:vAlign w:val="center"/>
                </w:tcPr>
                <w:p>
                  <w:pPr>
                    <w:pStyle w:val="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bidi w:val="0"/>
                    <w:rPr>
                      <w:rFonts w:hint="default"/>
                      <w:lang w:val="en-US" w:eastAsia="zh-CN"/>
                    </w:rPr>
                  </w:pPr>
                  <w:r>
                    <w:rPr>
                      <w:rFonts w:hint="default"/>
                      <w:lang w:val="en-US" w:eastAsia="zh-CN"/>
                    </w:rPr>
                    <w:t>3</w:t>
                  </w:r>
                </w:p>
              </w:tc>
              <w:tc>
                <w:tcPr>
                  <w:tcW w:w="832" w:type="pct"/>
                  <w:noWrap w:val="0"/>
                  <w:vAlign w:val="center"/>
                </w:tcPr>
                <w:p>
                  <w:pPr>
                    <w:pStyle w:val="6"/>
                    <w:bidi w:val="0"/>
                    <w:rPr>
                      <w:rFonts w:hint="default"/>
                      <w:lang w:val="en-US" w:eastAsia="zh-CN"/>
                    </w:rPr>
                  </w:pPr>
                  <w:r>
                    <w:rPr>
                      <w:rFonts w:hint="default"/>
                      <w:lang w:val="en-US" w:eastAsia="zh-CN"/>
                    </w:rPr>
                    <w:t>挖掘机</w:t>
                  </w:r>
                </w:p>
              </w:tc>
              <w:tc>
                <w:tcPr>
                  <w:tcW w:w="833" w:type="pct"/>
                  <w:noWrap w:val="0"/>
                  <w:vAlign w:val="center"/>
                </w:tcPr>
                <w:p>
                  <w:pPr>
                    <w:pStyle w:val="6"/>
                    <w:bidi w:val="0"/>
                    <w:rPr>
                      <w:rFonts w:hint="default"/>
                      <w:lang w:val="en-US" w:eastAsia="zh-CN"/>
                    </w:rPr>
                  </w:pPr>
                  <w:r>
                    <w:rPr>
                      <w:rFonts w:hint="default"/>
                      <w:lang w:val="en-US" w:eastAsia="zh-CN"/>
                    </w:rPr>
                    <w:t>/</w:t>
                  </w:r>
                </w:p>
              </w:tc>
              <w:tc>
                <w:tcPr>
                  <w:tcW w:w="833" w:type="pct"/>
                  <w:noWrap w:val="0"/>
                  <w:vAlign w:val="center"/>
                </w:tcPr>
                <w:p>
                  <w:pPr>
                    <w:pStyle w:val="6"/>
                    <w:bidi w:val="0"/>
                    <w:rPr>
                      <w:rFonts w:hint="default"/>
                      <w:lang w:val="en-US" w:eastAsia="zh-CN"/>
                    </w:rPr>
                  </w:pPr>
                  <w:r>
                    <w:rPr>
                      <w:rFonts w:hint="default"/>
                      <w:lang w:val="en-US" w:eastAsia="zh-CN"/>
                    </w:rPr>
                    <w:t>辆</w:t>
                  </w:r>
                </w:p>
              </w:tc>
              <w:tc>
                <w:tcPr>
                  <w:tcW w:w="833" w:type="pct"/>
                  <w:noWrap w:val="0"/>
                  <w:vAlign w:val="center"/>
                </w:tcPr>
                <w:p>
                  <w:pPr>
                    <w:pStyle w:val="6"/>
                    <w:bidi w:val="0"/>
                    <w:rPr>
                      <w:rFonts w:hint="default"/>
                      <w:lang w:val="en-US" w:eastAsia="zh-CN"/>
                    </w:rPr>
                  </w:pPr>
                  <w:r>
                    <w:rPr>
                      <w:rFonts w:hint="default"/>
                      <w:lang w:val="en-US" w:eastAsia="zh-CN"/>
                    </w:rPr>
                    <w:t>3</w:t>
                  </w:r>
                </w:p>
              </w:tc>
              <w:tc>
                <w:tcPr>
                  <w:tcW w:w="836" w:type="pct"/>
                  <w:vMerge w:val="continue"/>
                  <w:noWrap w:val="0"/>
                  <w:vAlign w:val="center"/>
                </w:tcPr>
                <w:p>
                  <w:pPr>
                    <w:pStyle w:val="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bidi w:val="0"/>
                    <w:rPr>
                      <w:rFonts w:hint="default"/>
                      <w:lang w:val="en-US" w:eastAsia="zh-CN"/>
                    </w:rPr>
                  </w:pPr>
                  <w:r>
                    <w:rPr>
                      <w:rFonts w:hint="default"/>
                      <w:lang w:val="en-US" w:eastAsia="zh-CN"/>
                    </w:rPr>
                    <w:t>4</w:t>
                  </w:r>
                </w:p>
              </w:tc>
              <w:tc>
                <w:tcPr>
                  <w:tcW w:w="832" w:type="pct"/>
                  <w:noWrap w:val="0"/>
                  <w:vAlign w:val="center"/>
                </w:tcPr>
                <w:p>
                  <w:pPr>
                    <w:pStyle w:val="6"/>
                    <w:bidi w:val="0"/>
                    <w:rPr>
                      <w:rFonts w:hint="default"/>
                      <w:lang w:val="en-US" w:eastAsia="zh-CN"/>
                    </w:rPr>
                  </w:pPr>
                  <w:r>
                    <w:rPr>
                      <w:rFonts w:hint="default"/>
                      <w:lang w:val="en-US" w:eastAsia="zh-CN"/>
                    </w:rPr>
                    <w:t>轮胎碾</w:t>
                  </w:r>
                </w:p>
              </w:tc>
              <w:tc>
                <w:tcPr>
                  <w:tcW w:w="833" w:type="pct"/>
                  <w:noWrap w:val="0"/>
                  <w:vAlign w:val="center"/>
                </w:tcPr>
                <w:p>
                  <w:pPr>
                    <w:pStyle w:val="6"/>
                    <w:bidi w:val="0"/>
                    <w:rPr>
                      <w:rFonts w:hint="default"/>
                      <w:lang w:val="en-US" w:eastAsia="zh-CN"/>
                    </w:rPr>
                  </w:pPr>
                  <w:r>
                    <w:rPr>
                      <w:rFonts w:hint="default"/>
                      <w:lang w:val="en-US" w:eastAsia="zh-CN"/>
                    </w:rPr>
                    <w:t>/</w:t>
                  </w:r>
                </w:p>
              </w:tc>
              <w:tc>
                <w:tcPr>
                  <w:tcW w:w="833" w:type="pct"/>
                  <w:noWrap w:val="0"/>
                  <w:vAlign w:val="center"/>
                </w:tcPr>
                <w:p>
                  <w:pPr>
                    <w:pStyle w:val="6"/>
                    <w:bidi w:val="0"/>
                    <w:rPr>
                      <w:rFonts w:hint="default"/>
                      <w:lang w:val="en-US" w:eastAsia="zh-CN"/>
                    </w:rPr>
                  </w:pPr>
                  <w:r>
                    <w:rPr>
                      <w:rFonts w:hint="default"/>
                      <w:lang w:val="en-US" w:eastAsia="zh-CN"/>
                    </w:rPr>
                    <w:t>台</w:t>
                  </w:r>
                </w:p>
              </w:tc>
              <w:tc>
                <w:tcPr>
                  <w:tcW w:w="833" w:type="pct"/>
                  <w:noWrap w:val="0"/>
                  <w:vAlign w:val="center"/>
                </w:tcPr>
                <w:p>
                  <w:pPr>
                    <w:pStyle w:val="6"/>
                    <w:bidi w:val="0"/>
                    <w:rPr>
                      <w:rFonts w:hint="default"/>
                      <w:lang w:val="en-US" w:eastAsia="zh-CN"/>
                    </w:rPr>
                  </w:pPr>
                  <w:r>
                    <w:rPr>
                      <w:rFonts w:hint="default"/>
                      <w:lang w:val="en-US" w:eastAsia="zh-CN"/>
                    </w:rPr>
                    <w:t>3</w:t>
                  </w:r>
                </w:p>
              </w:tc>
              <w:tc>
                <w:tcPr>
                  <w:tcW w:w="836" w:type="pct"/>
                  <w:vMerge w:val="continue"/>
                  <w:noWrap w:val="0"/>
                  <w:vAlign w:val="center"/>
                </w:tcPr>
                <w:p>
                  <w:pPr>
                    <w:pStyle w:val="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bidi w:val="0"/>
                    <w:rPr>
                      <w:rFonts w:hint="default"/>
                      <w:lang w:val="en-US" w:eastAsia="zh-CN"/>
                    </w:rPr>
                  </w:pPr>
                  <w:r>
                    <w:rPr>
                      <w:rFonts w:hint="default"/>
                      <w:lang w:val="en-US" w:eastAsia="zh-CN"/>
                    </w:rPr>
                    <w:t>5</w:t>
                  </w:r>
                </w:p>
              </w:tc>
              <w:tc>
                <w:tcPr>
                  <w:tcW w:w="832" w:type="pct"/>
                  <w:noWrap w:val="0"/>
                  <w:vAlign w:val="center"/>
                </w:tcPr>
                <w:p>
                  <w:pPr>
                    <w:pStyle w:val="6"/>
                    <w:bidi w:val="0"/>
                    <w:rPr>
                      <w:rFonts w:hint="default"/>
                      <w:lang w:val="en-US" w:eastAsia="zh-CN"/>
                    </w:rPr>
                  </w:pPr>
                  <w:r>
                    <w:rPr>
                      <w:rFonts w:hint="default"/>
                      <w:lang w:val="en-US" w:eastAsia="zh-CN"/>
                    </w:rPr>
                    <w:t>自卸汽车</w:t>
                  </w:r>
                </w:p>
              </w:tc>
              <w:tc>
                <w:tcPr>
                  <w:tcW w:w="833" w:type="pct"/>
                  <w:noWrap w:val="0"/>
                  <w:vAlign w:val="center"/>
                </w:tcPr>
                <w:p>
                  <w:pPr>
                    <w:pStyle w:val="6"/>
                    <w:bidi w:val="0"/>
                    <w:rPr>
                      <w:rFonts w:hint="default"/>
                      <w:lang w:val="en-US" w:eastAsia="zh-CN"/>
                    </w:rPr>
                  </w:pPr>
                  <w:r>
                    <w:rPr>
                      <w:rFonts w:hint="default"/>
                      <w:lang w:val="en-US" w:eastAsia="zh-CN"/>
                    </w:rPr>
                    <w:t>/</w:t>
                  </w:r>
                </w:p>
              </w:tc>
              <w:tc>
                <w:tcPr>
                  <w:tcW w:w="833" w:type="pct"/>
                  <w:noWrap w:val="0"/>
                  <w:vAlign w:val="center"/>
                </w:tcPr>
                <w:p>
                  <w:pPr>
                    <w:pStyle w:val="6"/>
                    <w:bidi w:val="0"/>
                    <w:rPr>
                      <w:rFonts w:hint="default"/>
                      <w:lang w:val="en-US" w:eastAsia="zh-CN"/>
                    </w:rPr>
                  </w:pPr>
                  <w:r>
                    <w:rPr>
                      <w:rFonts w:hint="default"/>
                      <w:lang w:val="en-US" w:eastAsia="zh-CN"/>
                    </w:rPr>
                    <w:t>辆</w:t>
                  </w:r>
                </w:p>
              </w:tc>
              <w:tc>
                <w:tcPr>
                  <w:tcW w:w="833" w:type="pct"/>
                  <w:noWrap w:val="0"/>
                  <w:vAlign w:val="center"/>
                </w:tcPr>
                <w:p>
                  <w:pPr>
                    <w:pStyle w:val="6"/>
                    <w:bidi w:val="0"/>
                    <w:rPr>
                      <w:rFonts w:hint="default"/>
                      <w:lang w:val="en-US" w:eastAsia="zh-CN"/>
                    </w:rPr>
                  </w:pPr>
                  <w:r>
                    <w:rPr>
                      <w:rFonts w:hint="eastAsia"/>
                      <w:lang w:val="en-US" w:eastAsia="zh-CN"/>
                    </w:rPr>
                    <w:t>5</w:t>
                  </w:r>
                </w:p>
              </w:tc>
              <w:tc>
                <w:tcPr>
                  <w:tcW w:w="836" w:type="pct"/>
                  <w:vMerge w:val="continue"/>
                  <w:noWrap w:val="0"/>
                  <w:vAlign w:val="center"/>
                </w:tcPr>
                <w:p>
                  <w:pPr>
                    <w:pStyle w:val="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bidi w:val="0"/>
                    <w:rPr>
                      <w:rFonts w:hint="default"/>
                      <w:lang w:val="en-US" w:eastAsia="zh-CN"/>
                    </w:rPr>
                  </w:pPr>
                  <w:r>
                    <w:rPr>
                      <w:rFonts w:hint="eastAsia"/>
                      <w:lang w:val="en-US" w:eastAsia="zh-CN"/>
                    </w:rPr>
                    <w:t>6</w:t>
                  </w:r>
                </w:p>
              </w:tc>
              <w:tc>
                <w:tcPr>
                  <w:tcW w:w="832" w:type="pct"/>
                  <w:noWrap w:val="0"/>
                  <w:vAlign w:val="center"/>
                </w:tcPr>
                <w:p>
                  <w:pPr>
                    <w:pStyle w:val="6"/>
                    <w:bidi w:val="0"/>
                    <w:rPr>
                      <w:rFonts w:hint="default"/>
                      <w:lang w:val="en-US" w:eastAsia="zh-CN"/>
                    </w:rPr>
                  </w:pPr>
                  <w:r>
                    <w:rPr>
                      <w:rFonts w:hint="default"/>
                      <w:lang w:val="en-US" w:eastAsia="zh-CN"/>
                    </w:rPr>
                    <w:t>平板振动器</w:t>
                  </w:r>
                </w:p>
              </w:tc>
              <w:tc>
                <w:tcPr>
                  <w:tcW w:w="833" w:type="pct"/>
                  <w:noWrap w:val="0"/>
                  <w:vAlign w:val="center"/>
                </w:tcPr>
                <w:p>
                  <w:pPr>
                    <w:pStyle w:val="6"/>
                    <w:bidi w:val="0"/>
                    <w:rPr>
                      <w:rFonts w:hint="default"/>
                      <w:lang w:val="en-US" w:eastAsia="zh-CN"/>
                    </w:rPr>
                  </w:pPr>
                  <w:r>
                    <w:rPr>
                      <w:rFonts w:hint="default"/>
                      <w:lang w:val="en-US" w:eastAsia="zh-CN"/>
                    </w:rPr>
                    <w:t>/</w:t>
                  </w:r>
                </w:p>
              </w:tc>
              <w:tc>
                <w:tcPr>
                  <w:tcW w:w="833" w:type="pct"/>
                  <w:noWrap w:val="0"/>
                  <w:vAlign w:val="center"/>
                </w:tcPr>
                <w:p>
                  <w:pPr>
                    <w:pStyle w:val="6"/>
                    <w:bidi w:val="0"/>
                    <w:rPr>
                      <w:rFonts w:hint="default"/>
                      <w:lang w:val="en-US" w:eastAsia="zh-CN"/>
                    </w:rPr>
                  </w:pPr>
                  <w:r>
                    <w:rPr>
                      <w:rFonts w:hint="default"/>
                      <w:lang w:val="en-US" w:eastAsia="zh-CN"/>
                    </w:rPr>
                    <w:t>台</w:t>
                  </w:r>
                </w:p>
              </w:tc>
              <w:tc>
                <w:tcPr>
                  <w:tcW w:w="833" w:type="pct"/>
                  <w:noWrap w:val="0"/>
                  <w:vAlign w:val="center"/>
                </w:tcPr>
                <w:p>
                  <w:pPr>
                    <w:pStyle w:val="6"/>
                    <w:bidi w:val="0"/>
                    <w:rPr>
                      <w:rFonts w:hint="default"/>
                      <w:lang w:val="en-US" w:eastAsia="zh-CN"/>
                    </w:rPr>
                  </w:pPr>
                  <w:r>
                    <w:rPr>
                      <w:rFonts w:hint="eastAsia"/>
                      <w:lang w:val="en-US" w:eastAsia="zh-CN"/>
                    </w:rPr>
                    <w:t>4</w:t>
                  </w:r>
                </w:p>
              </w:tc>
              <w:tc>
                <w:tcPr>
                  <w:tcW w:w="836" w:type="pct"/>
                  <w:vMerge w:val="continue"/>
                  <w:noWrap w:val="0"/>
                  <w:vAlign w:val="center"/>
                </w:tcPr>
                <w:p>
                  <w:pPr>
                    <w:pStyle w:val="6"/>
                    <w:bidi w:val="0"/>
                    <w:rPr>
                      <w:rFonts w:hint="default"/>
                      <w:lang w:val="en-US" w:eastAsia="zh-CN"/>
                    </w:rPr>
                  </w:pPr>
                </w:p>
              </w:tc>
            </w:tr>
          </w:tbl>
          <w:p>
            <w:pPr>
              <w:pStyle w:val="3"/>
              <w:bidi w:val="0"/>
              <w:rPr>
                <w:rFonts w:hint="default"/>
                <w:lang w:val="en-US" w:eastAsia="zh-CN"/>
              </w:rPr>
            </w:pPr>
            <w:r>
              <w:rPr>
                <w:rFonts w:hint="eastAsia"/>
                <w:lang w:val="en-US" w:eastAsia="zh-CN"/>
              </w:rPr>
              <w:t xml:space="preserve">3 </w:t>
            </w:r>
            <w:r>
              <w:rPr>
                <w:rFonts w:hint="default"/>
                <w:lang w:val="en-US" w:eastAsia="zh-CN"/>
              </w:rPr>
              <w:t>主要原辅材料及燃料</w:t>
            </w:r>
          </w:p>
          <w:p>
            <w:pPr>
              <w:bidi w:val="0"/>
              <w:rPr>
                <w:rFonts w:hint="default"/>
                <w:lang w:val="en-US" w:eastAsia="zh-CN"/>
              </w:rPr>
            </w:pPr>
            <w:r>
              <w:rPr>
                <w:rFonts w:hint="default"/>
                <w:lang w:val="en-US" w:eastAsia="zh-CN"/>
              </w:rPr>
              <w:t>项目主要原辅料及能源、资源用量见下表。</w:t>
            </w:r>
          </w:p>
          <w:p>
            <w:pPr>
              <w:pStyle w:val="5"/>
              <w:bidi w:val="0"/>
              <w:rPr>
                <w:rFonts w:hint="default"/>
                <w:lang w:val="en-US" w:eastAsia="zh-CN"/>
              </w:rPr>
            </w:pPr>
            <w:r>
              <w:rPr>
                <w:rFonts w:hint="default"/>
                <w:lang w:val="en-US" w:eastAsia="zh-CN"/>
              </w:rPr>
              <w:t>表2-3</w:t>
            </w:r>
            <w:r>
              <w:rPr>
                <w:rFonts w:hint="eastAsia"/>
                <w:lang w:val="en-US" w:eastAsia="zh-CN"/>
              </w:rPr>
              <w:t xml:space="preserve">  </w:t>
            </w:r>
            <w:r>
              <w:rPr>
                <w:rFonts w:hint="default"/>
                <w:lang w:val="en-US" w:eastAsia="zh-CN"/>
              </w:rPr>
              <w:t>能源消耗及原辅材料消耗情况表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13"/>
              <w:gridCol w:w="1091"/>
              <w:gridCol w:w="1241"/>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default"/>
                      <w:highlight w:val="none"/>
                      <w:lang w:val="en-US" w:eastAsia="zh-CN"/>
                    </w:rPr>
                    <w:t>序号</w:t>
                  </w:r>
                </w:p>
              </w:tc>
              <w:tc>
                <w:tcPr>
                  <w:tcW w:w="1613" w:type="dxa"/>
                  <w:noWrap w:val="0"/>
                  <w:vAlign w:val="center"/>
                </w:tcPr>
                <w:p>
                  <w:pPr>
                    <w:pStyle w:val="6"/>
                    <w:bidi w:val="0"/>
                    <w:rPr>
                      <w:rFonts w:hint="default"/>
                      <w:highlight w:val="none"/>
                      <w:lang w:val="en-US" w:eastAsia="zh-CN"/>
                    </w:rPr>
                  </w:pPr>
                  <w:r>
                    <w:rPr>
                      <w:rFonts w:hint="default"/>
                      <w:highlight w:val="none"/>
                      <w:lang w:val="en-US" w:eastAsia="zh-CN"/>
                    </w:rPr>
                    <w:t>原料名称</w:t>
                  </w:r>
                </w:p>
              </w:tc>
              <w:tc>
                <w:tcPr>
                  <w:tcW w:w="1091" w:type="dxa"/>
                  <w:noWrap w:val="0"/>
                  <w:vAlign w:val="center"/>
                </w:tcPr>
                <w:p>
                  <w:pPr>
                    <w:pStyle w:val="6"/>
                    <w:bidi w:val="0"/>
                    <w:rPr>
                      <w:rFonts w:hint="default"/>
                      <w:highlight w:val="none"/>
                      <w:lang w:val="en-US" w:eastAsia="zh-CN"/>
                    </w:rPr>
                  </w:pPr>
                  <w:r>
                    <w:rPr>
                      <w:rFonts w:hint="default"/>
                      <w:highlight w:val="none"/>
                      <w:lang w:val="en-US" w:eastAsia="zh-CN"/>
                    </w:rPr>
                    <w:t>单位</w:t>
                  </w:r>
                </w:p>
              </w:tc>
              <w:tc>
                <w:tcPr>
                  <w:tcW w:w="1241" w:type="dxa"/>
                  <w:noWrap w:val="0"/>
                  <w:vAlign w:val="center"/>
                </w:tcPr>
                <w:p>
                  <w:pPr>
                    <w:pStyle w:val="6"/>
                    <w:bidi w:val="0"/>
                    <w:rPr>
                      <w:rFonts w:hint="default"/>
                      <w:highlight w:val="none"/>
                      <w:lang w:val="en-US" w:eastAsia="zh-CN"/>
                    </w:rPr>
                  </w:pPr>
                  <w:r>
                    <w:rPr>
                      <w:rFonts w:hint="default"/>
                      <w:highlight w:val="none"/>
                      <w:lang w:val="en-US" w:eastAsia="zh-CN"/>
                    </w:rPr>
                    <w:t>数量</w:t>
                  </w:r>
                </w:p>
              </w:tc>
              <w:tc>
                <w:tcPr>
                  <w:tcW w:w="3198" w:type="dxa"/>
                  <w:noWrap w:val="0"/>
                  <w:vAlign w:val="center"/>
                </w:tcPr>
                <w:p>
                  <w:pPr>
                    <w:pStyle w:val="6"/>
                    <w:bidi w:val="0"/>
                    <w:rPr>
                      <w:rFonts w:hint="default"/>
                      <w:highlight w:val="none"/>
                      <w:lang w:val="en-US" w:eastAsia="zh-CN"/>
                    </w:rPr>
                  </w:pPr>
                  <w:r>
                    <w:rPr>
                      <w:rFonts w:hint="default"/>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1</w:t>
                  </w:r>
                </w:p>
              </w:tc>
              <w:tc>
                <w:tcPr>
                  <w:tcW w:w="1613" w:type="dxa"/>
                  <w:noWrap w:val="0"/>
                  <w:vAlign w:val="center"/>
                </w:tcPr>
                <w:p>
                  <w:pPr>
                    <w:pStyle w:val="6"/>
                    <w:bidi w:val="0"/>
                    <w:rPr>
                      <w:rFonts w:hint="default"/>
                      <w:highlight w:val="none"/>
                      <w:lang w:val="en-US" w:eastAsia="zh-CN"/>
                    </w:rPr>
                  </w:pPr>
                  <w:r>
                    <w:rPr>
                      <w:rFonts w:hint="default"/>
                      <w:highlight w:val="none"/>
                      <w:lang w:val="en-US" w:eastAsia="zh-CN"/>
                    </w:rPr>
                    <w:t>柴油</w:t>
                  </w:r>
                </w:p>
              </w:tc>
              <w:tc>
                <w:tcPr>
                  <w:tcW w:w="1091" w:type="dxa"/>
                  <w:noWrap w:val="0"/>
                  <w:vAlign w:val="center"/>
                </w:tcPr>
                <w:p>
                  <w:pPr>
                    <w:pStyle w:val="6"/>
                    <w:bidi w:val="0"/>
                    <w:rPr>
                      <w:rFonts w:hint="default"/>
                      <w:highlight w:val="none"/>
                      <w:lang w:val="en-US" w:eastAsia="zh-CN"/>
                    </w:rPr>
                  </w:pPr>
                  <w:r>
                    <w:rPr>
                      <w:rFonts w:hint="default"/>
                      <w:highlight w:val="none"/>
                      <w:lang w:val="en-US" w:eastAsia="zh-CN"/>
                    </w:rPr>
                    <w:t>t</w:t>
                  </w:r>
                </w:p>
              </w:tc>
              <w:tc>
                <w:tcPr>
                  <w:tcW w:w="1241" w:type="dxa"/>
                  <w:noWrap w:val="0"/>
                  <w:vAlign w:val="center"/>
                </w:tcPr>
                <w:p>
                  <w:pPr>
                    <w:pStyle w:val="6"/>
                    <w:bidi w:val="0"/>
                    <w:rPr>
                      <w:rFonts w:hint="default"/>
                      <w:highlight w:val="none"/>
                      <w:lang w:val="en-US" w:eastAsia="zh-CN"/>
                    </w:rPr>
                  </w:pPr>
                  <w:r>
                    <w:rPr>
                      <w:rFonts w:hint="default"/>
                      <w:highlight w:val="none"/>
                      <w:lang w:val="en-US" w:eastAsia="zh-CN"/>
                    </w:rPr>
                    <w:t>98</w:t>
                  </w:r>
                </w:p>
              </w:tc>
              <w:tc>
                <w:tcPr>
                  <w:tcW w:w="3198" w:type="dxa"/>
                  <w:noWrap w:val="0"/>
                  <w:vAlign w:val="center"/>
                </w:tcPr>
                <w:p>
                  <w:pPr>
                    <w:pStyle w:val="6"/>
                    <w:bidi w:val="0"/>
                    <w:rPr>
                      <w:rFonts w:hint="default"/>
                      <w:highlight w:val="none"/>
                      <w:lang w:val="en-US" w:eastAsia="zh-CN"/>
                    </w:rPr>
                  </w:pPr>
                  <w:r>
                    <w:rPr>
                      <w:rFonts w:hint="default"/>
                      <w:highlight w:val="none"/>
                      <w:lang w:val="en-US" w:eastAsia="zh-CN"/>
                    </w:rPr>
                    <w:t>外购成品</w:t>
                  </w:r>
                  <w:r>
                    <w:rPr>
                      <w:rFonts w:hint="eastAsia"/>
                      <w:highlight w:val="none"/>
                      <w:lang w:val="en-US" w:eastAsia="zh-CN"/>
                    </w:rPr>
                    <w:t>，不在临时工业区储存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default"/>
                      <w:highlight w:val="none"/>
                      <w:lang w:val="en-US" w:eastAsia="zh-CN"/>
                    </w:rPr>
                    <w:t>2</w:t>
                  </w:r>
                </w:p>
              </w:tc>
              <w:tc>
                <w:tcPr>
                  <w:tcW w:w="1613" w:type="dxa"/>
                  <w:noWrap w:val="0"/>
                  <w:vAlign w:val="center"/>
                </w:tcPr>
                <w:p>
                  <w:pPr>
                    <w:pStyle w:val="50"/>
                    <w:keepNext w:val="0"/>
                    <w:keepLines w:val="0"/>
                    <w:pageBreakBefore w:val="0"/>
                    <w:widowControl/>
                    <w:numPr>
                      <w:ilvl w:val="0"/>
                      <w:numId w:val="0"/>
                    </w:numPr>
                    <w:kinsoku/>
                    <w:wordWrap w:val="0"/>
                    <w:overflowPunct/>
                    <w:topLinePunct/>
                    <w:autoSpaceDE/>
                    <w:autoSpaceDN/>
                    <w:bidi w:val="0"/>
                    <w:adjustRightInd w:val="0"/>
                    <w:snapToGrid w:val="0"/>
                    <w:spacing w:line="240" w:lineRule="auto"/>
                    <w:ind w:left="0" w:leftChars="0" w:right="0" w:rightChars="0" w:firstLine="0" w:firstLineChars="0"/>
                    <w:jc w:val="center"/>
                    <w:textAlignment w:val="auto"/>
                    <w:rPr>
                      <w:rFonts w:hint="default"/>
                      <w:highlight w:val="none"/>
                      <w:lang w:val="en-US" w:eastAsia="zh-CN"/>
                    </w:rPr>
                  </w:pPr>
                  <w:r>
                    <w:rPr>
                      <w:rFonts w:hint="eastAsia" w:cs="Times New Roman"/>
                      <w:b w:val="0"/>
                      <w:bCs w:val="0"/>
                      <w:color w:val="auto"/>
                      <w:sz w:val="21"/>
                      <w:szCs w:val="21"/>
                      <w:highlight w:val="none"/>
                      <w:vertAlign w:val="baseline"/>
                      <w:lang w:val="en-US" w:eastAsia="zh-CN"/>
                    </w:rPr>
                    <w:t>混凝土</w:t>
                  </w:r>
                </w:p>
              </w:tc>
              <w:tc>
                <w:tcPr>
                  <w:tcW w:w="1091" w:type="dxa"/>
                  <w:noWrap w:val="0"/>
                  <w:vAlign w:val="center"/>
                </w:tcPr>
                <w:p>
                  <w:pPr>
                    <w:pStyle w:val="50"/>
                    <w:keepNext w:val="0"/>
                    <w:keepLines w:val="0"/>
                    <w:pageBreakBefore w:val="0"/>
                    <w:widowControl/>
                    <w:numPr>
                      <w:ilvl w:val="0"/>
                      <w:numId w:val="0"/>
                    </w:numPr>
                    <w:kinsoku/>
                    <w:wordWrap w:val="0"/>
                    <w:overflowPunct/>
                    <w:topLinePunct/>
                    <w:autoSpaceDE/>
                    <w:autoSpaceDN/>
                    <w:bidi w:val="0"/>
                    <w:adjustRightInd w:val="0"/>
                    <w:snapToGrid w:val="0"/>
                    <w:spacing w:line="240" w:lineRule="auto"/>
                    <w:ind w:left="0" w:leftChars="0" w:right="0" w:rightChars="0" w:firstLine="0" w:firstLineChars="0"/>
                    <w:jc w:val="center"/>
                    <w:textAlignment w:val="auto"/>
                    <w:rPr>
                      <w:rFonts w:hint="default"/>
                      <w:highlight w:val="no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m³</w:t>
                  </w:r>
                </w:p>
              </w:tc>
              <w:tc>
                <w:tcPr>
                  <w:tcW w:w="1241" w:type="dxa"/>
                  <w:noWrap w:val="0"/>
                  <w:vAlign w:val="center"/>
                </w:tcPr>
                <w:p>
                  <w:pPr>
                    <w:pStyle w:val="50"/>
                    <w:keepNext w:val="0"/>
                    <w:keepLines w:val="0"/>
                    <w:pageBreakBefore w:val="0"/>
                    <w:widowControl/>
                    <w:numPr>
                      <w:ilvl w:val="0"/>
                      <w:numId w:val="0"/>
                    </w:numPr>
                    <w:kinsoku/>
                    <w:wordWrap w:val="0"/>
                    <w:overflowPunct/>
                    <w:topLinePunct/>
                    <w:autoSpaceDE/>
                    <w:autoSpaceDN/>
                    <w:bidi w:val="0"/>
                    <w:adjustRightInd w:val="0"/>
                    <w:snapToGrid w:val="0"/>
                    <w:spacing w:line="240" w:lineRule="auto"/>
                    <w:ind w:left="0" w:leftChars="0" w:right="0" w:rightChars="0" w:firstLine="0" w:firstLineChars="0"/>
                    <w:jc w:val="center"/>
                    <w:textAlignment w:val="auto"/>
                    <w:rPr>
                      <w:rFonts w:hint="default"/>
                      <w:highlight w:val="none"/>
                      <w:lang w:val="en-US" w:eastAsia="zh-CN"/>
                    </w:rPr>
                  </w:pPr>
                  <w:r>
                    <w:rPr>
                      <w:rFonts w:hint="eastAsia" w:cs="Times New Roman"/>
                      <w:b w:val="0"/>
                      <w:bCs w:val="0"/>
                      <w:color w:val="auto"/>
                      <w:sz w:val="21"/>
                      <w:szCs w:val="21"/>
                      <w:highlight w:val="none"/>
                      <w:vertAlign w:val="baseline"/>
                      <w:lang w:val="en-US" w:eastAsia="zh-CN"/>
                    </w:rPr>
                    <w:t>632</w:t>
                  </w:r>
                </w:p>
              </w:tc>
              <w:tc>
                <w:tcPr>
                  <w:tcW w:w="3198" w:type="dxa"/>
                  <w:noWrap w:val="0"/>
                  <w:vAlign w:val="center"/>
                </w:tcPr>
                <w:p>
                  <w:pPr>
                    <w:pStyle w:val="6"/>
                    <w:bidi w:val="0"/>
                    <w:rPr>
                      <w:rFonts w:hint="default"/>
                      <w:highlight w:val="none"/>
                      <w:lang w:val="en-US" w:eastAsia="zh-CN"/>
                    </w:rPr>
                  </w:pPr>
                  <w:r>
                    <w:rPr>
                      <w:rFonts w:hint="default"/>
                      <w:highlight w:val="none"/>
                      <w:lang w:val="en-US" w:eastAsia="zh-CN"/>
                    </w:rPr>
                    <w:t>当地购买</w:t>
                  </w:r>
                  <w:r>
                    <w:rPr>
                      <w:rFonts w:hint="eastAsia"/>
                      <w:highlight w:val="none"/>
                      <w:lang w:val="en-US" w:eastAsia="zh-CN"/>
                    </w:rPr>
                    <w:t>成品，混凝土车辆直接运送至施工场地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3</w:t>
                  </w:r>
                </w:p>
              </w:tc>
              <w:tc>
                <w:tcPr>
                  <w:tcW w:w="1613" w:type="dxa"/>
                  <w:noWrap w:val="0"/>
                  <w:vAlign w:val="center"/>
                </w:tcPr>
                <w:p>
                  <w:pPr>
                    <w:pStyle w:val="6"/>
                    <w:bidi w:val="0"/>
                    <w:rPr>
                      <w:rFonts w:hint="default"/>
                      <w:highlight w:val="none"/>
                      <w:lang w:val="en-US" w:eastAsia="zh-CN"/>
                    </w:rPr>
                  </w:pPr>
                  <w:r>
                    <w:rPr>
                      <w:rFonts w:hint="eastAsia"/>
                      <w:highlight w:val="none"/>
                      <w:lang w:val="en-US" w:eastAsia="zh-CN"/>
                    </w:rPr>
                    <w:t>预制砼U型渠</w:t>
                  </w:r>
                </w:p>
              </w:tc>
              <w:tc>
                <w:tcPr>
                  <w:tcW w:w="1091" w:type="dxa"/>
                  <w:noWrap w:val="0"/>
                  <w:vAlign w:val="center"/>
                </w:tcPr>
                <w:p>
                  <w:pPr>
                    <w:pStyle w:val="6"/>
                    <w:bidi w:val="0"/>
                    <w:rPr>
                      <w:rFonts w:hint="eastAsia"/>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bidi w:val="0"/>
                    <w:rPr>
                      <w:rFonts w:hint="default"/>
                      <w:highlight w:val="none"/>
                      <w:lang w:val="en-US" w:eastAsia="zh-CN"/>
                    </w:rPr>
                  </w:pPr>
                  <w:r>
                    <w:rPr>
                      <w:rFonts w:hint="eastAsia"/>
                      <w:highlight w:val="none"/>
                      <w:lang w:val="en-US" w:eastAsia="zh-CN"/>
                    </w:rPr>
                    <w:t>750</w:t>
                  </w:r>
                </w:p>
              </w:tc>
              <w:tc>
                <w:tcPr>
                  <w:tcW w:w="3198" w:type="dxa"/>
                  <w:noWrap w:val="0"/>
                  <w:vAlign w:val="center"/>
                </w:tcPr>
                <w:p>
                  <w:pPr>
                    <w:pStyle w:val="6"/>
                    <w:bidi w:val="0"/>
                    <w:rPr>
                      <w:rFonts w:hint="default"/>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4</w:t>
                  </w:r>
                </w:p>
              </w:tc>
              <w:tc>
                <w:tcPr>
                  <w:tcW w:w="1613" w:type="dxa"/>
                  <w:noWrap w:val="0"/>
                  <w:vAlign w:val="center"/>
                </w:tcPr>
                <w:p>
                  <w:pPr>
                    <w:pStyle w:val="6"/>
                    <w:bidi w:val="0"/>
                    <w:rPr>
                      <w:rFonts w:hint="default"/>
                      <w:highlight w:val="none"/>
                      <w:lang w:val="en-US" w:eastAsia="zh-CN"/>
                    </w:rPr>
                  </w:pPr>
                  <w:r>
                    <w:rPr>
                      <w:rFonts w:hint="eastAsia"/>
                      <w:highlight w:val="none"/>
                      <w:lang w:val="en-US" w:eastAsia="zh-CN"/>
                    </w:rPr>
                    <w:t>砂砾石垫层</w:t>
                  </w:r>
                </w:p>
              </w:tc>
              <w:tc>
                <w:tcPr>
                  <w:tcW w:w="1091" w:type="dxa"/>
                  <w:noWrap w:val="0"/>
                  <w:vAlign w:val="center"/>
                </w:tcPr>
                <w:p>
                  <w:pPr>
                    <w:pStyle w:val="6"/>
                    <w:bidi w:val="0"/>
                    <w:rPr>
                      <w:rFonts w:hint="eastAsia"/>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bidi w:val="0"/>
                    <w:rPr>
                      <w:rFonts w:hint="default"/>
                      <w:highlight w:val="none"/>
                      <w:lang w:val="en-US" w:eastAsia="zh-CN"/>
                    </w:rPr>
                  </w:pPr>
                  <w:r>
                    <w:rPr>
                      <w:rFonts w:hint="eastAsia"/>
                      <w:highlight w:val="none"/>
                      <w:lang w:val="en-US" w:eastAsia="zh-CN"/>
                    </w:rPr>
                    <w:t>8537.51</w:t>
                  </w:r>
                </w:p>
              </w:tc>
              <w:tc>
                <w:tcPr>
                  <w:tcW w:w="3198" w:type="dxa"/>
                  <w:noWrap w:val="0"/>
                  <w:vAlign w:val="center"/>
                </w:tcPr>
                <w:p>
                  <w:pPr>
                    <w:pStyle w:val="6"/>
                    <w:bidi w:val="0"/>
                    <w:rPr>
                      <w:rFonts w:hint="default"/>
                      <w:highlight w:val="none"/>
                      <w:lang w:val="en-US" w:eastAsia="zh-CN"/>
                    </w:rPr>
                  </w:pPr>
                  <w:r>
                    <w:rPr>
                      <w:rFonts w:hint="default"/>
                      <w:highlight w:val="none"/>
                      <w:lang w:val="en-US" w:eastAsia="zh-CN"/>
                    </w:rPr>
                    <w:t>当地购买</w:t>
                  </w:r>
                  <w:r>
                    <w:rPr>
                      <w:rFonts w:hint="eastAsia"/>
                      <w:highlight w:val="none"/>
                      <w:lang w:val="en-US" w:eastAsia="zh-CN"/>
                    </w:rPr>
                    <w:t>成品，自卸汽车拉运至施工场地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11" w:type="dxa"/>
                  <w:noWrap w:val="0"/>
                  <w:vAlign w:val="center"/>
                </w:tcPr>
                <w:p>
                  <w:pPr>
                    <w:pStyle w:val="6"/>
                    <w:bidi w:val="0"/>
                    <w:rPr>
                      <w:rFonts w:hint="default"/>
                      <w:highlight w:val="none"/>
                      <w:lang w:val="en-US" w:eastAsia="zh-CN"/>
                    </w:rPr>
                  </w:pPr>
                  <w:r>
                    <w:rPr>
                      <w:rFonts w:hint="eastAsia"/>
                      <w:highlight w:val="none"/>
                      <w:lang w:val="en-US" w:eastAsia="zh-CN"/>
                    </w:rPr>
                    <w:t>5</w:t>
                  </w:r>
                </w:p>
              </w:tc>
              <w:tc>
                <w:tcPr>
                  <w:tcW w:w="1613" w:type="dxa"/>
                  <w:noWrap w:val="0"/>
                  <w:vAlign w:val="center"/>
                </w:tcPr>
                <w:p>
                  <w:pPr>
                    <w:pStyle w:val="6"/>
                    <w:bidi w:val="0"/>
                    <w:rPr>
                      <w:rFonts w:hint="default"/>
                      <w:highlight w:val="none"/>
                      <w:lang w:val="en-US" w:eastAsia="zh-CN"/>
                    </w:rPr>
                  </w:pPr>
                  <w:r>
                    <w:rPr>
                      <w:rFonts w:hint="eastAsia"/>
                      <w:highlight w:val="none"/>
                      <w:lang w:val="en-US" w:eastAsia="zh-CN"/>
                    </w:rPr>
                    <w:t>闸门</w:t>
                  </w:r>
                </w:p>
              </w:tc>
              <w:tc>
                <w:tcPr>
                  <w:tcW w:w="1091" w:type="dxa"/>
                  <w:noWrap w:val="0"/>
                  <w:vAlign w:val="center"/>
                </w:tcPr>
                <w:p>
                  <w:pPr>
                    <w:pStyle w:val="6"/>
                    <w:bidi w:val="0"/>
                    <w:rPr>
                      <w:rFonts w:hint="default"/>
                      <w:highlight w:val="none"/>
                      <w:lang w:val="en-US" w:eastAsia="zh-CN"/>
                    </w:rPr>
                  </w:pPr>
                  <w:r>
                    <w:rPr>
                      <w:rFonts w:hint="eastAsia"/>
                      <w:highlight w:val="none"/>
                      <w:lang w:val="en-US" w:eastAsia="zh-CN"/>
                    </w:rPr>
                    <w:t>套</w:t>
                  </w:r>
                </w:p>
              </w:tc>
              <w:tc>
                <w:tcPr>
                  <w:tcW w:w="1241" w:type="dxa"/>
                  <w:noWrap w:val="0"/>
                  <w:vAlign w:val="center"/>
                </w:tcPr>
                <w:p>
                  <w:pPr>
                    <w:pStyle w:val="6"/>
                    <w:bidi w:val="0"/>
                    <w:rPr>
                      <w:rFonts w:hint="default"/>
                      <w:highlight w:val="none"/>
                      <w:lang w:val="en-US" w:eastAsia="zh-CN"/>
                    </w:rPr>
                  </w:pPr>
                  <w:r>
                    <w:rPr>
                      <w:rFonts w:hint="eastAsia"/>
                      <w:highlight w:val="none"/>
                      <w:lang w:val="en-US" w:eastAsia="zh-CN"/>
                    </w:rPr>
                    <w:t>220</w:t>
                  </w:r>
                </w:p>
              </w:tc>
              <w:tc>
                <w:tcPr>
                  <w:tcW w:w="3198" w:type="dxa"/>
                  <w:noWrap w:val="0"/>
                  <w:vAlign w:val="center"/>
                </w:tcPr>
                <w:p>
                  <w:pPr>
                    <w:pStyle w:val="6"/>
                    <w:bidi w:val="0"/>
                    <w:rPr>
                      <w:rFonts w:hint="default"/>
                      <w:highlight w:val="none"/>
                      <w:lang w:val="en-US" w:eastAsia="zh-CN"/>
                    </w:rPr>
                  </w:pPr>
                  <w:r>
                    <w:rPr>
                      <w:rFonts w:hint="eastAsia"/>
                      <w:highlight w:val="none"/>
                      <w:lang w:val="en-US" w:eastAsia="zh-CN"/>
                    </w:rPr>
                    <w:t>外购成品，施工区组装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6</w:t>
                  </w:r>
                </w:p>
              </w:tc>
              <w:tc>
                <w:tcPr>
                  <w:tcW w:w="1613" w:type="dxa"/>
                  <w:noWrap w:val="0"/>
                  <w:vAlign w:val="center"/>
                </w:tcPr>
                <w:p>
                  <w:pPr>
                    <w:pStyle w:val="6"/>
                    <w:bidi w:val="0"/>
                    <w:rPr>
                      <w:rFonts w:hint="default"/>
                      <w:highlight w:val="none"/>
                      <w:lang w:val="en-US" w:eastAsia="zh-CN"/>
                    </w:rPr>
                  </w:pPr>
                  <w:r>
                    <w:rPr>
                      <w:rFonts w:hint="eastAsia"/>
                      <w:highlight w:val="none"/>
                      <w:lang w:val="en-US" w:eastAsia="zh-CN"/>
                    </w:rPr>
                    <w:t>钢筋</w:t>
                  </w:r>
                </w:p>
              </w:tc>
              <w:tc>
                <w:tcPr>
                  <w:tcW w:w="1091" w:type="dxa"/>
                  <w:noWrap w:val="0"/>
                  <w:vAlign w:val="center"/>
                </w:tcPr>
                <w:p>
                  <w:pPr>
                    <w:pStyle w:val="6"/>
                    <w:bidi w:val="0"/>
                    <w:rPr>
                      <w:rFonts w:hint="eastAsia"/>
                      <w:highlight w:val="none"/>
                      <w:lang w:val="en-US" w:eastAsia="zh-CN"/>
                    </w:rPr>
                  </w:pPr>
                  <w:r>
                    <w:rPr>
                      <w:rFonts w:hint="eastAsia"/>
                      <w:highlight w:val="none"/>
                      <w:lang w:val="en-US" w:eastAsia="zh-CN"/>
                    </w:rPr>
                    <w:t>t</w:t>
                  </w:r>
                </w:p>
              </w:tc>
              <w:tc>
                <w:tcPr>
                  <w:tcW w:w="1241" w:type="dxa"/>
                  <w:noWrap w:val="0"/>
                  <w:vAlign w:val="center"/>
                </w:tcPr>
                <w:p>
                  <w:pPr>
                    <w:pStyle w:val="6"/>
                    <w:bidi w:val="0"/>
                    <w:rPr>
                      <w:rFonts w:hint="default"/>
                      <w:highlight w:val="none"/>
                      <w:lang w:val="en-US" w:eastAsia="zh-CN"/>
                    </w:rPr>
                  </w:pPr>
                  <w:r>
                    <w:rPr>
                      <w:rFonts w:hint="eastAsia"/>
                      <w:highlight w:val="none"/>
                      <w:lang w:val="en-US" w:eastAsia="zh-CN"/>
                    </w:rPr>
                    <w:t>1.7</w:t>
                  </w:r>
                </w:p>
              </w:tc>
              <w:tc>
                <w:tcPr>
                  <w:tcW w:w="3198" w:type="dxa"/>
                  <w:noWrap w:val="0"/>
                  <w:vAlign w:val="center"/>
                </w:tcPr>
                <w:p>
                  <w:pPr>
                    <w:pStyle w:val="6"/>
                    <w:bidi w:val="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7</w:t>
                  </w:r>
                </w:p>
              </w:tc>
              <w:tc>
                <w:tcPr>
                  <w:tcW w:w="1613" w:type="dxa"/>
                  <w:noWrap w:val="0"/>
                  <w:vAlign w:val="center"/>
                </w:tcPr>
                <w:p>
                  <w:pPr>
                    <w:pStyle w:val="6"/>
                    <w:bidi w:val="0"/>
                    <w:rPr>
                      <w:rFonts w:hint="default"/>
                      <w:highlight w:val="none"/>
                      <w:lang w:val="en-US" w:eastAsia="zh-CN"/>
                    </w:rPr>
                  </w:pPr>
                  <w:r>
                    <w:rPr>
                      <w:rFonts w:hint="eastAsia"/>
                      <w:highlight w:val="none"/>
                      <w:lang w:val="en-US" w:eastAsia="zh-CN"/>
                    </w:rPr>
                    <w:t>聚氨酯</w:t>
                  </w:r>
                </w:p>
              </w:tc>
              <w:tc>
                <w:tcPr>
                  <w:tcW w:w="1091" w:type="dxa"/>
                  <w:noWrap w:val="0"/>
                  <w:vAlign w:val="center"/>
                </w:tcPr>
                <w:p>
                  <w:pPr>
                    <w:pStyle w:val="6"/>
                    <w:bidi w:val="0"/>
                    <w:rPr>
                      <w:rFonts w:hint="eastAsia"/>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bidi w:val="0"/>
                    <w:rPr>
                      <w:rFonts w:hint="default"/>
                      <w:highlight w:val="none"/>
                      <w:lang w:val="en-US" w:eastAsia="zh-CN"/>
                    </w:rPr>
                  </w:pPr>
                  <w:r>
                    <w:rPr>
                      <w:rFonts w:hint="eastAsia"/>
                      <w:highlight w:val="none"/>
                      <w:lang w:val="en-US" w:eastAsia="zh-CN"/>
                    </w:rPr>
                    <w:t>10</w:t>
                  </w:r>
                </w:p>
              </w:tc>
              <w:tc>
                <w:tcPr>
                  <w:tcW w:w="3198" w:type="dxa"/>
                  <w:noWrap w:val="0"/>
                  <w:vAlign w:val="center"/>
                </w:tcPr>
                <w:p>
                  <w:pPr>
                    <w:pStyle w:val="6"/>
                    <w:bidi w:val="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8</w:t>
                  </w:r>
                </w:p>
              </w:tc>
              <w:tc>
                <w:tcPr>
                  <w:tcW w:w="1613" w:type="dxa"/>
                  <w:noWrap w:val="0"/>
                  <w:vAlign w:val="center"/>
                </w:tcPr>
                <w:p>
                  <w:pPr>
                    <w:pStyle w:val="6"/>
                    <w:bidi w:val="0"/>
                    <w:rPr>
                      <w:rFonts w:hint="default"/>
                      <w:highlight w:val="none"/>
                      <w:lang w:val="en-US" w:eastAsia="zh-CN"/>
                    </w:rPr>
                  </w:pPr>
                  <w:r>
                    <w:rPr>
                      <w:rFonts w:hint="eastAsia"/>
                      <w:highlight w:val="none"/>
                      <w:lang w:val="en-US" w:eastAsia="zh-CN"/>
                    </w:rPr>
                    <w:t>高压闭孔板</w:t>
                  </w:r>
                </w:p>
              </w:tc>
              <w:tc>
                <w:tcPr>
                  <w:tcW w:w="1091" w:type="dxa"/>
                  <w:noWrap w:val="0"/>
                  <w:vAlign w:val="center"/>
                </w:tcPr>
                <w:p>
                  <w:pPr>
                    <w:pStyle w:val="6"/>
                    <w:bidi w:val="0"/>
                    <w:rPr>
                      <w:rFonts w:hint="default"/>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bidi w:val="0"/>
                    <w:rPr>
                      <w:rFonts w:hint="default"/>
                      <w:highlight w:val="none"/>
                      <w:lang w:val="en-US" w:eastAsia="zh-CN"/>
                    </w:rPr>
                  </w:pPr>
                  <w:r>
                    <w:rPr>
                      <w:rFonts w:hint="eastAsia"/>
                      <w:highlight w:val="none"/>
                      <w:lang w:val="en-US" w:eastAsia="zh-CN"/>
                    </w:rPr>
                    <w:t>2067</w:t>
                  </w:r>
                </w:p>
              </w:tc>
              <w:tc>
                <w:tcPr>
                  <w:tcW w:w="3198" w:type="dxa"/>
                  <w:noWrap w:val="0"/>
                  <w:vAlign w:val="center"/>
                </w:tcPr>
                <w:p>
                  <w:pPr>
                    <w:pStyle w:val="6"/>
                    <w:bidi w:val="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9</w:t>
                  </w:r>
                </w:p>
              </w:tc>
              <w:tc>
                <w:tcPr>
                  <w:tcW w:w="1613" w:type="dxa"/>
                  <w:noWrap w:val="0"/>
                  <w:vAlign w:val="center"/>
                </w:tcPr>
                <w:p>
                  <w:pPr>
                    <w:pStyle w:val="6"/>
                    <w:bidi w:val="0"/>
                    <w:rPr>
                      <w:rFonts w:hint="default"/>
                      <w:highlight w:val="yellow"/>
                      <w:lang w:val="en-US" w:eastAsia="zh-CN"/>
                    </w:rPr>
                  </w:pPr>
                  <w:r>
                    <w:rPr>
                      <w:rFonts w:hint="eastAsia"/>
                      <w:highlight w:val="none"/>
                      <w:lang w:val="en-US" w:eastAsia="zh-CN"/>
                    </w:rPr>
                    <w:t>预制管φ600</w:t>
                  </w:r>
                </w:p>
              </w:tc>
              <w:tc>
                <w:tcPr>
                  <w:tcW w:w="1091" w:type="dxa"/>
                  <w:noWrap w:val="0"/>
                  <w:vAlign w:val="center"/>
                </w:tcPr>
                <w:p>
                  <w:pPr>
                    <w:pStyle w:val="6"/>
                    <w:bidi w:val="0"/>
                    <w:rPr>
                      <w:rFonts w:hint="eastAsia"/>
                      <w:highlight w:val="yellow"/>
                      <w:lang w:val="en-US" w:eastAsia="zh-CN"/>
                    </w:rPr>
                  </w:pPr>
                  <w:r>
                    <w:rPr>
                      <w:rFonts w:hint="eastAsia"/>
                      <w:highlight w:val="none"/>
                      <w:lang w:val="en-US" w:eastAsia="zh-CN"/>
                    </w:rPr>
                    <w:t>m</w:t>
                  </w:r>
                </w:p>
              </w:tc>
              <w:tc>
                <w:tcPr>
                  <w:tcW w:w="1241" w:type="dxa"/>
                  <w:noWrap w:val="0"/>
                  <w:vAlign w:val="center"/>
                </w:tcPr>
                <w:p>
                  <w:pPr>
                    <w:pStyle w:val="6"/>
                    <w:bidi w:val="0"/>
                    <w:rPr>
                      <w:rFonts w:hint="default"/>
                      <w:highlight w:val="yellow"/>
                      <w:lang w:val="en-US" w:eastAsia="zh-CN"/>
                    </w:rPr>
                  </w:pPr>
                  <w:r>
                    <w:rPr>
                      <w:rFonts w:hint="eastAsia"/>
                      <w:highlight w:val="none"/>
                      <w:lang w:val="en-US" w:eastAsia="zh-CN"/>
                    </w:rPr>
                    <w:t>64</w:t>
                  </w:r>
                </w:p>
              </w:tc>
              <w:tc>
                <w:tcPr>
                  <w:tcW w:w="3198" w:type="dxa"/>
                  <w:noWrap w:val="0"/>
                  <w:vAlign w:val="center"/>
                </w:tcPr>
                <w:p>
                  <w:pPr>
                    <w:pStyle w:val="6"/>
                    <w:bidi w:val="0"/>
                    <w:rPr>
                      <w:rFonts w:hint="eastAsia"/>
                      <w:highlight w:val="yellow"/>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10</w:t>
                  </w:r>
                </w:p>
              </w:tc>
              <w:tc>
                <w:tcPr>
                  <w:tcW w:w="1613" w:type="dxa"/>
                  <w:noWrap w:val="0"/>
                  <w:vAlign w:val="center"/>
                </w:tcPr>
                <w:p>
                  <w:pPr>
                    <w:pStyle w:val="6"/>
                    <w:bidi w:val="0"/>
                    <w:rPr>
                      <w:rFonts w:hint="default"/>
                      <w:highlight w:val="none"/>
                      <w:lang w:val="en-US" w:eastAsia="zh-CN"/>
                    </w:rPr>
                  </w:pPr>
                  <w:r>
                    <w:rPr>
                      <w:rFonts w:hint="eastAsia"/>
                      <w:highlight w:val="none"/>
                      <w:lang w:val="en-US" w:eastAsia="zh-CN"/>
                    </w:rPr>
                    <w:t>启闭机0.5t</w:t>
                  </w:r>
                </w:p>
              </w:tc>
              <w:tc>
                <w:tcPr>
                  <w:tcW w:w="1091" w:type="dxa"/>
                  <w:noWrap w:val="0"/>
                  <w:vAlign w:val="center"/>
                </w:tcPr>
                <w:p>
                  <w:pPr>
                    <w:pStyle w:val="6"/>
                    <w:bidi w:val="0"/>
                    <w:rPr>
                      <w:rFonts w:hint="default"/>
                      <w:highlight w:val="none"/>
                      <w:lang w:val="en-US" w:eastAsia="zh-CN"/>
                    </w:rPr>
                  </w:pPr>
                  <w:r>
                    <w:rPr>
                      <w:rFonts w:hint="eastAsia"/>
                      <w:highlight w:val="none"/>
                      <w:lang w:val="en-US" w:eastAsia="zh-CN"/>
                    </w:rPr>
                    <w:t>台</w:t>
                  </w:r>
                </w:p>
              </w:tc>
              <w:tc>
                <w:tcPr>
                  <w:tcW w:w="1241" w:type="dxa"/>
                  <w:noWrap w:val="0"/>
                  <w:vAlign w:val="center"/>
                </w:tcPr>
                <w:p>
                  <w:pPr>
                    <w:pStyle w:val="6"/>
                    <w:bidi w:val="0"/>
                    <w:rPr>
                      <w:rFonts w:hint="default"/>
                      <w:highlight w:val="none"/>
                      <w:lang w:val="en-US" w:eastAsia="zh-CN"/>
                    </w:rPr>
                  </w:pPr>
                  <w:r>
                    <w:rPr>
                      <w:rFonts w:hint="eastAsia"/>
                      <w:highlight w:val="none"/>
                      <w:lang w:val="en-US" w:eastAsia="zh-CN"/>
                    </w:rPr>
                    <w:t>312</w:t>
                  </w:r>
                </w:p>
              </w:tc>
              <w:tc>
                <w:tcPr>
                  <w:tcW w:w="3198" w:type="dxa"/>
                  <w:noWrap w:val="0"/>
                  <w:vAlign w:val="center"/>
                </w:tcPr>
                <w:p>
                  <w:pPr>
                    <w:pStyle w:val="6"/>
                    <w:bidi w:val="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bidi w:val="0"/>
                    <w:rPr>
                      <w:rFonts w:hint="default"/>
                      <w:highlight w:val="none"/>
                      <w:lang w:val="en-US" w:eastAsia="zh-CN"/>
                    </w:rPr>
                  </w:pPr>
                  <w:r>
                    <w:rPr>
                      <w:rFonts w:hint="eastAsia"/>
                      <w:highlight w:val="none"/>
                      <w:lang w:val="en-US" w:eastAsia="zh-CN"/>
                    </w:rPr>
                    <w:t>11</w:t>
                  </w:r>
                </w:p>
              </w:tc>
              <w:tc>
                <w:tcPr>
                  <w:tcW w:w="1613" w:type="dxa"/>
                  <w:noWrap w:val="0"/>
                  <w:vAlign w:val="center"/>
                </w:tcPr>
                <w:p>
                  <w:pPr>
                    <w:pStyle w:val="6"/>
                    <w:bidi w:val="0"/>
                    <w:rPr>
                      <w:rFonts w:hint="default"/>
                      <w:highlight w:val="yellow"/>
                      <w:lang w:val="en-US" w:eastAsia="zh-CN"/>
                    </w:rPr>
                  </w:pPr>
                  <w:r>
                    <w:rPr>
                      <w:rFonts w:hint="eastAsia"/>
                      <w:highlight w:val="none"/>
                      <w:lang w:val="en-US" w:eastAsia="zh-CN"/>
                    </w:rPr>
                    <w:t>水</w:t>
                  </w:r>
                </w:p>
              </w:tc>
              <w:tc>
                <w:tcPr>
                  <w:tcW w:w="1091" w:type="dxa"/>
                  <w:noWrap w:val="0"/>
                  <w:vAlign w:val="center"/>
                </w:tcPr>
                <w:p>
                  <w:pPr>
                    <w:pStyle w:val="6"/>
                    <w:bidi w:val="0"/>
                    <w:rPr>
                      <w:rFonts w:hint="default"/>
                      <w:highlight w:val="yellow"/>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bidi w:val="0"/>
                    <w:rPr>
                      <w:rFonts w:hint="default"/>
                      <w:highlight w:val="yellow"/>
                      <w:lang w:val="en-US" w:eastAsia="zh-CN"/>
                    </w:rPr>
                  </w:pPr>
                  <w:r>
                    <w:rPr>
                      <w:rFonts w:hint="eastAsia"/>
                      <w:highlight w:val="none"/>
                      <w:lang w:val="en-US" w:eastAsia="zh-CN"/>
                    </w:rPr>
                    <w:t>200</w:t>
                  </w:r>
                </w:p>
              </w:tc>
              <w:tc>
                <w:tcPr>
                  <w:tcW w:w="3198" w:type="dxa"/>
                  <w:noWrap w:val="0"/>
                  <w:vAlign w:val="center"/>
                </w:tcPr>
                <w:p>
                  <w:pPr>
                    <w:pStyle w:val="6"/>
                    <w:bidi w:val="0"/>
                    <w:rPr>
                      <w:rFonts w:hint="eastAsia"/>
                      <w:highlight w:val="yellow"/>
                      <w:lang w:val="en-US" w:eastAsia="zh-CN"/>
                    </w:rPr>
                  </w:pPr>
                  <w:r>
                    <w:rPr>
                      <w:rFonts w:hint="eastAsia"/>
                      <w:highlight w:val="none"/>
                      <w:lang w:val="en-US" w:eastAsia="zh-CN"/>
                    </w:rPr>
                    <w:t>拉运</w:t>
                  </w:r>
                </w:p>
              </w:tc>
            </w:tr>
          </w:tbl>
          <w:p>
            <w:pPr>
              <w:pStyle w:val="3"/>
              <w:bidi w:val="0"/>
              <w:rPr>
                <w:rFonts w:hint="eastAsia"/>
                <w:lang w:val="en-US" w:eastAsia="zh-CN"/>
              </w:rPr>
            </w:pPr>
            <w:r>
              <w:rPr>
                <w:rFonts w:hint="eastAsia"/>
                <w:lang w:val="en-US" w:eastAsia="zh-CN"/>
              </w:rPr>
              <w:t>4 公用工程</w:t>
            </w:r>
          </w:p>
          <w:p>
            <w:pPr>
              <w:bidi w:val="0"/>
              <w:rPr>
                <w:rFonts w:hint="eastAsia"/>
                <w:lang w:val="en-US" w:eastAsia="zh-CN"/>
              </w:rPr>
            </w:pPr>
            <w:r>
              <w:rPr>
                <w:rFonts w:hint="eastAsia"/>
                <w:lang w:val="en-US" w:eastAsia="zh-CN"/>
              </w:rPr>
              <w:t>（1）供水</w:t>
            </w:r>
          </w:p>
          <w:p>
            <w:pPr>
              <w:bidi w:val="0"/>
              <w:rPr>
                <w:rFonts w:hint="eastAsia"/>
                <w:lang w:val="en-US" w:eastAsia="zh-CN"/>
              </w:rPr>
            </w:pPr>
            <w:r>
              <w:rPr>
                <w:rFonts w:hint="eastAsia"/>
                <w:lang w:val="en-US" w:eastAsia="zh-CN"/>
              </w:rPr>
              <w:t>本工程为现有土渠防渗改造工程，施工较为分散，现浇混凝土均采用外购商业混凝土，施工现场不设混凝土拌和站。根据本项目实施方案、类比同类项目施工情况，本项目施工用水约200m</w:t>
            </w:r>
            <w:r>
              <w:rPr>
                <w:rFonts w:hint="eastAsia"/>
                <w:vertAlign w:val="superscript"/>
                <w:lang w:val="en-US" w:eastAsia="zh-CN"/>
              </w:rPr>
              <w:t>3</w:t>
            </w:r>
            <w:r>
              <w:rPr>
                <w:rFonts w:hint="eastAsia"/>
                <w:lang w:val="en-US" w:eastAsia="zh-CN"/>
              </w:rPr>
              <w:t>，施工用水较少从附近村庄拉运。</w:t>
            </w:r>
          </w:p>
          <w:p>
            <w:pPr>
              <w:bidi w:val="0"/>
              <w:rPr>
                <w:rFonts w:hint="eastAsia"/>
                <w:lang w:val="en-US" w:eastAsia="zh-CN"/>
              </w:rPr>
            </w:pPr>
            <w:r>
              <w:rPr>
                <w:rFonts w:hint="eastAsia"/>
                <w:lang w:val="en-US" w:eastAsia="zh-CN"/>
              </w:rPr>
              <w:t>（2）排水</w:t>
            </w:r>
          </w:p>
          <w:p>
            <w:pPr>
              <w:bidi w:val="0"/>
              <w:rPr>
                <w:rFonts w:hint="eastAsia"/>
                <w:lang w:val="en-US" w:eastAsia="zh-CN"/>
              </w:rPr>
            </w:pPr>
            <w:r>
              <w:rPr>
                <w:rFonts w:hint="eastAsia"/>
                <w:lang w:val="en-US" w:eastAsia="zh-CN"/>
              </w:rPr>
              <w:t>生产废水设置临时沉淀池收集，沉淀后用于洒水抑尘；生活区租用民房，施工生活污水依托民房现有设施解决。</w:t>
            </w:r>
          </w:p>
          <w:p>
            <w:pPr>
              <w:bidi w:val="0"/>
              <w:rPr>
                <w:rFonts w:hint="eastAsia"/>
                <w:lang w:val="en-US" w:eastAsia="zh-CN"/>
              </w:rPr>
            </w:pPr>
            <w:r>
              <w:rPr>
                <w:rFonts w:hint="eastAsia"/>
                <w:lang w:val="en-US" w:eastAsia="zh-CN"/>
              </w:rPr>
              <w:t>（3）供电</w:t>
            </w:r>
          </w:p>
          <w:p>
            <w:pPr>
              <w:bidi w:val="0"/>
              <w:rPr>
                <w:rFonts w:hint="eastAsia"/>
                <w:lang w:val="en-US" w:eastAsia="zh-CN"/>
              </w:rPr>
            </w:pPr>
            <w:r>
              <w:rPr>
                <w:rFonts w:hint="eastAsia"/>
                <w:lang w:val="en-US" w:eastAsia="zh-CN"/>
              </w:rPr>
              <w:t>项目施工配套用电采用双电源供给模式，50%用电负荷依托市政电网供电，剩余50%用电负荷由自备柴油发电机组自发供电。</w:t>
            </w:r>
          </w:p>
          <w:p>
            <w:pPr>
              <w:pStyle w:val="3"/>
              <w:bidi w:val="0"/>
              <w:rPr>
                <w:rFonts w:hint="default"/>
                <w:lang w:val="en-US" w:eastAsia="zh-CN"/>
              </w:rPr>
            </w:pPr>
            <w:r>
              <w:rPr>
                <w:rFonts w:hint="eastAsia"/>
                <w:lang w:val="en-US" w:eastAsia="zh-CN"/>
              </w:rPr>
              <w:t>5 工程设计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为农业提供稳定水源，满足农田灌溉需求。充分发挥防渗工程设施的潜力，实现水资源在不同区域、行业和用户之间的优化配置。项目可降低灌区运行成本，提高灌区工程设施的利用效率实现经济效益最大化。</w:t>
            </w:r>
          </w:p>
          <w:p>
            <w:pPr>
              <w:bidi w:val="0"/>
              <w:rPr>
                <w:rFonts w:hint="default" w:ascii="Times New Roman" w:hAnsi="Times New Roman" w:cs="Times New Roman"/>
                <w:color w:val="auto"/>
                <w:kern w:val="0"/>
                <w:sz w:val="24"/>
                <w:szCs w:val="24"/>
                <w:highlight w:val="yellow"/>
                <w:lang w:val="en-US" w:eastAsia="zh-CN"/>
              </w:rPr>
            </w:pPr>
            <w:r>
              <w:rPr>
                <w:rFonts w:hint="default" w:ascii="Times New Roman" w:hAnsi="Times New Roman" w:cs="Times New Roman"/>
                <w:color w:val="auto"/>
                <w:kern w:val="0"/>
                <w:sz w:val="24"/>
                <w:szCs w:val="24"/>
                <w:highlight w:val="none"/>
                <w:lang w:val="en-US" w:eastAsia="zh-CN"/>
              </w:rPr>
              <w:t>渠道控制灌溉总面积约</w:t>
            </w:r>
            <w:r>
              <w:rPr>
                <w:rFonts w:hint="eastAsia" w:cs="Times New Roman"/>
                <w:color w:val="auto"/>
                <w:kern w:val="0"/>
                <w:sz w:val="24"/>
                <w:szCs w:val="24"/>
                <w:highlight w:val="none"/>
                <w:lang w:val="en-US" w:eastAsia="zh-CN"/>
              </w:rPr>
              <w:t>0.1万亩</w:t>
            </w:r>
            <w:r>
              <w:rPr>
                <w:rFonts w:hint="default" w:ascii="Times New Roman" w:hAnsi="Times New Roman" w:cs="Times New Roman"/>
                <w:color w:val="auto"/>
                <w:kern w:val="0"/>
                <w:sz w:val="24"/>
                <w:szCs w:val="24"/>
                <w:highlight w:val="none"/>
                <w:lang w:val="en-US" w:eastAsia="zh-CN"/>
              </w:rPr>
              <w:t>，渠道的设计引水流量为0.1~</w:t>
            </w:r>
            <w:r>
              <w:rPr>
                <w:rFonts w:hint="eastAsia" w:cs="Times New Roman"/>
                <w:color w:val="auto"/>
                <w:kern w:val="0"/>
                <w:sz w:val="24"/>
                <w:szCs w:val="24"/>
                <w:highlight w:val="none"/>
                <w:lang w:val="en-US" w:eastAsia="zh-CN"/>
              </w:rPr>
              <w:t>0.15</w:t>
            </w:r>
            <w:r>
              <w:rPr>
                <w:rFonts w:hint="default" w:ascii="Times New Roman" w:hAnsi="Times New Roman" w:cs="Times New Roman"/>
                <w:color w:val="auto"/>
                <w:kern w:val="0"/>
                <w:sz w:val="24"/>
                <w:szCs w:val="24"/>
                <w:highlight w:val="none"/>
                <w:lang w:val="en-US" w:eastAsia="zh-CN"/>
              </w:rPr>
              <w:t>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s，根据《水利水电工程等级划分及洪水标准》SL252-2017表3.0.1中要求灌溉面积小于0.5万亩的灌溉渠道工程等别为V等，规模应为小（2）型；根据《灌溉与排水工程设计标准》（GB50288-2018）表3.1.5中要求灌溉设计流量小于5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/s的灌溉渠道级别为5级工程，</w:t>
            </w:r>
            <w:r>
              <w:rPr>
                <w:rFonts w:hint="eastAsia" w:cs="Times New Roman"/>
                <w:color w:val="auto"/>
                <w:kern w:val="0"/>
                <w:sz w:val="24"/>
                <w:szCs w:val="24"/>
                <w:highlight w:val="none"/>
                <w:lang w:val="en-US" w:eastAsia="zh-CN"/>
              </w:rPr>
              <w:t>项目</w:t>
            </w:r>
            <w:r>
              <w:rPr>
                <w:rFonts w:hint="default" w:ascii="Times New Roman" w:hAnsi="Times New Roman" w:cs="Times New Roman"/>
                <w:color w:val="auto"/>
                <w:kern w:val="0"/>
                <w:sz w:val="24"/>
                <w:szCs w:val="24"/>
                <w:highlight w:val="none"/>
                <w:lang w:val="en-US" w:eastAsia="zh-CN"/>
              </w:rPr>
              <w:t>渠道主要</w:t>
            </w:r>
            <w:r>
              <w:rPr>
                <w:rFonts w:hint="eastAsia" w:cs="Times New Roman"/>
                <w:color w:val="auto"/>
                <w:kern w:val="0"/>
                <w:sz w:val="24"/>
                <w:szCs w:val="24"/>
                <w:highlight w:val="none"/>
                <w:lang w:val="en-US" w:eastAsia="zh-CN"/>
              </w:rPr>
              <w:t>构筑物</w:t>
            </w:r>
            <w:r>
              <w:rPr>
                <w:rFonts w:hint="default" w:ascii="Times New Roman" w:hAnsi="Times New Roman" w:cs="Times New Roman"/>
                <w:color w:val="auto"/>
                <w:kern w:val="0"/>
                <w:sz w:val="24"/>
                <w:szCs w:val="24"/>
                <w:highlight w:val="none"/>
                <w:lang w:val="en-US" w:eastAsia="zh-CN"/>
              </w:rPr>
              <w:t>为5级，次要</w:t>
            </w:r>
            <w:r>
              <w:rPr>
                <w:rFonts w:hint="eastAsia" w:cs="Times New Roman"/>
                <w:color w:val="auto"/>
                <w:kern w:val="0"/>
                <w:sz w:val="24"/>
                <w:szCs w:val="24"/>
                <w:highlight w:val="none"/>
                <w:lang w:val="en-US" w:eastAsia="zh-CN"/>
              </w:rPr>
              <w:t>构筑物</w:t>
            </w:r>
            <w:r>
              <w:rPr>
                <w:rFonts w:hint="default" w:ascii="Times New Roman" w:hAnsi="Times New Roman" w:cs="Times New Roman"/>
                <w:color w:val="auto"/>
                <w:kern w:val="0"/>
                <w:sz w:val="24"/>
                <w:szCs w:val="24"/>
                <w:highlight w:val="none"/>
                <w:lang w:val="en-US" w:eastAsia="zh-CN"/>
              </w:rPr>
              <w:t>为5级。</w:t>
            </w:r>
          </w:p>
          <w:p>
            <w:pPr>
              <w:pStyle w:val="3"/>
              <w:bidi w:val="0"/>
              <w:rPr>
                <w:rFonts w:hint="eastAsia"/>
                <w:lang w:val="en-US" w:eastAsia="zh-CN"/>
              </w:rPr>
            </w:pPr>
            <w:r>
              <w:rPr>
                <w:rFonts w:hint="eastAsia"/>
                <w:lang w:val="en-US" w:eastAsia="zh-CN"/>
              </w:rPr>
              <w:t>5.1 渠道</w:t>
            </w:r>
          </w:p>
          <w:p>
            <w:pPr>
              <w:bidi w:val="0"/>
              <w:rPr>
                <w:rFonts w:hint="eastAsia"/>
                <w:lang w:val="en-US" w:eastAsia="zh-CN"/>
              </w:rPr>
            </w:pPr>
            <w:r>
              <w:rPr>
                <w:rFonts w:hint="eastAsia"/>
                <w:lang w:val="en-US" w:eastAsia="zh-CN"/>
              </w:rPr>
              <w:t>项目利用现有渠线，在原渠道基础上进行防渗改造，现有构筑物状况良好，可以满足渠道过流要求，继续使用，损坏严重的进行拆除重建。</w:t>
            </w:r>
          </w:p>
          <w:p>
            <w:pPr>
              <w:bidi w:val="0"/>
              <w:rPr>
                <w:lang w:val="en-US" w:eastAsia="zh-CN"/>
              </w:rPr>
            </w:pPr>
            <w:r>
              <w:rPr>
                <w:rFonts w:hint="eastAsia"/>
                <w:lang w:val="en-US" w:eastAsia="zh-CN"/>
              </w:rPr>
              <w:t>（1）</w:t>
            </w:r>
            <w:r>
              <w:rPr>
                <w:lang w:val="en-US" w:eastAsia="zh-CN"/>
              </w:rPr>
              <w:t>清理基础</w:t>
            </w:r>
            <w:r>
              <w:rPr>
                <w:rFonts w:hint="eastAsia"/>
                <w:lang w:val="en-US" w:eastAsia="zh-CN"/>
              </w:rPr>
              <w:t>腐殖土</w:t>
            </w:r>
            <w:r>
              <w:rPr>
                <w:lang w:val="en-US" w:eastAsia="zh-CN"/>
              </w:rPr>
              <w:t>或植被根系，清废厚度30cm；</w:t>
            </w:r>
          </w:p>
          <w:p>
            <w:pPr>
              <w:bidi w:val="0"/>
              <w:rPr>
                <w:lang w:val="en-US" w:eastAsia="zh-CN"/>
              </w:rPr>
            </w:pPr>
            <w:r>
              <w:rPr>
                <w:rFonts w:hint="eastAsia"/>
                <w:lang w:val="en-US" w:eastAsia="zh-CN"/>
              </w:rPr>
              <w:t>（2）</w:t>
            </w:r>
            <w:r>
              <w:rPr>
                <w:lang w:val="en-US" w:eastAsia="zh-CN"/>
              </w:rPr>
              <w:t>渠道衬砌砼强度标准均采用C30、抗冻指标为F200、抗渗指标为W6，水泥采用普通硅酸盐水泥；</w:t>
            </w:r>
          </w:p>
          <w:p>
            <w:pPr>
              <w:bidi w:val="0"/>
              <w:rPr>
                <w:rFonts w:hint="eastAsia"/>
                <w:lang w:val="en-US" w:eastAsia="zh-CN"/>
              </w:rPr>
            </w:pPr>
            <w:r>
              <w:rPr>
                <w:rFonts w:hint="eastAsia"/>
                <w:lang w:val="en-US" w:eastAsia="zh-CN"/>
              </w:rPr>
              <w:t>（3）U型预制渠道每节设伸缩缝，上部用2cm厚聚氨酯密封胶闭缝，下部采用高压闭孔塑料板嵌缝，高压闭孔板密度为120kg/m</w:t>
            </w:r>
            <w:r>
              <w:rPr>
                <w:rFonts w:hint="eastAsia"/>
                <w:vertAlign w:val="superscript"/>
                <w:lang w:val="en-US" w:eastAsia="zh-CN"/>
              </w:rPr>
              <w:t>3</w:t>
            </w:r>
            <w:r>
              <w:rPr>
                <w:rFonts w:hint="eastAsia"/>
                <w:lang w:val="en-US" w:eastAsia="zh-CN"/>
              </w:rPr>
              <w:t>，聚氨酯密度为大于等于1.4g/cm</w:t>
            </w:r>
            <w:r>
              <w:rPr>
                <w:rFonts w:hint="eastAsia"/>
                <w:vertAlign w:val="superscript"/>
                <w:lang w:val="en-US" w:eastAsia="zh-CN"/>
              </w:rPr>
              <w:t>3</w:t>
            </w:r>
            <w:r>
              <w:rPr>
                <w:rFonts w:hint="eastAsia"/>
                <w:lang w:val="en-US" w:eastAsia="zh-CN"/>
              </w:rPr>
              <w:t>。</w:t>
            </w:r>
          </w:p>
          <w:p>
            <w:pPr>
              <w:bidi w:val="0"/>
              <w:rPr>
                <w:lang w:val="en-US" w:eastAsia="zh-CN"/>
              </w:rPr>
            </w:pPr>
            <w:r>
              <w:rPr>
                <w:rFonts w:hint="eastAsia"/>
                <w:lang w:val="en-US" w:eastAsia="zh-CN"/>
              </w:rPr>
              <w:t>（4）</w:t>
            </w:r>
            <w:r>
              <w:rPr>
                <w:lang w:val="en-US" w:eastAsia="zh-CN"/>
              </w:rPr>
              <w:t>渠道所有回填部分应夯实，</w:t>
            </w:r>
            <w:r>
              <w:rPr>
                <w:rFonts w:hint="eastAsia"/>
                <w:lang w:val="en-US" w:eastAsia="zh-CN"/>
              </w:rPr>
              <w:t>对粘性土压实度不小于</w:t>
            </w:r>
            <w:r>
              <w:rPr>
                <w:rFonts w:hint="default"/>
                <w:lang w:val="en-US" w:eastAsia="zh-CN"/>
              </w:rPr>
              <w:t>0.90</w:t>
            </w:r>
            <w:r>
              <w:rPr>
                <w:rFonts w:hint="eastAsia"/>
                <w:lang w:val="en-US" w:eastAsia="zh-CN"/>
              </w:rPr>
              <w:t>，无粘性土相对紧密度不小于</w:t>
            </w:r>
            <w:r>
              <w:rPr>
                <w:rFonts w:hint="default"/>
                <w:lang w:val="en-US" w:eastAsia="zh-CN"/>
              </w:rPr>
              <w:t>0.70</w:t>
            </w:r>
            <w:r>
              <w:rPr>
                <w:lang w:val="en-US" w:eastAsia="zh-CN"/>
              </w:rPr>
              <w:t>；</w:t>
            </w:r>
          </w:p>
          <w:p>
            <w:pPr>
              <w:bidi w:val="0"/>
              <w:rPr>
                <w:rFonts w:hint="eastAsia"/>
                <w:lang w:val="en-US" w:eastAsia="zh-CN"/>
              </w:rPr>
            </w:pPr>
            <w:r>
              <w:rPr>
                <w:rFonts w:hint="eastAsia"/>
                <w:lang w:val="en-US" w:eastAsia="zh-CN"/>
              </w:rPr>
              <w:t>（5）边坡系数：本次设计外边坡为</w:t>
            </w:r>
            <w:r>
              <w:rPr>
                <w:rFonts w:hint="default"/>
                <w:lang w:val="en-US" w:eastAsia="zh-CN"/>
              </w:rPr>
              <w:t>1:1.5</w:t>
            </w:r>
            <w:r>
              <w:rPr>
                <w:rFonts w:hint="eastAsia"/>
                <w:lang w:val="en-US" w:eastAsia="zh-CN"/>
              </w:rPr>
              <w:t>，</w:t>
            </w:r>
            <w:r>
              <w:rPr>
                <w:rFonts w:hint="default"/>
                <w:lang w:val="en-US" w:eastAsia="zh-CN"/>
              </w:rPr>
              <w:t>U</w:t>
            </w:r>
            <w:r>
              <w:rPr>
                <w:rFonts w:hint="eastAsia"/>
                <w:lang w:val="en-US" w:eastAsia="zh-CN"/>
              </w:rPr>
              <w:t>型渠道内边坡系数接近</w:t>
            </w:r>
            <w:r>
              <w:rPr>
                <w:rFonts w:hint="default"/>
                <w:lang w:val="en-US" w:eastAsia="zh-CN"/>
              </w:rPr>
              <w:t>1</w:t>
            </w:r>
            <w:r>
              <w:rPr>
                <w:rFonts w:hint="eastAsia"/>
                <w:lang w:val="en-US" w:eastAsia="zh-CN"/>
              </w:rPr>
              <w:t>:</w:t>
            </w:r>
            <w:r>
              <w:rPr>
                <w:rFonts w:hint="default"/>
                <w:lang w:val="en-US" w:eastAsia="zh-CN"/>
              </w:rPr>
              <w:t>1</w:t>
            </w:r>
            <w:r>
              <w:rPr>
                <w:rFonts w:hint="eastAsia"/>
                <w:lang w:val="en-US" w:eastAsia="zh-CN"/>
              </w:rPr>
              <w:t>；</w:t>
            </w:r>
          </w:p>
          <w:p>
            <w:pPr>
              <w:bidi w:val="0"/>
              <w:rPr>
                <w:rFonts w:hint="eastAsia"/>
                <w:lang w:val="en-US" w:eastAsia="zh-CN"/>
              </w:rPr>
            </w:pPr>
            <w:r>
              <w:rPr>
                <w:rFonts w:hint="eastAsia"/>
                <w:lang w:val="en-US" w:eastAsia="zh-CN"/>
              </w:rPr>
              <w:t>（6）斗渠设计宽度均为0.7m，流量为0.15m</w:t>
            </w:r>
            <w:r>
              <w:rPr>
                <w:rFonts w:hint="eastAsia"/>
                <w:vertAlign w:val="superscript"/>
                <w:lang w:val="en-US" w:eastAsia="zh-CN"/>
              </w:rPr>
              <w:t>3</w:t>
            </w:r>
            <w:r>
              <w:rPr>
                <w:rFonts w:hint="eastAsia"/>
                <w:lang w:val="en-US" w:eastAsia="zh-CN"/>
              </w:rPr>
              <w:t>/s。</w:t>
            </w:r>
          </w:p>
          <w:p>
            <w:pPr>
              <w:bidi w:val="0"/>
              <w:rPr>
                <w:rFonts w:hint="eastAsia"/>
                <w:lang w:val="en-US" w:eastAsia="zh-CN"/>
              </w:rPr>
            </w:pPr>
            <w:r>
              <w:rPr>
                <w:rFonts w:hint="eastAsia"/>
                <w:lang w:val="en-US" w:eastAsia="zh-CN"/>
              </w:rPr>
              <w:t>（7）采用砂砾石防冻方案，预制砼板填砂砾石垫层取40cm。</w:t>
            </w:r>
          </w:p>
          <w:p>
            <w:pPr>
              <w:pStyle w:val="3"/>
              <w:bidi w:val="0"/>
              <w:rPr>
                <w:rFonts w:hint="eastAsia"/>
                <w:lang w:val="en-US" w:eastAsia="zh-CN"/>
              </w:rPr>
            </w:pPr>
            <w:r>
              <w:rPr>
                <w:rFonts w:hint="eastAsia"/>
                <w:lang w:val="en-US" w:eastAsia="zh-CN"/>
              </w:rPr>
              <w:t>5.2 水闸</w:t>
            </w:r>
          </w:p>
          <w:p>
            <w:pPr>
              <w:bidi w:val="0"/>
              <w:rPr>
                <w:rFonts w:hint="eastAsia"/>
                <w:lang w:val="en-US" w:eastAsia="zh-CN"/>
              </w:rPr>
            </w:pPr>
            <w:r>
              <w:rPr>
                <w:rFonts w:hint="eastAsia"/>
                <w:lang w:val="en-US" w:eastAsia="zh-CN"/>
              </w:rPr>
              <w:t>采用现浇C30砼浇筑，基础深度为0.5m，厚度为0.4m；闸口宽、高随位置而变化，闸门设计为钢闸门，启闭梁采用槽钢，启闭机型号根据</w:t>
            </w:r>
            <w:r>
              <w:rPr>
                <w:rFonts w:hint="eastAsia" w:ascii="Times New Roman" w:hAnsi="Times New Roman" w:cs="Times New Roman"/>
                <w:lang w:val="en-US" w:eastAsia="zh-CN"/>
              </w:rPr>
              <w:t>闸门</w:t>
            </w:r>
            <w:r>
              <w:rPr>
                <w:rFonts w:hint="eastAsia"/>
                <w:lang w:val="en-US" w:eastAsia="zh-CN"/>
              </w:rPr>
              <w:t>尺寸确定0.5t。设计启闭机均采用螺杆式启闭机。节制闸及分水闸的钢筋混凝土强度等级为C30，素混凝土强度等级为C30；混凝土抗冻等级F200，抗渗等级W6；基坑临时开挖边坡系数为1:1。基础底部换填40cm厚砂砾石垫层。压实指标：粘性土压实度不小于0.90，无粘性土压实指标相对紧密度不小于0.70。</w:t>
            </w:r>
          </w:p>
          <w:p>
            <w:pPr>
              <w:pStyle w:val="3"/>
              <w:bidi w:val="0"/>
              <w:rPr>
                <w:rFonts w:hint="eastAsia"/>
                <w:lang w:val="en-US" w:eastAsia="zh-CN"/>
              </w:rPr>
            </w:pPr>
            <w:r>
              <w:rPr>
                <w:rFonts w:hint="eastAsia"/>
                <w:lang w:val="en-US" w:eastAsia="zh-CN"/>
              </w:rPr>
              <w:t>5.3 涵桥</w:t>
            </w:r>
          </w:p>
          <w:p>
            <w:pPr>
              <w:bidi w:val="0"/>
              <w:rPr>
                <w:rFonts w:hint="eastAsia"/>
                <w:lang w:val="en-US" w:eastAsia="zh-CN"/>
              </w:rPr>
            </w:pPr>
            <w:r>
              <w:rPr>
                <w:rFonts w:hint="eastAsia"/>
                <w:lang w:val="en-US" w:eastAsia="zh-CN"/>
              </w:rPr>
              <w:t>涵桥主要布置在斗渠、田间道路、机耕道路与斗排、农排相交处，涵管采用预制钢筋混凝土涵管，涵洞均采用预制混凝土涵管+填土结构，填土高度为0.5m，边坡为1:1.5。设计标准为公路折减-</w:t>
            </w:r>
            <w:r>
              <w:rPr>
                <w:rFonts w:hint="default" w:ascii="Times New Roman" w:hAnsi="Times New Roman" w:cs="Times New Roman"/>
                <w:lang w:val="en-US" w:eastAsia="zh-CN"/>
              </w:rPr>
              <w:t>Ⅱ</w:t>
            </w:r>
            <w:r>
              <w:rPr>
                <w:rFonts w:hint="eastAsia"/>
                <w:lang w:val="en-US" w:eastAsia="zh-CN"/>
              </w:rPr>
              <w:t>级，折减系数为0.8；农桥、涵桥参照中华人民共和国交通运输部标准《公路工程技术标准》（JTGB01-2014）、《公路交通安全设施设计规范》（JTGD81-2017）进行设计。</w:t>
            </w:r>
          </w:p>
          <w:p>
            <w:pPr>
              <w:bidi w:val="0"/>
              <w:rPr>
                <w:rFonts w:hint="default"/>
                <w:lang w:val="en-US"/>
              </w:rPr>
            </w:pPr>
            <w:r>
              <w:rPr>
                <w:rFonts w:hint="default"/>
                <w:lang w:val="en-US" w:eastAsia="zh-CN"/>
              </w:rPr>
              <w:t>本工程涉及若羌县铁干里克镇托格拉克勒克村，改建渠道共计3</w:t>
            </w:r>
            <w:r>
              <w:rPr>
                <w:rFonts w:hint="eastAsia"/>
                <w:lang w:val="en-US" w:eastAsia="zh-CN"/>
              </w:rPr>
              <w:t>1</w:t>
            </w:r>
            <w:r>
              <w:rPr>
                <w:rFonts w:hint="default"/>
                <w:lang w:val="en-US" w:eastAsia="zh-CN"/>
              </w:rPr>
              <w:t>条，总长5.</w:t>
            </w:r>
            <w:r>
              <w:rPr>
                <w:rFonts w:hint="eastAsia"/>
                <w:lang w:val="en-US" w:eastAsia="zh-CN"/>
              </w:rPr>
              <w:t>5</w:t>
            </w:r>
            <w:r>
              <w:rPr>
                <w:rFonts w:hint="default"/>
                <w:lang w:val="en-US" w:eastAsia="zh-CN"/>
              </w:rPr>
              <w:t>km，配套渠系</w:t>
            </w:r>
            <w:r>
              <w:rPr>
                <w:rFonts w:hint="eastAsia"/>
                <w:lang w:val="en-US" w:eastAsia="zh-CN"/>
              </w:rPr>
              <w:t>构筑物183座</w:t>
            </w:r>
            <w:r>
              <w:rPr>
                <w:rFonts w:hint="default"/>
                <w:lang w:val="en-US" w:eastAsia="zh-CN"/>
              </w:rPr>
              <w:t>，其中引水闸</w:t>
            </w:r>
            <w:r>
              <w:rPr>
                <w:rFonts w:hint="eastAsia"/>
                <w:lang w:val="en-US" w:eastAsia="zh-CN"/>
              </w:rPr>
              <w:t>9</w:t>
            </w:r>
            <w:r>
              <w:rPr>
                <w:rFonts w:hint="default"/>
                <w:lang w:val="en-US" w:eastAsia="zh-CN"/>
              </w:rPr>
              <w:t>座、节制引水闸</w:t>
            </w:r>
            <w:r>
              <w:rPr>
                <w:rFonts w:hint="eastAsia"/>
                <w:lang w:val="en-US" w:eastAsia="zh-CN"/>
              </w:rPr>
              <w:t>9</w:t>
            </w:r>
            <w:r>
              <w:rPr>
                <w:rFonts w:hint="default"/>
                <w:lang w:val="en-US" w:eastAsia="zh-CN"/>
              </w:rPr>
              <w:t>座、</w:t>
            </w:r>
            <w:r>
              <w:rPr>
                <w:rFonts w:hint="eastAsia"/>
                <w:lang w:val="en-US" w:eastAsia="zh-CN"/>
              </w:rPr>
              <w:t>节制闸13座、</w:t>
            </w:r>
            <w:r>
              <w:rPr>
                <w:rFonts w:hint="default"/>
                <w:lang w:val="en-US" w:eastAsia="zh-CN"/>
              </w:rPr>
              <w:t>节制双分水闸1</w:t>
            </w:r>
            <w:r>
              <w:rPr>
                <w:rFonts w:hint="eastAsia"/>
                <w:lang w:val="en-US" w:eastAsia="zh-CN"/>
              </w:rPr>
              <w:t>9</w:t>
            </w:r>
            <w:r>
              <w:rPr>
                <w:rFonts w:hint="default"/>
                <w:lang w:val="en-US" w:eastAsia="zh-CN"/>
              </w:rPr>
              <w:t>座、节制左分水闸5</w:t>
            </w:r>
            <w:r>
              <w:rPr>
                <w:rFonts w:hint="eastAsia"/>
                <w:lang w:val="en-US" w:eastAsia="zh-CN"/>
              </w:rPr>
              <w:t>0</w:t>
            </w:r>
            <w:r>
              <w:rPr>
                <w:rFonts w:hint="default"/>
                <w:lang w:val="en-US" w:eastAsia="zh-CN"/>
              </w:rPr>
              <w:t>座、节制右分水闸4</w:t>
            </w:r>
            <w:r>
              <w:rPr>
                <w:rFonts w:hint="eastAsia"/>
                <w:lang w:val="en-US" w:eastAsia="zh-CN"/>
              </w:rPr>
              <w:t>1</w:t>
            </w:r>
            <w:r>
              <w:rPr>
                <w:rFonts w:hint="default"/>
                <w:lang w:val="en-US" w:eastAsia="zh-CN"/>
              </w:rPr>
              <w:t>座、左分水闸5座、右分水闸</w:t>
            </w:r>
            <w:r>
              <w:rPr>
                <w:rFonts w:hint="eastAsia"/>
                <w:lang w:val="en-US" w:eastAsia="zh-CN"/>
              </w:rPr>
              <w:t>9</w:t>
            </w:r>
            <w:r>
              <w:rPr>
                <w:rFonts w:hint="default"/>
                <w:lang w:val="en-US" w:eastAsia="zh-CN"/>
              </w:rPr>
              <w:t>座、</w:t>
            </w:r>
            <w:r>
              <w:rPr>
                <w:rFonts w:hint="eastAsia"/>
                <w:lang w:val="en-US" w:eastAsia="zh-CN"/>
              </w:rPr>
              <w:t>农桥10座、</w:t>
            </w:r>
            <w:r>
              <w:rPr>
                <w:rFonts w:hint="default"/>
                <w:lang w:val="en-US" w:eastAsia="zh-CN"/>
              </w:rPr>
              <w:t>涵桥</w:t>
            </w:r>
            <w:r>
              <w:rPr>
                <w:rFonts w:hint="eastAsia"/>
                <w:lang w:val="en-US" w:eastAsia="zh-CN"/>
              </w:rPr>
              <w:t>17</w:t>
            </w:r>
            <w:r>
              <w:rPr>
                <w:rFonts w:hint="default"/>
                <w:lang w:val="en-US" w:eastAsia="zh-CN"/>
              </w:rPr>
              <w:t>座、</w:t>
            </w:r>
            <w:r>
              <w:rPr>
                <w:rFonts w:hint="eastAsia"/>
                <w:lang w:val="en-US" w:eastAsia="zh-CN"/>
              </w:rPr>
              <w:t>跌水1座</w:t>
            </w:r>
            <w:r>
              <w:rPr>
                <w:rFonts w:hint="default"/>
                <w:lang w:val="en-US" w:eastAsia="zh-CN"/>
              </w:rPr>
              <w:t>。项目渠系</w:t>
            </w:r>
            <w:r>
              <w:rPr>
                <w:rFonts w:hint="eastAsia"/>
                <w:lang w:val="en-US" w:eastAsia="zh-CN"/>
              </w:rPr>
              <w:t>构筑物</w:t>
            </w:r>
            <w:r>
              <w:rPr>
                <w:rFonts w:hint="default"/>
                <w:lang w:val="en-US" w:eastAsia="zh-CN"/>
              </w:rPr>
              <w:t>见表2-4。</w:t>
            </w:r>
          </w:p>
          <w:p>
            <w:pPr>
              <w:pStyle w:val="13"/>
              <w:tabs>
                <w:tab w:val="left" w:pos="721"/>
              </w:tabs>
              <w:ind w:left="0" w:leftChars="0" w:firstLine="0" w:firstLineChars="0"/>
              <w:rPr>
                <w:rFonts w:hint="eastAsia"/>
                <w:lang w:val="en-US" w:eastAsia="zh-CN"/>
              </w:rPr>
            </w:pPr>
            <w:r>
              <w:rPr>
                <w:rFonts w:hint="eastAsia"/>
                <w:lang w:val="en-US" w:eastAsia="zh-CN"/>
              </w:rPr>
              <w:tab/>
            </w: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p>
            <w:pPr>
              <w:pStyle w:val="13"/>
              <w:tabs>
                <w:tab w:val="left" w:pos="721"/>
              </w:tabs>
              <w:ind w:left="0" w:leftChars="0" w:firstLine="0" w:firstLineChars="0"/>
              <w:rPr>
                <w:rFonts w:hint="eastAsia"/>
                <w:lang w:val="en-US" w:eastAsia="zh-CN"/>
              </w:rPr>
            </w:pPr>
          </w:p>
        </w:tc>
      </w:tr>
    </w:tbl>
    <w:p>
      <w:pPr>
        <w:pStyle w:val="19"/>
        <w:jc w:val="center"/>
        <w:outlineLvl w:val="0"/>
        <w:rPr>
          <w:rFonts w:eastAsia="仿宋_GB2312"/>
          <w:b/>
          <w:bCs/>
          <w:color w:val="auto"/>
        </w:rPr>
        <w:sectPr>
          <w:pgSz w:w="11906" w:h="16838"/>
          <w:pgMar w:top="1440" w:right="1800" w:bottom="1440" w:left="1800" w:header="851" w:footer="1077" w:gutter="0"/>
          <w:pgNumType w:fmt="decimal"/>
          <w:cols w:space="720" w:num="1"/>
          <w:docGrid w:linePitch="312" w:charSpace="0"/>
        </w:sect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Pr>
          <w:p>
            <w:pPr>
              <w:pStyle w:val="19"/>
              <w:jc w:val="center"/>
              <w:outlineLvl w:val="0"/>
              <w:rPr>
                <w:rFonts w:eastAsia="仿宋_GB2312"/>
                <w:b/>
                <w:bCs/>
                <w:color w:val="auto"/>
                <w:vertAlign w:val="baseline"/>
              </w:rPr>
            </w:pPr>
          </w:p>
        </w:tc>
        <w:tc>
          <w:tcPr>
            <w:tcW w:w="4735" w:type="pct"/>
          </w:tcPr>
          <w:p>
            <w:pPr>
              <w:pStyle w:val="5"/>
              <w:bidi w:val="0"/>
              <w:rPr>
                <w:rFonts w:hint="eastAsia"/>
                <w:lang w:val="en-US" w:eastAsia="zh-CN"/>
              </w:rPr>
            </w:pPr>
            <w:r>
              <w:rPr>
                <w:rFonts w:hint="eastAsia"/>
                <w:lang w:val="en-US" w:eastAsia="zh-CN"/>
              </w:rPr>
              <w:t>表2-4  渠系构筑物</w:t>
            </w:r>
          </w:p>
          <w:tbl>
            <w:tblPr>
              <w:tblStyle w:val="21"/>
              <w:tblW w:w="13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
              <w:gridCol w:w="2700"/>
              <w:gridCol w:w="1058"/>
              <w:gridCol w:w="761"/>
              <w:gridCol w:w="450"/>
              <w:gridCol w:w="731"/>
              <w:gridCol w:w="525"/>
              <w:gridCol w:w="732"/>
              <w:gridCol w:w="768"/>
              <w:gridCol w:w="788"/>
              <w:gridCol w:w="619"/>
              <w:gridCol w:w="562"/>
              <w:gridCol w:w="694"/>
              <w:gridCol w:w="619"/>
              <w:gridCol w:w="600"/>
              <w:gridCol w:w="525"/>
              <w:gridCol w:w="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序号</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渠道名称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长度（m）</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流量</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（m²/s）</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引水闸</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节制引水闸</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节制闸</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节制双分水闸</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节制左分水闸</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节制右分水闸</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双分水闸</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左分水闸</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右分水闸</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涵桥4m</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涵桥6m</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农桥</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跌水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大园子斗渠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827.93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0.20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兰干村1条田渠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367.19</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0.16</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兰干村1-1条田渠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137.38</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兰干村1-2条田渠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147.43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郭礼行斗渠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197.71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张金成渠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74.27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孙自强门口渠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498.10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0.20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英阿瓦提1号条田1号渠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310.70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英阿瓦提1号条田2号渠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403.24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0.20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英阿瓦提2号条田渠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171.42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英阿瓦提2号条田1号渠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44.15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英阿瓦提2号条田2号渠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79.62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夏誉吐1号条田1号渠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102.75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夏誉吐1号条田2号渠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96.35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夏普吐1号条田3号渠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98.63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夏誉吐1号条田4号渠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72.14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夏普吐3号条田1号渠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159.89</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夏普吐3号条田3号渠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40.47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王玉唐1号渠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38.78</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王玉唐2号渠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81.49</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鲁学书1号渠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79.88</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22</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鲁学书2号渠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48.07</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23</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气象路土渠1号渠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296.59</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24</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气象路土渠2号渠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293.84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25</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娜孜艾日克1号渠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65.86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娜孜艾日克1-1号渠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113.82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27</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娜孜艾日克2号渠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137.21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28</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亚喀吾斯塘斗渠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128.78</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29</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亚喀吾斯塘1号渠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122.09</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亚喀吾斯塘2号渠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152.26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31</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花瓣路土渠</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113.13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合计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5501.15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19</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9</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13</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r>
          </w:tbl>
          <w:p>
            <w:pPr>
              <w:pStyle w:val="19"/>
              <w:ind w:left="0" w:leftChars="0" w:firstLine="0" w:firstLineChars="0"/>
              <w:jc w:val="both"/>
              <w:outlineLvl w:val="0"/>
              <w:rPr>
                <w:rFonts w:eastAsia="仿宋_GB2312"/>
                <w:b/>
                <w:bCs/>
                <w:color w:val="auto"/>
                <w:vertAlign w:val="baseline"/>
              </w:rPr>
            </w:pPr>
          </w:p>
        </w:tc>
      </w:tr>
    </w:tbl>
    <w:p>
      <w:pPr>
        <w:pStyle w:val="19"/>
        <w:jc w:val="center"/>
        <w:outlineLvl w:val="0"/>
        <w:rPr>
          <w:rFonts w:eastAsia="仿宋_GB2312"/>
          <w:b/>
          <w:bCs/>
          <w:color w:val="auto"/>
        </w:rPr>
        <w:sectPr>
          <w:pgSz w:w="16838" w:h="11906" w:orient="landscape"/>
          <w:pgMar w:top="1800" w:right="1440" w:bottom="1800" w:left="1440" w:header="851" w:footer="1077" w:gutter="0"/>
          <w:pgNumType w:fmt="decimal"/>
          <w:cols w:space="720" w:num="1"/>
          <w:docGrid w:linePitch="312" w:charSpace="0"/>
        </w:sect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1"/>
                <w:szCs w:val="21"/>
              </w:rPr>
              <w:t>总平面及现场布置</w:t>
            </w:r>
          </w:p>
        </w:tc>
        <w:tc>
          <w:tcPr>
            <w:tcW w:w="4754" w:type="pct"/>
          </w:tcPr>
          <w:p>
            <w:pPr>
              <w:pStyle w:val="3"/>
              <w:bidi w:val="0"/>
              <w:rPr>
                <w:rFonts w:hint="default"/>
                <w:lang w:val="en-US" w:eastAsia="zh-CN"/>
              </w:rPr>
            </w:pPr>
            <w:r>
              <w:rPr>
                <w:rFonts w:hint="default"/>
                <w:lang w:val="en-US" w:eastAsia="zh-CN"/>
              </w:rPr>
              <w:t>1</w:t>
            </w:r>
            <w:r>
              <w:rPr>
                <w:rFonts w:hint="eastAsia"/>
                <w:lang w:val="en-US" w:eastAsia="zh-CN"/>
              </w:rPr>
              <w:t xml:space="preserve"> </w:t>
            </w:r>
            <w:r>
              <w:rPr>
                <w:rFonts w:hint="default"/>
                <w:lang w:val="en-US" w:eastAsia="zh-CN"/>
              </w:rPr>
              <w:t>工程平面布置</w:t>
            </w:r>
          </w:p>
          <w:p>
            <w:pPr>
              <w:pStyle w:val="51"/>
              <w:ind w:firstLine="560"/>
              <w:rPr>
                <w:rFonts w:hint="eastAsia"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lang w:val="en-US" w:eastAsia="zh-CN"/>
              </w:rPr>
              <w:t>本项目属于防渗渠节水改造项目</w:t>
            </w:r>
            <w:r>
              <w:rPr>
                <w:rFonts w:hint="default" w:ascii="Times New Roman" w:hAnsi="Times New Roman" w:eastAsia="宋体" w:cs="Times New Roman"/>
                <w:color w:val="auto"/>
                <w:sz w:val="24"/>
                <w:szCs w:val="24"/>
                <w:highlight w:val="none"/>
                <w:lang w:eastAsia="zh-CN"/>
              </w:rPr>
              <w:t>，其中节</w:t>
            </w:r>
            <w:r>
              <w:rPr>
                <w:rFonts w:hint="default" w:ascii="Times New Roman" w:hAnsi="Times New Roman" w:cs="Times New Roman"/>
                <w:color w:val="auto"/>
                <w:sz w:val="24"/>
                <w:szCs w:val="24"/>
                <w:highlight w:val="none"/>
                <w:lang w:eastAsia="zh-CN"/>
              </w:rPr>
              <w:t>水改造</w:t>
            </w:r>
            <w:r>
              <w:rPr>
                <w:rFonts w:hint="eastAsia" w:cs="Times New Roman"/>
                <w:color w:val="auto"/>
                <w:sz w:val="24"/>
                <w:szCs w:val="24"/>
                <w:highlight w:val="none"/>
                <w:lang w:val="en-US" w:eastAsia="zh-CN"/>
              </w:rPr>
              <w:t>渠道31</w:t>
            </w:r>
            <w:r>
              <w:rPr>
                <w:rFonts w:hint="default" w:ascii="Times New Roman" w:hAnsi="Times New Roman" w:cs="Times New Roman"/>
                <w:color w:val="auto"/>
                <w:sz w:val="24"/>
                <w:szCs w:val="24"/>
                <w:highlight w:val="none"/>
                <w:lang w:eastAsia="zh-CN"/>
              </w:rPr>
              <w:t>条，</w:t>
            </w:r>
            <w:r>
              <w:rPr>
                <w:rFonts w:hint="eastAsia" w:cs="Times New Roman"/>
                <w:color w:val="auto"/>
                <w:sz w:val="24"/>
                <w:szCs w:val="24"/>
                <w:highlight w:val="none"/>
                <w:lang w:val="en-US" w:eastAsia="zh-CN"/>
              </w:rPr>
              <w:t>渠系构筑物</w:t>
            </w:r>
            <w:r>
              <w:rPr>
                <w:rFonts w:hint="default" w:ascii="Times New Roman" w:hAnsi="Times New Roman" w:cs="Times New Roman"/>
                <w:color w:val="auto"/>
                <w:sz w:val="24"/>
                <w:szCs w:val="24"/>
                <w:highlight w:val="none"/>
                <w:lang w:eastAsia="zh-CN"/>
              </w:rPr>
              <w:t>改造</w:t>
            </w:r>
            <w:r>
              <w:rPr>
                <w:rFonts w:hint="eastAsia" w:cs="Times New Roman"/>
                <w:color w:val="auto"/>
                <w:sz w:val="24"/>
                <w:szCs w:val="24"/>
                <w:highlight w:val="none"/>
                <w:lang w:val="en-US" w:eastAsia="zh-CN"/>
              </w:rPr>
              <w:t>183座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项目占地区域为原有渠道，渠道两侧主要为耕地。结合渠道现状运行情况，在保证灌溉水位要求的前提下，合理确定渠道纵坡。</w:t>
            </w:r>
            <w:r>
              <w:rPr>
                <w:rFonts w:hint="default" w:ascii="Times New Roman" w:hAnsi="Times New Roman" w:cs="Times New Roman"/>
                <w:color w:val="auto"/>
                <w:sz w:val="24"/>
                <w:szCs w:val="24"/>
                <w:highlight w:val="none"/>
                <w:lang w:val="en-US" w:eastAsia="zh-CN"/>
              </w:rPr>
              <w:t>根据灌区内路、林、渠等系统的格局，对各渠系</w:t>
            </w:r>
            <w:r>
              <w:rPr>
                <w:rFonts w:hint="eastAsia" w:cs="Times New Roman"/>
                <w:color w:val="auto"/>
                <w:sz w:val="24"/>
                <w:szCs w:val="24"/>
                <w:highlight w:val="none"/>
                <w:lang w:val="en-US" w:eastAsia="zh-CN"/>
              </w:rPr>
              <w:t>构筑物</w:t>
            </w:r>
            <w:r>
              <w:rPr>
                <w:rFonts w:hint="default" w:ascii="Times New Roman" w:hAnsi="Times New Roman" w:cs="Times New Roman"/>
                <w:color w:val="auto"/>
                <w:sz w:val="24"/>
                <w:szCs w:val="24"/>
                <w:highlight w:val="none"/>
                <w:lang w:val="en-US" w:eastAsia="zh-CN"/>
              </w:rPr>
              <w:t>进行配套建设</w:t>
            </w:r>
            <w:r>
              <w:rPr>
                <w:rFonts w:hint="eastAsia" w:cs="Times New Roman"/>
                <w:color w:val="auto"/>
                <w:sz w:val="24"/>
                <w:szCs w:val="24"/>
                <w:highlight w:val="none"/>
                <w:lang w:val="en-US" w:eastAsia="zh-CN"/>
              </w:rPr>
              <w:t>。</w:t>
            </w:r>
          </w:p>
          <w:p>
            <w:pPr>
              <w:pStyle w:val="3"/>
              <w:bidi w:val="0"/>
              <w:rPr>
                <w:rFonts w:hint="default"/>
                <w:lang w:val="en-US" w:eastAsia="zh-CN"/>
              </w:rPr>
            </w:pPr>
            <w:r>
              <w:rPr>
                <w:rFonts w:hint="default"/>
                <w:lang w:val="en-US" w:eastAsia="zh-CN"/>
              </w:rPr>
              <w:t>1.</w:t>
            </w:r>
            <w:r>
              <w:rPr>
                <w:rFonts w:hint="eastAsia"/>
                <w:lang w:val="en-US" w:eastAsia="zh-CN"/>
              </w:rPr>
              <w:t xml:space="preserve">1 </w:t>
            </w:r>
            <w:r>
              <w:rPr>
                <w:rFonts w:hint="default"/>
                <w:lang w:val="en-US" w:eastAsia="zh-CN"/>
              </w:rPr>
              <w:t>临时工业区</w:t>
            </w:r>
          </w:p>
          <w:p>
            <w:pPr>
              <w:pStyle w:val="51"/>
              <w:ind w:firstLine="560"/>
              <w:rPr>
                <w:rFonts w:hint="default" w:ascii="Times New Roman" w:hAnsi="Times New Roman" w:eastAsia="宋体" w:cs="Times New Roman"/>
                <w:b w:val="0"/>
                <w:bCs w:val="0"/>
                <w:color w:val="auto"/>
                <w:sz w:val="24"/>
                <w:szCs w:val="24"/>
                <w:highlight w:val="yellow"/>
                <w:lang w:val="en-US" w:eastAsia="zh-CN"/>
              </w:rPr>
            </w:pPr>
            <w:r>
              <w:rPr>
                <w:rFonts w:hint="default" w:ascii="Times New Roman" w:hAnsi="Times New Roman" w:eastAsia="宋体" w:cs="Times New Roman"/>
                <w:b w:val="0"/>
                <w:bCs w:val="0"/>
                <w:color w:val="auto"/>
                <w:sz w:val="24"/>
                <w:szCs w:val="24"/>
                <w:highlight w:val="none"/>
                <w:lang w:val="en-US" w:eastAsia="zh-CN"/>
              </w:rPr>
              <w:t>本项目属于防渗渠节水改造项目，临时工业区</w:t>
            </w:r>
            <w:r>
              <w:rPr>
                <w:rFonts w:hint="eastAsia" w:cs="Times New Roman"/>
                <w:b w:val="0"/>
                <w:bCs w:val="0"/>
                <w:color w:val="auto"/>
                <w:sz w:val="24"/>
                <w:szCs w:val="24"/>
                <w:highlight w:val="none"/>
                <w:lang w:val="en-US" w:eastAsia="zh-CN"/>
              </w:rPr>
              <w:t>依托</w:t>
            </w:r>
            <w:r>
              <w:rPr>
                <w:rFonts w:hint="eastAsia" w:ascii="Times New Roman" w:hAnsi="Times New Roman" w:cs="Times New Roman"/>
                <w:b w:val="0"/>
                <w:bCs w:val="0"/>
                <w:color w:val="auto"/>
                <w:sz w:val="24"/>
                <w:szCs w:val="24"/>
                <w:highlight w:val="none"/>
                <w:lang w:val="en-US" w:eastAsia="zh-CN"/>
              </w:rPr>
              <w:t>库尔干村、亚喀吾斯塘村村民委员会</w:t>
            </w:r>
            <w:r>
              <w:rPr>
                <w:rFonts w:hint="default" w:ascii="Times New Roman" w:hAnsi="Times New Roman" w:eastAsia="宋体" w:cs="Times New Roman"/>
                <w:b w:val="0"/>
                <w:bCs w:val="0"/>
                <w:color w:val="auto"/>
                <w:sz w:val="24"/>
                <w:szCs w:val="24"/>
                <w:highlight w:val="none"/>
                <w:lang w:val="en-US" w:eastAsia="zh-CN"/>
              </w:rPr>
              <w:t>，占地面积为1</w:t>
            </w:r>
            <w:r>
              <w:rPr>
                <w:rFonts w:hint="eastAsia" w:cs="Times New Roman"/>
                <w:b w:val="0"/>
                <w:bCs w:val="0"/>
                <w:color w:val="auto"/>
                <w:sz w:val="24"/>
                <w:szCs w:val="24"/>
                <w:highlight w:val="none"/>
                <w:lang w:val="en-US" w:eastAsia="zh-CN"/>
              </w:rPr>
              <w:t>0</w:t>
            </w:r>
            <w:r>
              <w:rPr>
                <w:rFonts w:hint="default" w:ascii="Times New Roman" w:hAnsi="Times New Roman" w:eastAsia="宋体" w:cs="Times New Roman"/>
                <w:b w:val="0"/>
                <w:bCs w:val="0"/>
                <w:color w:val="auto"/>
                <w:sz w:val="24"/>
                <w:szCs w:val="24"/>
                <w:highlight w:val="none"/>
                <w:lang w:val="en-US" w:eastAsia="zh-CN"/>
              </w:rPr>
              <w:t>00m</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，用于堆放篷布、停放施工设备。临时</w:t>
            </w:r>
            <w:r>
              <w:rPr>
                <w:rFonts w:hint="eastAsia" w:ascii="Times New Roman" w:hAnsi="Times New Roman" w:cs="Times New Roman"/>
                <w:b w:val="0"/>
                <w:bCs w:val="0"/>
                <w:color w:val="auto"/>
                <w:sz w:val="24"/>
                <w:szCs w:val="24"/>
                <w:highlight w:val="none"/>
                <w:lang w:val="en-US" w:eastAsia="zh-CN"/>
              </w:rPr>
              <w:t>工业</w:t>
            </w:r>
            <w:r>
              <w:rPr>
                <w:rFonts w:hint="default" w:ascii="Times New Roman" w:hAnsi="Times New Roman" w:eastAsia="宋体" w:cs="Times New Roman"/>
                <w:b w:val="0"/>
                <w:bCs w:val="0"/>
                <w:color w:val="auto"/>
                <w:sz w:val="24"/>
                <w:szCs w:val="24"/>
                <w:highlight w:val="none"/>
                <w:lang w:val="en-US" w:eastAsia="zh-CN"/>
              </w:rPr>
              <w:t>区距离道路较近，方便运输</w:t>
            </w:r>
            <w:r>
              <w:rPr>
                <w:rFonts w:hint="eastAsia" w:cs="Times New Roman"/>
                <w:b w:val="0"/>
                <w:bCs w:val="0"/>
                <w:color w:val="auto"/>
                <w:sz w:val="24"/>
                <w:szCs w:val="24"/>
                <w:highlight w:val="none"/>
                <w:lang w:val="en-US" w:eastAsia="zh-CN"/>
              </w:rPr>
              <w:t>，选址合理</w:t>
            </w:r>
            <w:r>
              <w:rPr>
                <w:rFonts w:hint="default" w:ascii="Times New Roman" w:hAnsi="Times New Roman" w:eastAsia="宋体" w:cs="Times New Roman"/>
                <w:b w:val="0"/>
                <w:bCs w:val="0"/>
                <w:color w:val="auto"/>
                <w:sz w:val="24"/>
                <w:szCs w:val="24"/>
                <w:highlight w:val="none"/>
                <w:lang w:val="en-US" w:eastAsia="zh-CN"/>
              </w:rPr>
              <w:t>。</w:t>
            </w:r>
          </w:p>
          <w:p>
            <w:pPr>
              <w:pStyle w:val="3"/>
              <w:bidi w:val="0"/>
              <w:rPr>
                <w:rFonts w:hint="eastAsia"/>
                <w:lang w:val="en-US" w:eastAsia="zh-CN"/>
              </w:rPr>
            </w:pPr>
            <w:r>
              <w:rPr>
                <w:rFonts w:hint="eastAsia"/>
                <w:lang w:val="en-US" w:eastAsia="zh-CN"/>
              </w:rPr>
              <w:t>1.2 临时堆土区</w:t>
            </w:r>
          </w:p>
          <w:p>
            <w:pPr>
              <w:pStyle w:val="5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s="Times New Roman"/>
                <w:b w:val="0"/>
                <w:bCs w:val="0"/>
                <w:color w:val="auto"/>
                <w:sz w:val="24"/>
                <w:szCs w:val="24"/>
                <w:highlight w:val="none"/>
                <w:lang w:val="en-US" w:eastAsia="zh-CN"/>
              </w:rPr>
            </w:pPr>
            <w:r>
              <w:rPr>
                <w:rFonts w:hint="default" w:cs="Times New Roman"/>
                <w:b w:val="0"/>
                <w:bCs w:val="0"/>
                <w:color w:val="auto"/>
                <w:sz w:val="24"/>
                <w:szCs w:val="24"/>
                <w:highlight w:val="none"/>
                <w:lang w:val="en-US" w:eastAsia="zh-CN"/>
              </w:rPr>
              <w:t>位于渠道两侧边坡</w:t>
            </w:r>
            <w:r>
              <w:rPr>
                <w:rFonts w:hint="eastAsia" w:cs="Times New Roman"/>
                <w:b w:val="0"/>
                <w:bCs w:val="0"/>
                <w:color w:val="auto"/>
                <w:sz w:val="24"/>
                <w:szCs w:val="24"/>
                <w:highlight w:val="none"/>
                <w:lang w:val="en-US" w:eastAsia="zh-CN"/>
              </w:rPr>
              <w:t>，</w:t>
            </w:r>
            <w:r>
              <w:rPr>
                <w:rFonts w:hint="default" w:cs="Times New Roman"/>
                <w:b w:val="0"/>
                <w:bCs w:val="0"/>
                <w:color w:val="auto"/>
                <w:sz w:val="24"/>
                <w:szCs w:val="24"/>
                <w:highlight w:val="none"/>
                <w:lang w:val="en-US" w:eastAsia="zh-CN"/>
              </w:rPr>
              <w:t>占地面积</w:t>
            </w:r>
            <w:r>
              <w:rPr>
                <w:rFonts w:hint="eastAsia" w:cs="Times New Roman"/>
                <w:b w:val="0"/>
                <w:bCs w:val="0"/>
                <w:color w:val="auto"/>
                <w:sz w:val="24"/>
                <w:szCs w:val="24"/>
                <w:highlight w:val="none"/>
                <w:lang w:val="en-US" w:eastAsia="zh-CN"/>
              </w:rPr>
              <w:t>11000</w:t>
            </w:r>
            <w:r>
              <w:rPr>
                <w:rFonts w:hint="default" w:cs="Times New Roman"/>
                <w:b w:val="0"/>
                <w:bCs w:val="0"/>
                <w:color w:val="auto"/>
                <w:sz w:val="24"/>
                <w:szCs w:val="24"/>
                <w:highlight w:val="none"/>
                <w:lang w:val="en-US" w:eastAsia="zh-CN"/>
              </w:rPr>
              <w:t>m</w:t>
            </w:r>
            <w:r>
              <w:rPr>
                <w:rFonts w:hint="default"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lang w:val="en-US" w:eastAsia="zh-CN"/>
              </w:rPr>
              <w:t>，</w:t>
            </w:r>
            <w:r>
              <w:rPr>
                <w:rFonts w:hint="default" w:cs="Times New Roman"/>
                <w:b w:val="0"/>
                <w:bCs w:val="0"/>
                <w:color w:val="auto"/>
                <w:sz w:val="24"/>
                <w:szCs w:val="24"/>
                <w:highlight w:val="none"/>
                <w:lang w:val="en-US" w:eastAsia="zh-CN"/>
              </w:rPr>
              <w:t>主要堆放基础开挖的土方和砂石料，单次堆存时间不超过2天。</w:t>
            </w:r>
          </w:p>
          <w:p>
            <w:pPr>
              <w:pStyle w:val="3"/>
              <w:bidi w:val="0"/>
              <w:rPr>
                <w:rFonts w:hint="eastAsia"/>
                <w:lang w:val="en-US" w:eastAsia="zh-CN"/>
              </w:rPr>
            </w:pPr>
            <w:r>
              <w:rPr>
                <w:rFonts w:hint="eastAsia"/>
                <w:lang w:val="en-US" w:eastAsia="zh-CN"/>
              </w:rPr>
              <w:t>1.3临时堆渣区</w:t>
            </w:r>
          </w:p>
          <w:p>
            <w:pPr>
              <w:pStyle w:val="5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s="Times New Roman"/>
                <w:b w:val="0"/>
                <w:bCs w:val="0"/>
                <w:color w:val="auto"/>
                <w:sz w:val="24"/>
                <w:szCs w:val="24"/>
                <w:highlight w:val="none"/>
                <w:lang w:val="en-US" w:eastAsia="zh-CN"/>
              </w:rPr>
            </w:pPr>
            <w:r>
              <w:rPr>
                <w:rFonts w:hint="default" w:cs="Times New Roman"/>
                <w:b w:val="0"/>
                <w:bCs w:val="0"/>
                <w:color w:val="auto"/>
                <w:sz w:val="24"/>
                <w:szCs w:val="24"/>
                <w:highlight w:val="none"/>
                <w:lang w:val="en-US" w:eastAsia="zh-CN"/>
              </w:rPr>
              <w:t>施工过程中，部分老化和破损的闸需要拆除，拆除弃渣主要为混凝土块、钢筋等建筑垃圾。占地面积为1000m</w:t>
            </w:r>
            <w:r>
              <w:rPr>
                <w:rFonts w:hint="default" w:cs="Times New Roman"/>
                <w:b w:val="0"/>
                <w:bCs w:val="0"/>
                <w:color w:val="auto"/>
                <w:sz w:val="24"/>
                <w:szCs w:val="24"/>
                <w:highlight w:val="none"/>
                <w:vertAlign w:val="superscript"/>
                <w:lang w:val="en-US" w:eastAsia="zh-CN"/>
              </w:rPr>
              <w:t>2</w:t>
            </w:r>
            <w:r>
              <w:rPr>
                <w:rFonts w:hint="default" w:cs="Times New Roman"/>
                <w:b w:val="0"/>
                <w:bCs w:val="0"/>
                <w:color w:val="auto"/>
                <w:sz w:val="24"/>
                <w:szCs w:val="24"/>
                <w:highlight w:val="none"/>
                <w:lang w:val="en-US" w:eastAsia="zh-CN"/>
              </w:rPr>
              <w:t>，对于弃渣，尽可能回收利用，不能利用的，临时堆放在空地处，按政府要求拉运至指定地点。</w:t>
            </w:r>
          </w:p>
          <w:p>
            <w:pPr>
              <w:pStyle w:val="3"/>
              <w:bidi w:val="0"/>
              <w:rPr>
                <w:rFonts w:hint="default"/>
                <w:lang w:val="en-US" w:eastAsia="zh-CN"/>
              </w:rPr>
            </w:pPr>
            <w:r>
              <w:rPr>
                <w:rFonts w:hint="eastAsia"/>
                <w:lang w:val="en-US" w:eastAsia="zh-CN"/>
              </w:rPr>
              <w:t xml:space="preserve">2 </w:t>
            </w:r>
            <w:r>
              <w:rPr>
                <w:rFonts w:hint="default"/>
                <w:lang w:val="en-US" w:eastAsia="zh-CN"/>
              </w:rPr>
              <w:t>项目占地</w:t>
            </w:r>
          </w:p>
          <w:p>
            <w:pPr>
              <w:bidi w:val="0"/>
              <w:rPr>
                <w:rFonts w:hint="default"/>
                <w:lang w:val="en-US" w:eastAsia="zh-CN"/>
              </w:rPr>
            </w:pPr>
            <w:r>
              <w:rPr>
                <w:rFonts w:hint="default"/>
                <w:lang w:val="en-US" w:eastAsia="zh-CN"/>
              </w:rPr>
              <w:t>本项目为渠道节水改造工程，项目不新增永久占地，施工临时占地为临时堆土区、</w:t>
            </w:r>
            <w:r>
              <w:rPr>
                <w:rFonts w:hint="eastAsia"/>
                <w:lang w:val="en-US" w:eastAsia="zh-CN"/>
              </w:rPr>
              <w:t>临时工业</w:t>
            </w:r>
            <w:r>
              <w:rPr>
                <w:rFonts w:hint="default"/>
                <w:lang w:val="en-US" w:eastAsia="zh-CN"/>
              </w:rPr>
              <w:t>区</w:t>
            </w:r>
            <w:r>
              <w:rPr>
                <w:rFonts w:hint="eastAsia"/>
                <w:lang w:val="en-US" w:eastAsia="zh-CN"/>
              </w:rPr>
              <w:t>、临时堆渣区</w:t>
            </w:r>
            <w:r>
              <w:rPr>
                <w:rFonts w:hint="default"/>
                <w:lang w:val="en-US" w:eastAsia="zh-CN"/>
              </w:rPr>
              <w:t>等占地。本项目不涉及房屋拆迁安置工程。</w:t>
            </w:r>
          </w:p>
          <w:p>
            <w:pPr>
              <w:pStyle w:val="5"/>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 xml:space="preserve">2-5  </w:t>
            </w:r>
            <w:r>
              <w:rPr>
                <w:rFonts w:hint="default" w:ascii="Times New Roman" w:hAnsi="Times New Roman" w:eastAsia="宋体" w:cs="Times New Roman"/>
                <w:b/>
                <w:bCs/>
                <w:color w:val="auto"/>
                <w:sz w:val="24"/>
                <w:szCs w:val="24"/>
                <w:highlight w:val="none"/>
                <w:lang w:val="en-US" w:eastAsia="zh-CN"/>
              </w:rPr>
              <w:t>工程占地情况一览表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595"/>
              <w:gridCol w:w="249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37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工程内容</w:t>
                  </w:r>
                </w:p>
              </w:tc>
              <w:tc>
                <w:tcPr>
                  <w:tcW w:w="1013"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占地性质</w:t>
                  </w:r>
                </w:p>
              </w:tc>
              <w:tc>
                <w:tcPr>
                  <w:tcW w:w="1586"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占地面积（</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102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占地类型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7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w:t>
                  </w:r>
                  <w:r>
                    <w:rPr>
                      <w:rFonts w:hint="eastAsia" w:ascii="Times New Roman" w:hAnsi="Times New Roman" w:cs="Times New Roman"/>
                      <w:b w:val="0"/>
                      <w:bCs w:val="0"/>
                      <w:color w:val="auto"/>
                      <w:sz w:val="21"/>
                      <w:szCs w:val="21"/>
                      <w:highlight w:val="none"/>
                      <w:vertAlign w:val="baseline"/>
                      <w:lang w:val="en-US" w:eastAsia="zh-CN"/>
                    </w:rPr>
                    <w:t>工业</w:t>
                  </w:r>
                  <w:r>
                    <w:rPr>
                      <w:rFonts w:hint="default" w:ascii="Times New Roman" w:hAnsi="Times New Roman" w:eastAsia="宋体" w:cs="Times New Roman"/>
                      <w:b w:val="0"/>
                      <w:bCs w:val="0"/>
                      <w:color w:val="auto"/>
                      <w:sz w:val="21"/>
                      <w:szCs w:val="21"/>
                      <w:highlight w:val="none"/>
                      <w:vertAlign w:val="baseline"/>
                      <w:lang w:val="en-US" w:eastAsia="zh-CN"/>
                    </w:rPr>
                    <w:t>区</w:t>
                  </w:r>
                </w:p>
              </w:tc>
              <w:tc>
                <w:tcPr>
                  <w:tcW w:w="1013"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临时占地</w:t>
                  </w:r>
                </w:p>
              </w:tc>
              <w:tc>
                <w:tcPr>
                  <w:tcW w:w="1586"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w:t>
                  </w:r>
                  <w:r>
                    <w:rPr>
                      <w:rFonts w:hint="eastAsia" w:ascii="Times New Roman" w:hAnsi="Times New Roman" w:eastAsia="宋体" w:cs="Times New Roman"/>
                      <w:b w:val="0"/>
                      <w:bCs w:val="0"/>
                      <w:color w:val="auto"/>
                      <w:sz w:val="21"/>
                      <w:szCs w:val="21"/>
                      <w:highlight w:val="none"/>
                      <w:vertAlign w:val="baseline"/>
                      <w:lang w:val="en-US" w:eastAsia="zh-CN"/>
                    </w:rPr>
                    <w:t>00</w:t>
                  </w:r>
                </w:p>
              </w:tc>
              <w:tc>
                <w:tcPr>
                  <w:tcW w:w="102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农村居民点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7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临时堆土区</w:t>
                  </w:r>
                </w:p>
              </w:tc>
              <w:tc>
                <w:tcPr>
                  <w:tcW w:w="1013"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临时占地</w:t>
                  </w:r>
                </w:p>
              </w:tc>
              <w:tc>
                <w:tcPr>
                  <w:tcW w:w="1586"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11000</w:t>
                  </w:r>
                </w:p>
              </w:tc>
              <w:tc>
                <w:tcPr>
                  <w:tcW w:w="102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临时堆渣区</w:t>
                  </w:r>
                </w:p>
              </w:tc>
              <w:tc>
                <w:tcPr>
                  <w:tcW w:w="1013" w:type="pct"/>
                  <w:shd w:val="clear" w:color="auto" w:fill="auto"/>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临时占地</w:t>
                  </w:r>
                </w:p>
              </w:tc>
              <w:tc>
                <w:tcPr>
                  <w:tcW w:w="1586" w:type="pct"/>
                  <w:shd w:val="clear" w:color="auto" w:fill="auto"/>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10</w:t>
                  </w:r>
                  <w:r>
                    <w:rPr>
                      <w:rFonts w:hint="eastAsia" w:ascii="Times New Roman" w:hAnsi="Times New Roman" w:eastAsia="宋体" w:cs="Times New Roman"/>
                      <w:b w:val="0"/>
                      <w:bCs w:val="0"/>
                      <w:color w:val="auto"/>
                      <w:sz w:val="21"/>
                      <w:szCs w:val="21"/>
                      <w:highlight w:val="none"/>
                      <w:vertAlign w:val="baseline"/>
                      <w:lang w:val="en-US" w:eastAsia="zh-CN"/>
                    </w:rPr>
                    <w:t>00</w:t>
                  </w:r>
                </w:p>
              </w:tc>
              <w:tc>
                <w:tcPr>
                  <w:tcW w:w="102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渠道</w:t>
                  </w:r>
                </w:p>
              </w:tc>
              <w:tc>
                <w:tcPr>
                  <w:tcW w:w="1013" w:type="pct"/>
                  <w:shd w:val="clear" w:color="auto" w:fill="auto"/>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永久占地</w:t>
                  </w:r>
                </w:p>
              </w:tc>
              <w:tc>
                <w:tcPr>
                  <w:tcW w:w="1586" w:type="pct"/>
                  <w:shd w:val="clear" w:color="auto" w:fill="auto"/>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14847</w:t>
                  </w:r>
                </w:p>
              </w:tc>
              <w:tc>
                <w:tcPr>
                  <w:tcW w:w="1025"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旱地</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 xml:space="preserve">3 </w:t>
            </w:r>
            <w:r>
              <w:rPr>
                <w:rFonts w:hint="default" w:ascii="Times New Roman" w:hAnsi="Times New Roman" w:eastAsia="宋体" w:cs="Times New Roman"/>
                <w:b/>
                <w:bCs/>
                <w:color w:val="auto"/>
                <w:sz w:val="24"/>
                <w:szCs w:val="24"/>
                <w:lang w:val="en-US" w:eastAsia="zh-CN"/>
              </w:rPr>
              <w:t>土石方平衡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根据合理利用物料、减少料场开采和弃渣占地的原则，本工程渠道及建筑物工程总挖方量共计</w:t>
            </w:r>
            <w:r>
              <w:rPr>
                <w:rFonts w:hint="default" w:ascii="Times New Roman" w:hAnsi="Times New Roman" w:eastAsia="宋体" w:cs="Times New Roman"/>
                <w:color w:val="auto"/>
                <w:sz w:val="24"/>
                <w:szCs w:val="24"/>
                <w:highlight w:val="none"/>
                <w:lang w:val="en-US" w:eastAsia="zh-CN"/>
              </w:rPr>
              <w:t>8581.42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，总借方量共计</w:t>
            </w:r>
            <w:r>
              <w:rPr>
                <w:rFonts w:hint="default" w:ascii="Times New Roman" w:hAnsi="Times New Roman" w:eastAsia="宋体" w:cs="Times New Roman"/>
                <w:color w:val="auto"/>
                <w:sz w:val="24"/>
                <w:szCs w:val="24"/>
                <w:highlight w:val="none"/>
                <w:lang w:val="en-US" w:eastAsia="zh-CN"/>
              </w:rPr>
              <w:t>14324.24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，总填方量共计</w:t>
            </w:r>
            <w:r>
              <w:rPr>
                <w:rFonts w:hint="default" w:ascii="Times New Roman" w:hAnsi="Times New Roman" w:eastAsia="宋体" w:cs="Times New Roman"/>
                <w:color w:val="auto"/>
                <w:sz w:val="24"/>
                <w:szCs w:val="24"/>
                <w:highlight w:val="none"/>
                <w:lang w:val="en-US" w:eastAsia="zh-CN"/>
              </w:rPr>
              <w:t>21036.59</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总余</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方量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清废方量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1869.07</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。综上所述，本项目土石方平衡见下表所示。</w:t>
            </w:r>
          </w:p>
          <w:p>
            <w:pPr>
              <w:pStyle w:val="5"/>
              <w:bidi w:val="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ascii="Times New Roman" w:hAnsi="Times New Roman" w:eastAsia="宋体" w:cs="Times New Roman"/>
                <w:b/>
                <w:bCs/>
                <w:color w:val="auto"/>
                <w:sz w:val="24"/>
                <w:szCs w:val="24"/>
                <w:highlight w:val="none"/>
                <w:lang w:val="en-US" w:eastAsia="zh-CN"/>
              </w:rPr>
              <w:t>2-</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 xml:space="preserve"> 土石方平衡表</w:t>
            </w:r>
            <w:r>
              <w:rPr>
                <w:rFonts w:hint="eastAsia" w:cs="Times New Roman"/>
                <w:b/>
                <w:bCs/>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3</w:t>
            </w:r>
          </w:p>
          <w:tbl>
            <w:tblPr>
              <w:tblStyle w:val="22"/>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472"/>
              <w:gridCol w:w="1661"/>
              <w:gridCol w:w="169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3" w:type="pct"/>
                  <w:vAlign w:val="center"/>
                </w:tcPr>
                <w:p>
                  <w:pPr>
                    <w:pStyle w:val="6"/>
                    <w:bidi w:val="0"/>
                    <w:rPr>
                      <w:rFonts w:hint="eastAsia"/>
                      <w:highlight w:val="none"/>
                      <w:lang w:val="en-US" w:eastAsia="zh-CN"/>
                    </w:rPr>
                  </w:pPr>
                  <w:r>
                    <w:rPr>
                      <w:rFonts w:hint="eastAsia"/>
                      <w:highlight w:val="none"/>
                      <w:lang w:val="en-US" w:eastAsia="zh-CN"/>
                    </w:rPr>
                    <w:t>工程</w:t>
                  </w:r>
                </w:p>
              </w:tc>
              <w:tc>
                <w:tcPr>
                  <w:tcW w:w="913" w:type="pct"/>
                  <w:vAlign w:val="center"/>
                </w:tcPr>
                <w:p>
                  <w:pPr>
                    <w:pStyle w:val="6"/>
                    <w:bidi w:val="0"/>
                    <w:rPr>
                      <w:rFonts w:hint="eastAsia"/>
                      <w:highlight w:val="none"/>
                      <w:lang w:val="en-US" w:eastAsia="zh-CN"/>
                    </w:rPr>
                  </w:pPr>
                  <w:r>
                    <w:rPr>
                      <w:rFonts w:hint="eastAsia"/>
                      <w:highlight w:val="none"/>
                      <w:lang w:val="en-US" w:eastAsia="zh-CN"/>
                    </w:rPr>
                    <w:t>挖方</w:t>
                  </w:r>
                </w:p>
              </w:tc>
              <w:tc>
                <w:tcPr>
                  <w:tcW w:w="1030" w:type="pct"/>
                  <w:vAlign w:val="center"/>
                </w:tcPr>
                <w:p>
                  <w:pPr>
                    <w:pStyle w:val="6"/>
                    <w:bidi w:val="0"/>
                    <w:rPr>
                      <w:rFonts w:hint="eastAsia"/>
                      <w:highlight w:val="none"/>
                    </w:rPr>
                  </w:pPr>
                  <w:r>
                    <w:rPr>
                      <w:rFonts w:hint="eastAsia"/>
                      <w:highlight w:val="none"/>
                      <w:lang w:val="en-US" w:eastAsia="zh-CN"/>
                    </w:rPr>
                    <w:t>借方</w:t>
                  </w:r>
                </w:p>
              </w:tc>
              <w:tc>
                <w:tcPr>
                  <w:tcW w:w="1052" w:type="pct"/>
                  <w:vAlign w:val="center"/>
                </w:tcPr>
                <w:p>
                  <w:pPr>
                    <w:pStyle w:val="6"/>
                    <w:bidi w:val="0"/>
                    <w:rPr>
                      <w:rFonts w:hint="eastAsia"/>
                      <w:highlight w:val="none"/>
                    </w:rPr>
                  </w:pPr>
                  <w:r>
                    <w:rPr>
                      <w:rFonts w:hint="eastAsia"/>
                      <w:highlight w:val="none"/>
                      <w:lang w:val="en-US" w:eastAsia="zh-CN"/>
                    </w:rPr>
                    <w:t>填方</w:t>
                  </w:r>
                </w:p>
              </w:tc>
              <w:tc>
                <w:tcPr>
                  <w:tcW w:w="1188" w:type="pct"/>
                  <w:vAlign w:val="center"/>
                </w:tcPr>
                <w:p>
                  <w:pPr>
                    <w:pStyle w:val="6"/>
                    <w:bidi w:val="0"/>
                    <w:rPr>
                      <w:rFonts w:hint="default"/>
                      <w:highlight w:val="none"/>
                      <w:lang w:val="en-US" w:eastAsia="zh-CN"/>
                    </w:rPr>
                  </w:pPr>
                  <w:r>
                    <w:rPr>
                      <w:rFonts w:hint="eastAsia"/>
                      <w:highlight w:val="none"/>
                      <w:lang w:val="en-US" w:eastAsia="zh-CN"/>
                    </w:rPr>
                    <w:t>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3" w:type="pct"/>
                  <w:vAlign w:val="center"/>
                </w:tcPr>
                <w:p>
                  <w:pPr>
                    <w:pStyle w:val="6"/>
                    <w:bidi w:val="0"/>
                    <w:rPr>
                      <w:rFonts w:hint="default"/>
                      <w:highlight w:val="none"/>
                      <w:lang w:val="en-US" w:eastAsia="zh-CN"/>
                    </w:rPr>
                  </w:pPr>
                  <w:r>
                    <w:rPr>
                      <w:rFonts w:hint="eastAsia"/>
                      <w:highlight w:val="none"/>
                      <w:lang w:val="en-US" w:eastAsia="zh-CN"/>
                    </w:rPr>
                    <w:t>数量</w:t>
                  </w:r>
                </w:p>
              </w:tc>
              <w:tc>
                <w:tcPr>
                  <w:tcW w:w="1472" w:type="dxa"/>
                  <w:vAlign w:val="center"/>
                </w:tcPr>
                <w:p>
                  <w:pPr>
                    <w:pStyle w:val="6"/>
                    <w:bidi w:val="0"/>
                    <w:ind w:firstLine="0" w:firstLineChars="0"/>
                    <w:rPr>
                      <w:rFonts w:hint="default"/>
                      <w:highlight w:val="none"/>
                      <w:lang w:val="en-US" w:eastAsia="zh-CN"/>
                    </w:rPr>
                  </w:pPr>
                  <w:r>
                    <w:rPr>
                      <w:rFonts w:hint="eastAsia"/>
                      <w:highlight w:val="none"/>
                      <w:lang w:val="en-US" w:eastAsia="zh-CN"/>
                    </w:rPr>
                    <w:t>8581.42</w:t>
                  </w:r>
                </w:p>
              </w:tc>
              <w:tc>
                <w:tcPr>
                  <w:tcW w:w="1661" w:type="dxa"/>
                  <w:vAlign w:val="center"/>
                </w:tcPr>
                <w:p>
                  <w:pPr>
                    <w:pStyle w:val="6"/>
                    <w:bidi w:val="0"/>
                    <w:ind w:firstLine="0" w:firstLineChars="0"/>
                    <w:rPr>
                      <w:rFonts w:hint="default"/>
                      <w:highlight w:val="none"/>
                      <w:lang w:val="en-US" w:eastAsia="zh-CN"/>
                    </w:rPr>
                  </w:pPr>
                  <w:r>
                    <w:rPr>
                      <w:rFonts w:hint="eastAsia"/>
                      <w:highlight w:val="none"/>
                      <w:lang w:val="en-US" w:eastAsia="zh-CN"/>
                    </w:rPr>
                    <w:t>14324.24</w:t>
                  </w:r>
                </w:p>
              </w:tc>
              <w:tc>
                <w:tcPr>
                  <w:tcW w:w="1697" w:type="dxa"/>
                  <w:vAlign w:val="center"/>
                </w:tcPr>
                <w:p>
                  <w:pPr>
                    <w:pStyle w:val="6"/>
                    <w:bidi w:val="0"/>
                    <w:ind w:firstLine="0" w:firstLineChars="0"/>
                    <w:rPr>
                      <w:rFonts w:hint="default"/>
                      <w:highlight w:val="none"/>
                      <w:lang w:val="en-US" w:eastAsia="zh-CN"/>
                    </w:rPr>
                  </w:pPr>
                  <w:r>
                    <w:rPr>
                      <w:rFonts w:hint="eastAsia"/>
                      <w:highlight w:val="none"/>
                      <w:lang w:val="en-US" w:eastAsia="zh-CN"/>
                    </w:rPr>
                    <w:t>21036.59</w:t>
                  </w:r>
                </w:p>
              </w:tc>
              <w:tc>
                <w:tcPr>
                  <w:tcW w:w="1917" w:type="dxa"/>
                  <w:vAlign w:val="center"/>
                </w:tcPr>
                <w:p>
                  <w:pPr>
                    <w:pStyle w:val="6"/>
                    <w:bidi w:val="0"/>
                    <w:ind w:firstLine="0" w:firstLineChars="0"/>
                    <w:rPr>
                      <w:rFonts w:hint="default"/>
                      <w:highlight w:val="none"/>
                      <w:lang w:val="en-US" w:eastAsia="zh-CN"/>
                    </w:rPr>
                  </w:pPr>
                  <w:r>
                    <w:rPr>
                      <w:rFonts w:hint="eastAsia"/>
                      <w:highlight w:val="none"/>
                      <w:lang w:val="en-US" w:eastAsia="zh-CN"/>
                    </w:rPr>
                    <w:t>1869.07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3" w:type="pct"/>
                  <w:vAlign w:val="center"/>
                </w:tcPr>
                <w:p>
                  <w:pPr>
                    <w:pStyle w:val="6"/>
                    <w:bidi w:val="0"/>
                    <w:rPr>
                      <w:rFonts w:hint="default"/>
                      <w:highlight w:val="none"/>
                      <w:lang w:val="en-US" w:eastAsia="zh-CN"/>
                    </w:rPr>
                  </w:pPr>
                  <w:r>
                    <w:rPr>
                      <w:rFonts w:hint="eastAsia"/>
                      <w:highlight w:val="none"/>
                      <w:lang w:val="en-US" w:eastAsia="zh-CN"/>
                    </w:rPr>
                    <w:t>去向</w:t>
                  </w:r>
                </w:p>
              </w:tc>
              <w:tc>
                <w:tcPr>
                  <w:tcW w:w="1472" w:type="dxa"/>
                  <w:vAlign w:val="center"/>
                </w:tcPr>
                <w:p>
                  <w:pPr>
                    <w:pStyle w:val="6"/>
                    <w:bidi w:val="0"/>
                    <w:ind w:firstLine="0" w:firstLineChars="0"/>
                    <w:rPr>
                      <w:rFonts w:hint="default"/>
                      <w:highlight w:val="none"/>
                      <w:lang w:val="en-US" w:eastAsia="zh-CN"/>
                    </w:rPr>
                  </w:pPr>
                  <w:r>
                    <w:rPr>
                      <w:rFonts w:hint="eastAsia"/>
                      <w:highlight w:val="none"/>
                      <w:lang w:val="en-US" w:eastAsia="zh-CN"/>
                    </w:rPr>
                    <w:t>/</w:t>
                  </w:r>
                </w:p>
              </w:tc>
              <w:tc>
                <w:tcPr>
                  <w:tcW w:w="1661" w:type="dxa"/>
                  <w:vAlign w:val="center"/>
                </w:tcPr>
                <w:p>
                  <w:pPr>
                    <w:pStyle w:val="6"/>
                    <w:bidi w:val="0"/>
                    <w:ind w:firstLine="0" w:firstLineChars="0"/>
                    <w:rPr>
                      <w:rFonts w:hint="default"/>
                      <w:highlight w:val="none"/>
                      <w:lang w:val="en-US" w:eastAsia="zh-CN"/>
                    </w:rPr>
                  </w:pPr>
                  <w:r>
                    <w:rPr>
                      <w:rFonts w:hint="eastAsia"/>
                      <w:highlight w:val="none"/>
                      <w:lang w:val="en-US" w:eastAsia="zh-CN"/>
                    </w:rPr>
                    <w:t>料场外购</w:t>
                  </w:r>
                </w:p>
              </w:tc>
              <w:tc>
                <w:tcPr>
                  <w:tcW w:w="1697" w:type="dxa"/>
                  <w:vAlign w:val="center"/>
                </w:tcPr>
                <w:p>
                  <w:pPr>
                    <w:pStyle w:val="6"/>
                    <w:bidi w:val="0"/>
                    <w:ind w:firstLine="0" w:firstLineChars="0"/>
                    <w:rPr>
                      <w:rFonts w:hint="default"/>
                      <w:highlight w:val="none"/>
                      <w:lang w:val="en-US" w:eastAsia="zh-CN"/>
                    </w:rPr>
                  </w:pPr>
                  <w:r>
                    <w:rPr>
                      <w:rFonts w:hint="eastAsia"/>
                      <w:highlight w:val="none"/>
                      <w:lang w:val="en-US" w:eastAsia="zh-CN"/>
                    </w:rPr>
                    <w:t>渠道土方回填</w:t>
                  </w:r>
                </w:p>
              </w:tc>
              <w:tc>
                <w:tcPr>
                  <w:tcW w:w="1917" w:type="dxa"/>
                  <w:vAlign w:val="center"/>
                </w:tcPr>
                <w:p>
                  <w:pPr>
                    <w:pStyle w:val="6"/>
                    <w:bidi w:val="0"/>
                    <w:ind w:firstLine="0" w:firstLineChars="0"/>
                    <w:rPr>
                      <w:rFonts w:hint="default"/>
                      <w:highlight w:val="none"/>
                      <w:lang w:val="en-US" w:eastAsia="zh-CN"/>
                    </w:rPr>
                  </w:pPr>
                  <w:r>
                    <w:rPr>
                      <w:rFonts w:hint="eastAsia"/>
                      <w:highlight w:val="none"/>
                      <w:lang w:val="en-US" w:eastAsia="zh-CN"/>
                    </w:rPr>
                    <w:t>沿渠道边铺平</w:t>
                  </w: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jc w:val="both"/>
              <w:textAlignment w:val="auto"/>
              <w:rPr>
                <w:rFonts w:hint="default"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1"/>
                <w:szCs w:val="21"/>
              </w:rPr>
              <w:t>施工方案</w:t>
            </w:r>
          </w:p>
        </w:tc>
        <w:tc>
          <w:tcPr>
            <w:tcW w:w="4754" w:type="pct"/>
          </w:tcPr>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1</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工艺流程</w:t>
            </w:r>
          </w:p>
          <w:p>
            <w:pPr>
              <w:pStyle w:val="51"/>
              <w:ind w:left="0" w:leftChars="0" w:firstLine="0" w:firstLineChars="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drawing>
                <wp:anchor distT="0" distB="0" distL="114300" distR="114300" simplePos="0" relativeHeight="251660288" behindDoc="0" locked="0" layoutInCell="1" allowOverlap="1">
                  <wp:simplePos x="0" y="0"/>
                  <wp:positionH relativeFrom="column">
                    <wp:posOffset>26035</wp:posOffset>
                  </wp:positionH>
                  <wp:positionV relativeFrom="paragraph">
                    <wp:posOffset>3175</wp:posOffset>
                  </wp:positionV>
                  <wp:extent cx="5041900" cy="1464945"/>
                  <wp:effectExtent l="0" t="0" r="0" b="1905"/>
                  <wp:wrapTopAndBottom/>
                  <wp:docPr id="7" name="ECB019B1-382A-4266-B25C-5B523AA43C14-1" descr="C:/Users/Administrator/AppData/Local/Temp/wps.mIyZx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1" descr="C:/Users/Administrator/AppData/Local/Temp/wps.mIyZxEwps"/>
                          <pic:cNvPicPr>
                            <a:picLocks noChangeAspect="1"/>
                          </pic:cNvPicPr>
                        </pic:nvPicPr>
                        <pic:blipFill>
                          <a:blip r:embed="rId8"/>
                          <a:srcRect t="9121" b="7383"/>
                          <a:stretch>
                            <a:fillRect/>
                          </a:stretch>
                        </pic:blipFill>
                        <pic:spPr>
                          <a:xfrm>
                            <a:off x="0" y="0"/>
                            <a:ext cx="5041900" cy="1464945"/>
                          </a:xfrm>
                          <a:prstGeom prst="rect">
                            <a:avLst/>
                          </a:prstGeom>
                        </pic:spPr>
                      </pic:pic>
                    </a:graphicData>
                  </a:graphic>
                </wp:anchor>
              </w:drawing>
            </w:r>
            <w:r>
              <w:rPr>
                <w:rFonts w:hint="default" w:ascii="Times New Roman" w:hAnsi="Times New Roman" w:eastAsia="宋体" w:cs="Times New Roman"/>
                <w:b/>
                <w:bCs/>
                <w:color w:val="auto"/>
                <w:sz w:val="24"/>
                <w:szCs w:val="24"/>
                <w:highlight w:val="none"/>
                <w:lang w:val="en-US" w:eastAsia="zh-CN"/>
              </w:rPr>
              <w:t>图</w:t>
            </w:r>
            <w:r>
              <w:rPr>
                <w:rFonts w:hint="eastAsia" w:cs="Times New Roman"/>
                <w:b/>
                <w:bCs/>
                <w:color w:val="auto"/>
                <w:sz w:val="24"/>
                <w:szCs w:val="24"/>
                <w:highlight w:val="none"/>
                <w:lang w:val="en-US" w:eastAsia="zh-CN"/>
              </w:rPr>
              <w:t xml:space="preserve">2-1 </w:t>
            </w:r>
            <w:r>
              <w:rPr>
                <w:rFonts w:hint="default" w:ascii="Times New Roman" w:hAnsi="Times New Roman" w:eastAsia="宋体" w:cs="Times New Roman"/>
                <w:b/>
                <w:bCs/>
                <w:color w:val="auto"/>
                <w:sz w:val="24"/>
                <w:szCs w:val="24"/>
                <w:highlight w:val="none"/>
                <w:lang w:val="en-US" w:eastAsia="zh-CN"/>
              </w:rPr>
              <w:t xml:space="preserve"> 施工工艺流程图</w:t>
            </w:r>
          </w:p>
          <w:p>
            <w:pPr>
              <w:pStyle w:val="3"/>
              <w:bidi w:val="0"/>
              <w:rPr>
                <w:rFonts w:hint="default"/>
                <w:lang w:val="en-US" w:eastAsia="zh-CN"/>
              </w:rPr>
            </w:pPr>
            <w:r>
              <w:rPr>
                <w:rFonts w:hint="eastAsia"/>
                <w:lang w:val="en-US" w:eastAsia="zh-CN"/>
              </w:rPr>
              <w:t>1.1渠道施工</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清基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施工前，放出清基边线，并做出明显标识，用推土机将清基土从渠中心向左右侧推送，清基厚度为30cm。渠基开挖中清除的弃土、废物、废料等，运到</w:t>
            </w:r>
            <w:r>
              <w:rPr>
                <w:rFonts w:hint="default" w:ascii="Times New Roman" w:hAnsi="Times New Roman" w:eastAsia="宋体" w:cs="Times New Roman"/>
                <w:color w:val="auto"/>
                <w:sz w:val="24"/>
                <w:szCs w:val="24"/>
                <w:highlight w:val="none"/>
                <w:lang w:val="en-US" w:eastAsia="zh-CN"/>
              </w:rPr>
              <w:t>临时堆渣区</w:t>
            </w:r>
            <w:r>
              <w:rPr>
                <w:rFonts w:hint="default" w:ascii="Times New Roman" w:hAnsi="Times New Roman" w:eastAsia="宋体" w:cs="Times New Roman"/>
                <w:color w:val="auto"/>
                <w:sz w:val="24"/>
                <w:szCs w:val="24"/>
                <w:highlight w:val="none"/>
              </w:rPr>
              <w:t>堆放。</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开挖</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采用挖掘机进行，推土机配合。挖出的土可直接用于填筑渠堤，渠堤填筑严格按施工规范进行。挖出多余土方堆放在渠道外坡脚外，并用推土机推平，并用机械进行碾压，不足土方从土料场调运。</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填筑施工</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土</w:t>
            </w:r>
            <w:r>
              <w:rPr>
                <w:rFonts w:hint="default" w:ascii="Times New Roman" w:hAnsi="Times New Roman" w:eastAsia="宋体" w:cs="Times New Roman"/>
                <w:color w:val="auto"/>
                <w:sz w:val="24"/>
                <w:szCs w:val="24"/>
                <w:highlight w:val="none"/>
              </w:rPr>
              <w:t>方填筑程序依次为渠堤高程引测、宽度控制、渠堤分层填筑</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洒水碾压、压实度试验、土堤削坡、成型，填筑土方应采用振动碾压实，渠堤削坡采取人工施工回填土分层碾压，一次碾压厚度不宜超过30cm，粘性土压实度</w:t>
            </w:r>
            <w:r>
              <w:rPr>
                <w:rFonts w:hint="eastAsia" w:cs="Times New Roman"/>
                <w:color w:val="auto"/>
                <w:sz w:val="24"/>
                <w:szCs w:val="24"/>
                <w:highlight w:val="none"/>
                <w:lang w:val="en-US" w:eastAsia="zh-CN"/>
              </w:rPr>
              <w:t>不小于</w:t>
            </w:r>
            <w:r>
              <w:rPr>
                <w:rFonts w:hint="default" w:ascii="Times New Roman" w:hAnsi="Times New Roman" w:eastAsia="宋体" w:cs="Times New Roman"/>
                <w:color w:val="auto"/>
                <w:sz w:val="24"/>
                <w:szCs w:val="24"/>
                <w:highlight w:val="none"/>
              </w:rPr>
              <w:t>0.9，非粘性土相对密度</w:t>
            </w:r>
            <w:r>
              <w:rPr>
                <w:rFonts w:hint="eastAsia" w:cs="Times New Roman"/>
                <w:color w:val="auto"/>
                <w:sz w:val="24"/>
                <w:szCs w:val="24"/>
                <w:highlight w:val="none"/>
                <w:lang w:val="en-US" w:eastAsia="zh-CN"/>
              </w:rPr>
              <w:t>不小于</w:t>
            </w:r>
            <w:r>
              <w:rPr>
                <w:rFonts w:hint="default" w:ascii="Times New Roman" w:hAnsi="Times New Roman" w:eastAsia="宋体" w:cs="Times New Roman"/>
                <w:color w:val="auto"/>
                <w:sz w:val="24"/>
                <w:szCs w:val="24"/>
                <w:highlight w:val="none"/>
              </w:rPr>
              <w:t>0.7。碾压方法按进退错距法压实，相邻两段交接带碾压搭接长度，顺碾压方向不小于0.3m，垂直碾压方向搭接长度不小于1.5m，碾压遍数由试验而定。每段渠堤自身在回填碾压过程中留纵横向接</w:t>
            </w:r>
            <w:r>
              <w:rPr>
                <w:rFonts w:hint="eastAsia" w:ascii="Times New Roman" w:hAnsi="Times New Roman" w:eastAsia="宋体" w:cs="Times New Roman"/>
                <w:color w:val="auto"/>
                <w:sz w:val="24"/>
                <w:szCs w:val="24"/>
                <w:highlight w:val="none"/>
                <w:lang w:eastAsia="zh-CN"/>
              </w:rPr>
              <w:t>搓</w:t>
            </w:r>
            <w:r>
              <w:rPr>
                <w:rFonts w:hint="default" w:ascii="Times New Roman" w:hAnsi="Times New Roman" w:eastAsia="宋体" w:cs="Times New Roman"/>
                <w:color w:val="auto"/>
                <w:sz w:val="24"/>
                <w:szCs w:val="24"/>
                <w:highlight w:val="none"/>
              </w:rPr>
              <w:t>，渠堤的洒水量要严格控制，如超含水量要进行土料翻晒，含水量不足要及时洒水，再进行碾压，禁止出现欠压和过压现象。</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砂砾石垫层料施工</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考虑冻胀及腐蚀性等问题，需用砂砾石进行换填，用自卸汽车将换填砂砾石运至施工现场，在人工的协助下将砂砾石按设计要求铺设在渠床上，采用振动碾进行碾压，使其相对密度</w:t>
            </w:r>
            <w:r>
              <w:rPr>
                <w:rFonts w:hint="eastAsia" w:cs="Times New Roman"/>
                <w:color w:val="auto"/>
                <w:sz w:val="24"/>
                <w:szCs w:val="24"/>
                <w:highlight w:val="none"/>
                <w:lang w:val="en-US" w:eastAsia="zh-CN"/>
              </w:rPr>
              <w:t>不小于</w:t>
            </w:r>
            <w:r>
              <w:rPr>
                <w:rFonts w:hint="default" w:ascii="Times New Roman" w:hAnsi="Times New Roman" w:eastAsia="宋体" w:cs="Times New Roman"/>
                <w:color w:val="auto"/>
                <w:sz w:val="24"/>
                <w:szCs w:val="24"/>
                <w:highlight w:val="none"/>
              </w:rPr>
              <w:t>0.70。</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预制混凝土U形槽施工</w:t>
            </w:r>
          </w:p>
          <w:p>
            <w:pPr>
              <w:pStyle w:val="51"/>
              <w:ind w:firstLine="56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U型预制渠道每节设伸缩缝，上部用2cm厚聚氨酯密封胶闭缝，下部采用高压闭孔塑料板嵌缝，高压闭孔板密度为120kg/m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，聚氨酯密度为大于等于1.4g/cm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w:t>
            </w:r>
          </w:p>
          <w:p>
            <w:pPr>
              <w:pStyle w:val="3"/>
              <w:bidi w:val="0"/>
              <w:rPr>
                <w:rFonts w:hint="default"/>
                <w:lang w:val="en-US" w:eastAsia="zh-CN"/>
              </w:rPr>
            </w:pPr>
            <w:r>
              <w:rPr>
                <w:rFonts w:hint="eastAsia"/>
                <w:lang w:val="en-US" w:eastAsia="zh-CN"/>
              </w:rPr>
              <w:t>1.2渠系构筑物施工</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基础开挖</w:t>
            </w:r>
          </w:p>
          <w:p>
            <w:pPr>
              <w:pStyle w:val="51"/>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采用挖掘机开挖，挖掘机直接挖料到基坑外，设计开挖边坡均为1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1.5。因</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的基础开挖轴线要准确无误，应进行复查后进行开挖，采用机械挖至设计高程的+10cm时，人工清理剩余土方。</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立模板</w:t>
            </w:r>
          </w:p>
          <w:p>
            <w:pPr>
              <w:pStyle w:val="51"/>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地基处理后，先用素</w:t>
            </w:r>
            <w:r>
              <w:rPr>
                <w:rFonts w:hint="default" w:ascii="Times New Roman" w:hAnsi="Times New Roman" w:eastAsia="宋体" w:cs="Times New Roman"/>
                <w:color w:val="auto"/>
                <w:sz w:val="24"/>
                <w:szCs w:val="24"/>
                <w:highlight w:val="none"/>
                <w:lang w:val="en-US" w:eastAsia="zh-CN"/>
              </w:rPr>
              <w:t>砼</w:t>
            </w:r>
            <w:r>
              <w:rPr>
                <w:rFonts w:hint="default" w:ascii="Times New Roman" w:hAnsi="Times New Roman" w:eastAsia="宋体" w:cs="Times New Roman"/>
                <w:color w:val="auto"/>
                <w:sz w:val="24"/>
                <w:szCs w:val="24"/>
                <w:highlight w:val="none"/>
              </w:rPr>
              <w:t>铺一层8</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10cm垫层，以保护地基，找平地面后立模板。模板应尽量采用定型组合模板，钢模板的支撑固定采用</w:t>
            </w:r>
            <w:r>
              <w:rPr>
                <w:rFonts w:hint="eastAsia" w:cs="Times New Roman"/>
                <w:color w:val="auto"/>
                <w:sz w:val="24"/>
                <w:szCs w:val="24"/>
                <w:highlight w:val="none"/>
                <w:lang w:eastAsia="zh-CN"/>
              </w:rPr>
              <w:t>“U”形</w:t>
            </w:r>
            <w:r>
              <w:rPr>
                <w:rFonts w:hint="default" w:ascii="Times New Roman" w:hAnsi="Times New Roman" w:eastAsia="宋体" w:cs="Times New Roman"/>
                <w:color w:val="auto"/>
                <w:sz w:val="24"/>
                <w:szCs w:val="24"/>
                <w:highlight w:val="none"/>
              </w:rPr>
              <w:t>卡，勾头螺丝杆，加固采用钢管支撑。管卡内撑进行</w:t>
            </w:r>
            <w:r>
              <w:rPr>
                <w:rFonts w:hint="eastAsia" w:cs="Times New Roman"/>
                <w:color w:val="auto"/>
                <w:sz w:val="24"/>
                <w:szCs w:val="24"/>
                <w:highlight w:val="none"/>
                <w:lang w:eastAsia="zh-CN"/>
              </w:rPr>
              <w:t>刚性连接</w:t>
            </w:r>
            <w:r>
              <w:rPr>
                <w:rFonts w:hint="default" w:ascii="Times New Roman" w:hAnsi="Times New Roman" w:eastAsia="宋体" w:cs="Times New Roman"/>
                <w:color w:val="auto"/>
                <w:sz w:val="24"/>
                <w:szCs w:val="24"/>
                <w:highlight w:val="none"/>
              </w:rPr>
              <w:t>，以确保浇筑</w:t>
            </w:r>
            <w:r>
              <w:rPr>
                <w:rFonts w:hint="eastAsia" w:ascii="Times New Roman" w:hAnsi="Times New Roman" w:eastAsia="宋体" w:cs="Times New Roman"/>
                <w:color w:val="auto"/>
                <w:sz w:val="24"/>
                <w:szCs w:val="24"/>
                <w:highlight w:val="none"/>
                <w:lang w:eastAsia="zh-CN"/>
              </w:rPr>
              <w:t>基础</w:t>
            </w:r>
            <w:r>
              <w:rPr>
                <w:rFonts w:hint="default" w:ascii="Times New Roman" w:hAnsi="Times New Roman" w:eastAsia="宋体" w:cs="Times New Roman"/>
                <w:color w:val="auto"/>
                <w:sz w:val="24"/>
                <w:szCs w:val="24"/>
                <w:highlight w:val="none"/>
              </w:rPr>
              <w:t>的过程中模板不变形，保证结构的浇筑尺寸，模板误差要小于验评标准要求。</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砼</w:t>
            </w:r>
            <w:r>
              <w:rPr>
                <w:rFonts w:hint="default" w:ascii="Times New Roman" w:hAnsi="Times New Roman" w:eastAsia="宋体" w:cs="Times New Roman"/>
                <w:color w:val="auto"/>
                <w:sz w:val="24"/>
                <w:szCs w:val="24"/>
                <w:highlight w:val="none"/>
              </w:rPr>
              <w:t>浇筑</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项目购买成品混凝土</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浇筑混凝土时边浇筑边采用平板振捣器进行振捣</w:t>
            </w:r>
            <w:r>
              <w:rPr>
                <w:rFonts w:hint="default" w:ascii="Times New Roman" w:hAnsi="Times New Roman" w:eastAsia="宋体" w:cs="Times New Roman"/>
                <w:color w:val="auto"/>
                <w:sz w:val="24"/>
                <w:szCs w:val="24"/>
                <w:highlight w:val="none"/>
              </w:rPr>
              <w:t>，洒水养护到规范规定的天数，使</w:t>
            </w:r>
            <w:r>
              <w:rPr>
                <w:rFonts w:hint="eastAsia" w:ascii="Times New Roman" w:hAnsi="Times New Roman" w:eastAsia="宋体" w:cs="Times New Roman"/>
                <w:color w:val="auto"/>
                <w:sz w:val="24"/>
                <w:szCs w:val="24"/>
                <w:highlight w:val="none"/>
                <w:lang w:eastAsia="zh-CN"/>
              </w:rPr>
              <w:t>基础</w:t>
            </w:r>
            <w:r>
              <w:rPr>
                <w:rFonts w:hint="default" w:ascii="Times New Roman" w:hAnsi="Times New Roman" w:eastAsia="宋体" w:cs="Times New Roman"/>
                <w:color w:val="auto"/>
                <w:sz w:val="24"/>
                <w:szCs w:val="24"/>
                <w:highlight w:val="none"/>
              </w:rPr>
              <w:t>强度达到设计要求。</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回填</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当成品混凝土干燥</w:t>
            </w:r>
            <w:r>
              <w:rPr>
                <w:rFonts w:hint="default" w:ascii="Times New Roman" w:hAnsi="Times New Roman" w:eastAsia="宋体" w:cs="Times New Roman"/>
                <w:color w:val="auto"/>
                <w:sz w:val="24"/>
                <w:szCs w:val="24"/>
                <w:highlight w:val="none"/>
              </w:rPr>
              <w:t>后</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进行</w:t>
            </w:r>
            <w:r>
              <w:rPr>
                <w:rFonts w:hint="default" w:ascii="Times New Roman" w:hAnsi="Times New Roman" w:eastAsia="宋体" w:cs="Times New Roman"/>
                <w:color w:val="auto"/>
                <w:sz w:val="24"/>
                <w:szCs w:val="24"/>
                <w:highlight w:val="none"/>
              </w:rPr>
              <w:t>脱模，人工回填夯实基础土方。最后安装金属结构和机械设备并调试启闭运行。</w:t>
            </w:r>
          </w:p>
          <w:p>
            <w:pPr>
              <w:pStyle w:val="51"/>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渠系</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施工要求较高，施工应严格按照设计要求和有关规范施工。渠道的施工不存在影响灌溉的因素，因此渠系</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的施工可以与渠道工程同期施工。</w:t>
            </w:r>
          </w:p>
          <w:p>
            <w:pPr>
              <w:pStyle w:val="51"/>
              <w:ind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机电设备及金属安装工程施工</w:t>
            </w:r>
          </w:p>
          <w:p>
            <w:pPr>
              <w:pStyle w:val="51"/>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本工程是渠道工程，机电设备及金属结构比较单一，主要是渠道闸门和启闭机，水闸沿渠线分布</w:t>
            </w:r>
            <w:r>
              <w:rPr>
                <w:rFonts w:hint="default" w:ascii="Times New Roman" w:hAnsi="Times New Roman" w:eastAsia="宋体" w:cs="Times New Roman"/>
                <w:color w:val="auto"/>
                <w:sz w:val="24"/>
                <w:szCs w:val="24"/>
                <w:highlight w:val="none"/>
                <w:lang w:eastAsia="zh-CN"/>
              </w:rPr>
              <w:t>。</w:t>
            </w:r>
          </w:p>
          <w:p>
            <w:pPr>
              <w:pStyle w:val="3"/>
              <w:bidi w:val="0"/>
              <w:rPr>
                <w:rFonts w:hint="default"/>
                <w:lang w:val="en-US" w:eastAsia="zh-CN"/>
              </w:rPr>
            </w:pPr>
            <w:r>
              <w:rPr>
                <w:rFonts w:hint="eastAsia"/>
                <w:lang w:val="en-US" w:eastAsia="zh-CN"/>
              </w:rPr>
              <w:t>2</w:t>
            </w:r>
            <w:r>
              <w:rPr>
                <w:rFonts w:hint="default"/>
                <w:lang w:val="en-US" w:eastAsia="zh-CN"/>
              </w:rPr>
              <w:t xml:space="preserve"> 施工时序及建设周期</w:t>
            </w:r>
          </w:p>
          <w:p>
            <w:pPr>
              <w:pStyle w:val="51"/>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本工程于2026年</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月开工，并于2026年8月建设完毕，建设期</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1" w:hRule="atLeast"/>
        </w:trPr>
        <w:tc>
          <w:tcPr>
            <w:tcW w:w="245" w:type="pct"/>
            <w:vAlign w:val="center"/>
          </w:tcPr>
          <w:p>
            <w:pPr>
              <w:pStyle w:val="6"/>
              <w:bidi w:val="0"/>
              <w:ind w:firstLine="0" w:firstLineChars="0"/>
              <w:jc w:val="center"/>
              <w:rPr>
                <w:rFonts w:hint="default" w:ascii="宋体" w:hAnsi="宋体" w:eastAsia="宋体" w:cs="宋体"/>
                <w:color w:val="auto"/>
                <w:kern w:val="0"/>
                <w:sz w:val="21"/>
                <w:szCs w:val="24"/>
                <w:lang w:val="en-US" w:eastAsia="zh-CN" w:bidi="ar-SA"/>
              </w:rPr>
            </w:pPr>
            <w:r>
              <w:rPr>
                <w:rFonts w:hint="eastAsia"/>
              </w:rPr>
              <w:t>其他</w:t>
            </w:r>
          </w:p>
        </w:tc>
        <w:tc>
          <w:tcPr>
            <w:tcW w:w="475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无</w:t>
            </w:r>
          </w:p>
        </w:tc>
      </w:tr>
    </w:tbl>
    <w:p>
      <w:pPr>
        <w:pStyle w:val="19"/>
        <w:jc w:val="center"/>
        <w:outlineLvl w:val="0"/>
        <w:rPr>
          <w:rFonts w:ascii="黑体" w:hAnsi="黑体" w:eastAsia="黑体"/>
          <w:snapToGrid w:val="0"/>
          <w:color w:val="auto"/>
          <w:sz w:val="30"/>
          <w:szCs w:val="30"/>
        </w:rPr>
      </w:pPr>
      <w:r>
        <w:rPr>
          <w:rFonts w:eastAsia="仿宋_GB2312"/>
          <w:b/>
          <w:bCs/>
          <w:color w:val="auto"/>
        </w:rPr>
        <w:br w:type="page"/>
      </w:r>
      <w:r>
        <w:rPr>
          <w:rFonts w:hint="eastAsia" w:ascii="黑体" w:hAnsi="黑体" w:eastAsia="黑体"/>
          <w:snapToGrid w:val="0"/>
          <w:color w:val="auto"/>
          <w:sz w:val="30"/>
          <w:szCs w:val="30"/>
        </w:rPr>
        <w:t>三、生态环境现状、保护目标及评价标准</w:t>
      </w:r>
    </w:p>
    <w:tbl>
      <w:tblPr>
        <w:tblStyle w:val="21"/>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0"/>
                <w:szCs w:val="21"/>
              </w:rPr>
            </w:pPr>
            <w:r>
              <w:rPr>
                <w:rFonts w:hint="eastAsia" w:ascii="宋体" w:hAnsi="宋体" w:cs="宋体"/>
                <w:color w:val="auto"/>
                <w:kern w:val="0"/>
                <w:sz w:val="21"/>
                <w:szCs w:val="21"/>
              </w:rPr>
              <w:t>生态环境现状</w:t>
            </w:r>
          </w:p>
        </w:tc>
        <w:tc>
          <w:tcPr>
            <w:tcW w:w="82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1 </w:t>
            </w:r>
            <w:r>
              <w:rPr>
                <w:rFonts w:hint="eastAsia" w:ascii="宋体" w:hAnsi="宋体" w:eastAsia="宋体" w:cs="宋体"/>
                <w:b/>
                <w:bCs/>
                <w:color w:val="auto"/>
                <w:kern w:val="0"/>
                <w:sz w:val="24"/>
                <w:szCs w:val="24"/>
              </w:rPr>
              <w:t>主体功能区划</w:t>
            </w:r>
          </w:p>
          <w:p>
            <w:pPr>
              <w:pageBreakBefore w:val="0"/>
              <w:widowControl w:val="0"/>
              <w:kinsoku/>
              <w:wordWrap/>
              <w:overflowPunct/>
              <w:topLinePunct w:val="0"/>
              <w:autoSpaceDE/>
              <w:autoSpaceDN/>
              <w:bidi w:val="0"/>
              <w:adjustRightInd/>
              <w:snapToGrid/>
              <w:spacing w:line="52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w:t>
            </w:r>
            <w:r>
              <w:rPr>
                <w:rFonts w:hint="eastAsia" w:ascii="Times New Roman" w:hAnsi="Times New Roman" w:eastAsia="宋体" w:cs="Times New Roman"/>
                <w:color w:val="auto"/>
                <w:sz w:val="24"/>
                <w:szCs w:val="24"/>
              </w:rPr>
              <w:t>《新疆维吾尔自治区主体功能区规划》</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评价区属</w:t>
            </w:r>
            <w:r>
              <w:rPr>
                <w:rFonts w:hint="eastAsia" w:ascii="Times New Roman" w:hAnsi="Times New Roman" w:eastAsia="宋体" w:cs="Times New Roman"/>
                <w:color w:val="auto"/>
                <w:sz w:val="24"/>
                <w:szCs w:val="24"/>
                <w:lang w:val="en-US" w:eastAsia="zh-CN"/>
              </w:rPr>
              <w:t>“阿尔金草原荒漠化防治生态功能区”</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该功能区发展方向见下表。</w:t>
            </w:r>
          </w:p>
          <w:p>
            <w:pPr>
              <w:pStyle w:val="5"/>
              <w:bidi w:val="0"/>
              <w:rPr>
                <w:rFonts w:hint="eastAsia"/>
                <w:lang w:val="en-US" w:eastAsia="zh-CN"/>
              </w:rPr>
            </w:pPr>
            <w:r>
              <w:rPr>
                <w:rFonts w:hint="eastAsia"/>
                <w:lang w:val="en-US" w:eastAsia="zh-CN"/>
              </w:rPr>
              <w:t>表3-1  新疆重点生态功能区的类型和发展方向</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084"/>
              <w:gridCol w:w="3767"/>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68" w:type="pct"/>
                  <w:noWrap w:val="0"/>
                  <w:vAlign w:val="center"/>
                </w:tcPr>
                <w:p>
                  <w:pPr>
                    <w:pStyle w:val="6"/>
                    <w:bidi w:val="0"/>
                    <w:rPr>
                      <w:rFonts w:hint="eastAsia"/>
                      <w:lang w:eastAsia="zh-CN"/>
                    </w:rPr>
                  </w:pPr>
                  <w:r>
                    <w:rPr>
                      <w:rFonts w:hint="eastAsia"/>
                      <w:lang w:eastAsia="zh-CN"/>
                    </w:rPr>
                    <w:t>名称</w:t>
                  </w:r>
                </w:p>
              </w:tc>
              <w:tc>
                <w:tcPr>
                  <w:tcW w:w="675" w:type="pct"/>
                  <w:noWrap w:val="0"/>
                  <w:vAlign w:val="center"/>
                </w:tcPr>
                <w:p>
                  <w:pPr>
                    <w:pStyle w:val="6"/>
                    <w:bidi w:val="0"/>
                    <w:rPr>
                      <w:rFonts w:hint="eastAsia"/>
                      <w:lang w:eastAsia="zh-CN"/>
                    </w:rPr>
                  </w:pPr>
                  <w:r>
                    <w:rPr>
                      <w:rFonts w:hint="eastAsia"/>
                      <w:lang w:eastAsia="zh-CN"/>
                    </w:rPr>
                    <w:t>类型</w:t>
                  </w:r>
                </w:p>
              </w:tc>
              <w:tc>
                <w:tcPr>
                  <w:tcW w:w="2347" w:type="pct"/>
                  <w:noWrap w:val="0"/>
                  <w:vAlign w:val="center"/>
                </w:tcPr>
                <w:p>
                  <w:pPr>
                    <w:pStyle w:val="6"/>
                    <w:bidi w:val="0"/>
                    <w:rPr>
                      <w:rFonts w:hint="eastAsia"/>
                      <w:lang w:eastAsia="zh-CN"/>
                    </w:rPr>
                  </w:pPr>
                  <w:r>
                    <w:rPr>
                      <w:rFonts w:hint="eastAsia"/>
                      <w:lang w:eastAsia="zh-CN"/>
                    </w:rPr>
                    <w:t>综合评价</w:t>
                  </w:r>
                </w:p>
              </w:tc>
              <w:tc>
                <w:tcPr>
                  <w:tcW w:w="1109" w:type="pct"/>
                  <w:noWrap w:val="0"/>
                  <w:vAlign w:val="center"/>
                </w:tcPr>
                <w:p>
                  <w:pPr>
                    <w:pStyle w:val="6"/>
                    <w:bidi w:val="0"/>
                    <w:rPr>
                      <w:rFonts w:hint="eastAsia"/>
                      <w:lang w:eastAsia="zh-CN"/>
                    </w:rPr>
                  </w:pPr>
                  <w:r>
                    <w:rPr>
                      <w:rFonts w:hint="eastAsia"/>
                      <w:lang w:eastAsia="zh-CN"/>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68" w:type="pct"/>
                  <w:noWrap w:val="0"/>
                  <w:vAlign w:val="center"/>
                </w:tcPr>
                <w:p>
                  <w:pPr>
                    <w:pStyle w:val="6"/>
                    <w:bidi w:val="0"/>
                    <w:rPr>
                      <w:rFonts w:hint="eastAsia"/>
                      <w:lang w:val="en-US" w:eastAsia="zh-CN"/>
                    </w:rPr>
                  </w:pPr>
                  <w:r>
                    <w:rPr>
                      <w:rFonts w:hint="eastAsia"/>
                      <w:lang w:val="en-US" w:eastAsia="zh-CN"/>
                    </w:rPr>
                    <w:t>阿尔金草原荒漠化防治生态功能区</w:t>
                  </w:r>
                </w:p>
              </w:tc>
              <w:tc>
                <w:tcPr>
                  <w:tcW w:w="675" w:type="pct"/>
                  <w:noWrap w:val="0"/>
                  <w:vAlign w:val="center"/>
                </w:tcPr>
                <w:p>
                  <w:pPr>
                    <w:pStyle w:val="6"/>
                    <w:bidi w:val="0"/>
                    <w:rPr>
                      <w:rFonts w:hint="eastAsia"/>
                      <w:lang w:val="en-US" w:eastAsia="zh-CN"/>
                    </w:rPr>
                  </w:pPr>
                  <w:r>
                    <w:rPr>
                      <w:rFonts w:hint="eastAsia"/>
                      <w:lang w:val="en-US" w:eastAsia="zh-CN"/>
                    </w:rPr>
                    <w:t>防风固沙</w:t>
                  </w:r>
                </w:p>
              </w:tc>
              <w:tc>
                <w:tcPr>
                  <w:tcW w:w="2347" w:type="pct"/>
                  <w:noWrap w:val="0"/>
                  <w:vAlign w:val="center"/>
                </w:tcPr>
                <w:p>
                  <w:pPr>
                    <w:pStyle w:val="6"/>
                    <w:bidi w:val="0"/>
                    <w:rPr>
                      <w:rFonts w:hint="eastAsia"/>
                      <w:lang w:val="en-US" w:eastAsia="zh-CN"/>
                    </w:rPr>
                  </w:pPr>
                  <w:r>
                    <w:rPr>
                      <w:rFonts w:hint="eastAsia"/>
                      <w:lang w:val="en-US" w:eastAsia="zh-CN"/>
                    </w:rPr>
                    <w:t>气候极为干旱，地表植被稀少，保存着完整的高原自然生态系统，拥有许多极为珍贵的特有物种，土地沙漠化敏感程度极高。目前鼠害肆虐，土地荒漠化加剧，珍稀动植物的生存受到威胁。</w:t>
                  </w:r>
                </w:p>
              </w:tc>
              <w:tc>
                <w:tcPr>
                  <w:tcW w:w="1109" w:type="pct"/>
                  <w:noWrap w:val="0"/>
                  <w:vAlign w:val="center"/>
                </w:tcPr>
                <w:p>
                  <w:pPr>
                    <w:pStyle w:val="6"/>
                    <w:bidi w:val="0"/>
                    <w:rPr>
                      <w:rFonts w:hint="eastAsia"/>
                      <w:lang w:val="en-US" w:eastAsia="zh-CN"/>
                    </w:rPr>
                  </w:pPr>
                  <w:r>
                    <w:rPr>
                      <w:rFonts w:hint="eastAsia"/>
                      <w:lang w:val="en-US" w:eastAsia="zh-CN"/>
                    </w:rPr>
                    <w:t>控制放牧和旅游区范围，防范盗猎，减少人类活动干扰。</w:t>
                  </w:r>
                </w:p>
              </w:tc>
            </w:tr>
          </w:tbl>
          <w:p>
            <w:pPr>
              <w:pageBreakBefore w:val="0"/>
              <w:widowControl w:val="0"/>
              <w:kinsoku/>
              <w:wordWrap/>
              <w:overflowPunct/>
              <w:topLinePunct w:val="0"/>
              <w:autoSpaceDE/>
              <w:autoSpaceDN/>
              <w:bidi w:val="0"/>
              <w:adjustRightInd/>
              <w:snapToGrid/>
              <w:spacing w:line="520" w:lineRule="exact"/>
              <w:ind w:firstLine="480" w:firstLineChars="200"/>
              <w:rPr>
                <w:rFonts w:hint="eastAsia"/>
                <w:color w:val="auto"/>
                <w:sz w:val="24"/>
                <w:szCs w:val="24"/>
                <w:lang w:val="en-US" w:eastAsia="zh-CN"/>
              </w:rPr>
            </w:pPr>
            <w:r>
              <w:rPr>
                <w:rFonts w:hint="eastAsia"/>
                <w:color w:val="auto"/>
                <w:sz w:val="24"/>
                <w:szCs w:val="24"/>
              </w:rPr>
              <w:t>本项目属于防渗渠节水改造项目，项目所在区域不在生态</w:t>
            </w:r>
            <w:r>
              <w:rPr>
                <w:rFonts w:hint="eastAsia"/>
                <w:color w:val="auto"/>
                <w:sz w:val="24"/>
                <w:szCs w:val="24"/>
                <w:lang w:eastAsia="zh-CN"/>
              </w:rPr>
              <w:t>保护</w:t>
            </w:r>
            <w:r>
              <w:rPr>
                <w:rFonts w:hint="eastAsia"/>
                <w:color w:val="auto"/>
                <w:sz w:val="24"/>
                <w:szCs w:val="24"/>
              </w:rPr>
              <w:t>红线内</w:t>
            </w:r>
            <w:r>
              <w:rPr>
                <w:rFonts w:hint="eastAsia"/>
                <w:color w:val="auto"/>
                <w:sz w:val="24"/>
                <w:szCs w:val="24"/>
                <w:lang w:eastAsia="zh-CN"/>
              </w:rPr>
              <w:t>，本</w:t>
            </w:r>
            <w:r>
              <w:rPr>
                <w:rFonts w:hint="eastAsia"/>
                <w:color w:val="auto"/>
                <w:sz w:val="24"/>
                <w:szCs w:val="24"/>
              </w:rPr>
              <w:t>环评已提出尽量少占用土地及施工后的生态恢复相关要求，同时要求建设单位需对开发活动严格控制，尽可能减少对生态系统的干扰；在项目实施过程中积极采取生态保护措施，加强对生态系统保护和恢复</w:t>
            </w:r>
            <w:r>
              <w:rPr>
                <w:rFonts w:hint="eastAsia"/>
                <w:color w:val="auto"/>
                <w:sz w:val="24"/>
                <w:szCs w:val="24"/>
                <w:lang w:eastAsia="zh-CN"/>
              </w:rPr>
              <w:t>，</w:t>
            </w:r>
            <w:r>
              <w:rPr>
                <w:rFonts w:hint="eastAsia"/>
                <w:color w:val="auto"/>
                <w:sz w:val="24"/>
                <w:szCs w:val="24"/>
              </w:rPr>
              <w:t>保护地貌，维护自然生态环境，积极落实本环评提出的各项生态环境保护措施</w:t>
            </w:r>
            <w:r>
              <w:rPr>
                <w:rFonts w:hint="eastAsia"/>
                <w:color w:val="auto"/>
                <w:sz w:val="24"/>
                <w:szCs w:val="24"/>
                <w:lang w:val="en-US" w:eastAsia="zh-CN"/>
              </w:rPr>
              <w:t>。</w:t>
            </w:r>
          </w:p>
          <w:p>
            <w:pPr>
              <w:pageBreakBefore w:val="0"/>
              <w:widowControl w:val="0"/>
              <w:shd w:val="clear"/>
              <w:kinsoku/>
              <w:wordWrap/>
              <w:overflowPunct/>
              <w:topLinePunct w:val="0"/>
              <w:autoSpaceDE/>
              <w:autoSpaceDN/>
              <w:bidi w:val="0"/>
              <w:adjustRightInd/>
              <w:snapToGrid/>
              <w:spacing w:line="520" w:lineRule="exact"/>
              <w:ind w:firstLine="480" w:firstLineChars="200"/>
              <w:rPr>
                <w:rFonts w:hint="eastAsia"/>
                <w:color w:val="auto"/>
                <w:sz w:val="24"/>
                <w:szCs w:val="24"/>
                <w:highlight w:val="none"/>
              </w:rPr>
            </w:pPr>
            <w:r>
              <w:rPr>
                <w:rFonts w:hint="eastAsia"/>
                <w:color w:val="auto"/>
                <w:sz w:val="24"/>
                <w:szCs w:val="24"/>
                <w:lang w:val="en-US" w:eastAsia="zh-CN"/>
              </w:rPr>
              <w:t>综上</w:t>
            </w:r>
            <w:r>
              <w:rPr>
                <w:rFonts w:hint="eastAsia"/>
                <w:color w:val="auto"/>
                <w:sz w:val="24"/>
                <w:szCs w:val="24"/>
              </w:rPr>
              <w:t>，本项目</w:t>
            </w:r>
            <w:r>
              <w:rPr>
                <w:rFonts w:hint="eastAsia"/>
                <w:color w:val="auto"/>
                <w:sz w:val="24"/>
                <w:szCs w:val="24"/>
                <w:lang w:val="en-US" w:eastAsia="zh-CN"/>
              </w:rPr>
              <w:t>的</w:t>
            </w:r>
            <w:r>
              <w:rPr>
                <w:rFonts w:hint="eastAsia"/>
                <w:color w:val="auto"/>
                <w:sz w:val="24"/>
                <w:szCs w:val="24"/>
              </w:rPr>
              <w:t>建设符合《新疆维吾尔自治区主体功能区规划》</w:t>
            </w:r>
            <w:r>
              <w:rPr>
                <w:rFonts w:hint="eastAsia"/>
                <w:color w:val="auto"/>
                <w:sz w:val="24"/>
                <w:szCs w:val="24"/>
                <w:lang w:eastAsia="zh-CN"/>
              </w:rPr>
              <w:t>对</w:t>
            </w:r>
            <w:r>
              <w:rPr>
                <w:rFonts w:hint="eastAsia"/>
                <w:color w:val="auto"/>
                <w:sz w:val="24"/>
                <w:szCs w:val="24"/>
              </w:rPr>
              <w:t>工程区块的开发原则，与区域生态功能的保护是协调的。</w:t>
            </w:r>
            <w:r>
              <w:rPr>
                <w:rFonts w:hint="eastAsia"/>
                <w:color w:val="auto"/>
                <w:sz w:val="24"/>
                <w:szCs w:val="24"/>
                <w:highlight w:val="none"/>
              </w:rPr>
              <w:t>项目在“新疆主体功能区规划”中的位置见附图</w:t>
            </w:r>
            <w:r>
              <w:rPr>
                <w:rFonts w:hint="eastAsia"/>
                <w:color w:val="auto"/>
                <w:sz w:val="24"/>
                <w:szCs w:val="24"/>
                <w:highlight w:val="none"/>
                <w:lang w:val="en-US" w:eastAsia="zh-CN"/>
              </w:rPr>
              <w:t>14</w:t>
            </w:r>
            <w:r>
              <w:rPr>
                <w:rFonts w:hint="eastAsia"/>
                <w:color w:val="auto"/>
                <w:sz w:val="24"/>
                <w:szCs w:val="24"/>
                <w:highlight w:val="none"/>
              </w:rPr>
              <w:t>。</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2 </w:t>
            </w:r>
            <w:r>
              <w:rPr>
                <w:rFonts w:hint="eastAsia" w:ascii="宋体" w:hAnsi="宋体" w:eastAsia="宋体" w:cs="宋体"/>
                <w:b/>
                <w:bCs/>
                <w:color w:val="auto"/>
                <w:kern w:val="0"/>
                <w:sz w:val="24"/>
                <w:szCs w:val="24"/>
                <w:highlight w:val="none"/>
              </w:rPr>
              <w:t>生态功能区划状况</w:t>
            </w:r>
          </w:p>
          <w:p>
            <w:pPr>
              <w:bidi w:val="0"/>
              <w:rPr>
                <w:rFonts w:hint="eastAsia"/>
              </w:rPr>
            </w:pPr>
            <w:r>
              <w:rPr>
                <w:rFonts w:hint="eastAsia"/>
              </w:rPr>
              <w:t>根据《新疆生态功能区划》，项目所在区属“65．若羌绿洲沙漠化敏感生态功能区”，具体见下表。</w:t>
            </w:r>
            <w:r>
              <w:rPr>
                <w:rFonts w:hint="eastAsia"/>
                <w:highlight w:val="none"/>
              </w:rPr>
              <w:t>本项目在新疆生态功能区划中位置见附图</w:t>
            </w:r>
            <w:r>
              <w:rPr>
                <w:rFonts w:hint="eastAsia"/>
                <w:highlight w:val="none"/>
                <w:lang w:val="en-US" w:eastAsia="zh-CN"/>
              </w:rPr>
              <w:t>15</w:t>
            </w:r>
            <w:r>
              <w:rPr>
                <w:rFonts w:hint="eastAsia"/>
                <w:highlight w:val="none"/>
              </w:rPr>
              <w:t>。</w:t>
            </w:r>
          </w:p>
          <w:p>
            <w:pPr>
              <w:pStyle w:val="5"/>
              <w:bidi w:val="0"/>
              <w:rPr>
                <w:rFonts w:hint="default"/>
                <w:lang w:val="en-US" w:eastAsia="zh-CN"/>
              </w:rPr>
            </w:pPr>
            <w:r>
              <w:rPr>
                <w:rFonts w:hint="eastAsia"/>
                <w:lang w:val="en-US" w:eastAsia="zh-CN"/>
              </w:rPr>
              <w:t>表3-2  新疆生态功能区划</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727"/>
              <w:gridCol w:w="761"/>
              <w:gridCol w:w="902"/>
              <w:gridCol w:w="645"/>
              <w:gridCol w:w="857"/>
              <w:gridCol w:w="1072"/>
              <w:gridCol w:w="1145"/>
              <w:gridCol w:w="956"/>
              <w:gridCol w:w="9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248" w:hRule="atLeast"/>
                <w:jc w:val="center"/>
              </w:trPr>
              <w:tc>
                <w:tcPr>
                  <w:tcW w:w="1489" w:type="pct"/>
                  <w:gridSpan w:val="3"/>
                  <w:noWrap w:val="0"/>
                  <w:vAlign w:val="center"/>
                </w:tcPr>
                <w:p>
                  <w:pPr>
                    <w:pStyle w:val="6"/>
                    <w:bidi w:val="0"/>
                  </w:pPr>
                  <w:r>
                    <w:t>生态功能分区单元</w:t>
                  </w:r>
                </w:p>
              </w:tc>
              <w:tc>
                <w:tcPr>
                  <w:tcW w:w="402" w:type="pct"/>
                  <w:vMerge w:val="restart"/>
                  <w:noWrap w:val="0"/>
                  <w:vAlign w:val="center"/>
                </w:tcPr>
                <w:p>
                  <w:pPr>
                    <w:pStyle w:val="6"/>
                    <w:bidi w:val="0"/>
                  </w:pPr>
                  <w:r>
                    <w:t>隶属</w:t>
                  </w:r>
                </w:p>
                <w:p>
                  <w:pPr>
                    <w:pStyle w:val="6"/>
                    <w:bidi w:val="0"/>
                  </w:pPr>
                  <w:r>
                    <w:t>行政区</w:t>
                  </w:r>
                </w:p>
              </w:tc>
              <w:tc>
                <w:tcPr>
                  <w:tcW w:w="534" w:type="pct"/>
                  <w:vMerge w:val="restart"/>
                  <w:noWrap w:val="0"/>
                  <w:vAlign w:val="center"/>
                </w:tcPr>
                <w:p>
                  <w:pPr>
                    <w:pStyle w:val="6"/>
                    <w:bidi w:val="0"/>
                  </w:pPr>
                  <w:r>
                    <w:t>主要生态</w:t>
                  </w:r>
                </w:p>
                <w:p>
                  <w:pPr>
                    <w:pStyle w:val="6"/>
                    <w:bidi w:val="0"/>
                  </w:pPr>
                  <w:r>
                    <w:t>服务功能</w:t>
                  </w:r>
                </w:p>
              </w:tc>
              <w:tc>
                <w:tcPr>
                  <w:tcW w:w="668" w:type="pct"/>
                  <w:vMerge w:val="restart"/>
                  <w:noWrap w:val="0"/>
                  <w:vAlign w:val="center"/>
                </w:tcPr>
                <w:p>
                  <w:pPr>
                    <w:pStyle w:val="6"/>
                    <w:bidi w:val="0"/>
                  </w:pPr>
                  <w:r>
                    <w:t>主要生态</w:t>
                  </w:r>
                </w:p>
                <w:p>
                  <w:pPr>
                    <w:pStyle w:val="6"/>
                    <w:bidi w:val="0"/>
                  </w:pPr>
                  <w:r>
                    <w:t>环境问题</w:t>
                  </w:r>
                </w:p>
              </w:tc>
              <w:tc>
                <w:tcPr>
                  <w:tcW w:w="713" w:type="pct"/>
                  <w:vMerge w:val="restart"/>
                  <w:noWrap w:val="0"/>
                  <w:vAlign w:val="center"/>
                </w:tcPr>
                <w:p>
                  <w:pPr>
                    <w:pStyle w:val="6"/>
                    <w:bidi w:val="0"/>
                  </w:pPr>
                  <w:r>
                    <w:t>主要生态敏感因子、敏感程度</w:t>
                  </w:r>
                </w:p>
              </w:tc>
              <w:tc>
                <w:tcPr>
                  <w:tcW w:w="595" w:type="pct"/>
                  <w:vMerge w:val="restart"/>
                  <w:noWrap w:val="0"/>
                  <w:vAlign w:val="center"/>
                </w:tcPr>
                <w:p>
                  <w:pPr>
                    <w:pStyle w:val="6"/>
                    <w:bidi w:val="0"/>
                  </w:pPr>
                  <w:r>
                    <w:t>主要保护目标</w:t>
                  </w:r>
                </w:p>
              </w:tc>
              <w:tc>
                <w:tcPr>
                  <w:tcW w:w="595" w:type="pct"/>
                  <w:vMerge w:val="restart"/>
                  <w:noWrap w:val="0"/>
                  <w:vAlign w:val="center"/>
                </w:tcPr>
                <w:p>
                  <w:pPr>
                    <w:pStyle w:val="6"/>
                    <w:bidi w:val="0"/>
                    <w:rPr>
                      <w:rFonts w:hint="default"/>
                      <w:lang w:val="en-US" w:eastAsia="zh-CN"/>
                    </w:rPr>
                  </w:pPr>
                  <w:r>
                    <w:rPr>
                      <w:rFonts w:hint="eastAsia"/>
                      <w:lang w:val="en-US" w:eastAsia="zh-CN"/>
                    </w:rPr>
                    <w:t>保护措施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233" w:hRule="atLeast"/>
                <w:jc w:val="center"/>
              </w:trPr>
              <w:tc>
                <w:tcPr>
                  <w:tcW w:w="453" w:type="pct"/>
                  <w:noWrap w:val="0"/>
                  <w:vAlign w:val="center"/>
                </w:tcPr>
                <w:p>
                  <w:pPr>
                    <w:pStyle w:val="6"/>
                    <w:bidi w:val="0"/>
                  </w:pPr>
                  <w:r>
                    <w:t>生态区</w:t>
                  </w:r>
                </w:p>
              </w:tc>
              <w:tc>
                <w:tcPr>
                  <w:tcW w:w="474" w:type="pct"/>
                  <w:noWrap w:val="0"/>
                  <w:vAlign w:val="center"/>
                </w:tcPr>
                <w:p>
                  <w:pPr>
                    <w:pStyle w:val="6"/>
                    <w:bidi w:val="0"/>
                  </w:pPr>
                  <w:r>
                    <w:t>生态亚区</w:t>
                  </w:r>
                </w:p>
              </w:tc>
              <w:tc>
                <w:tcPr>
                  <w:tcW w:w="562" w:type="pct"/>
                  <w:noWrap w:val="0"/>
                  <w:vAlign w:val="center"/>
                </w:tcPr>
                <w:p>
                  <w:pPr>
                    <w:pStyle w:val="6"/>
                    <w:bidi w:val="0"/>
                  </w:pPr>
                  <w:r>
                    <w:t>生态功能区</w:t>
                  </w:r>
                </w:p>
              </w:tc>
              <w:tc>
                <w:tcPr>
                  <w:tcW w:w="402" w:type="pct"/>
                  <w:vMerge w:val="continue"/>
                  <w:noWrap w:val="0"/>
                  <w:vAlign w:val="center"/>
                </w:tcPr>
                <w:p>
                  <w:pPr>
                    <w:pStyle w:val="54"/>
                    <w:keepNext w:val="0"/>
                    <w:keepLines w:val="0"/>
                    <w:pageBreakBefore w:val="0"/>
                    <w:widowControl w:val="0"/>
                    <w:kinsoku/>
                    <w:wordWrap/>
                    <w:overflowPunct/>
                    <w:topLinePunct w:val="0"/>
                    <w:bidi w:val="0"/>
                    <w:adjustRightInd/>
                    <w:snapToGrid/>
                    <w:spacing w:before="0" w:after="0"/>
                    <w:ind w:firstLine="0"/>
                    <w:jc w:val="center"/>
                    <w:rPr>
                      <w:color w:val="auto"/>
                      <w:sz w:val="21"/>
                      <w:szCs w:val="21"/>
                    </w:rPr>
                  </w:pPr>
                </w:p>
              </w:tc>
              <w:tc>
                <w:tcPr>
                  <w:tcW w:w="534" w:type="pct"/>
                  <w:vMerge w:val="continue"/>
                  <w:noWrap w:val="0"/>
                  <w:vAlign w:val="center"/>
                </w:tcPr>
                <w:p>
                  <w:pPr>
                    <w:pStyle w:val="54"/>
                    <w:keepNext w:val="0"/>
                    <w:keepLines w:val="0"/>
                    <w:pageBreakBefore w:val="0"/>
                    <w:widowControl w:val="0"/>
                    <w:kinsoku/>
                    <w:wordWrap/>
                    <w:overflowPunct/>
                    <w:topLinePunct w:val="0"/>
                    <w:bidi w:val="0"/>
                    <w:adjustRightInd/>
                    <w:snapToGrid/>
                    <w:spacing w:before="0" w:after="0"/>
                    <w:ind w:firstLine="0"/>
                    <w:jc w:val="center"/>
                    <w:rPr>
                      <w:color w:val="auto"/>
                      <w:sz w:val="21"/>
                      <w:szCs w:val="21"/>
                    </w:rPr>
                  </w:pPr>
                </w:p>
              </w:tc>
              <w:tc>
                <w:tcPr>
                  <w:tcW w:w="668" w:type="pct"/>
                  <w:vMerge w:val="continue"/>
                  <w:noWrap w:val="0"/>
                  <w:vAlign w:val="center"/>
                </w:tcPr>
                <w:p>
                  <w:pPr>
                    <w:pStyle w:val="54"/>
                    <w:keepNext w:val="0"/>
                    <w:keepLines w:val="0"/>
                    <w:pageBreakBefore w:val="0"/>
                    <w:widowControl w:val="0"/>
                    <w:kinsoku/>
                    <w:wordWrap/>
                    <w:overflowPunct/>
                    <w:topLinePunct w:val="0"/>
                    <w:bidi w:val="0"/>
                    <w:adjustRightInd/>
                    <w:snapToGrid/>
                    <w:spacing w:before="0" w:after="0"/>
                    <w:ind w:firstLine="0"/>
                    <w:jc w:val="center"/>
                    <w:rPr>
                      <w:color w:val="auto"/>
                      <w:sz w:val="21"/>
                      <w:szCs w:val="21"/>
                    </w:rPr>
                  </w:pPr>
                </w:p>
              </w:tc>
              <w:tc>
                <w:tcPr>
                  <w:tcW w:w="713" w:type="pct"/>
                  <w:vMerge w:val="continue"/>
                  <w:noWrap w:val="0"/>
                  <w:vAlign w:val="center"/>
                </w:tcPr>
                <w:p>
                  <w:pPr>
                    <w:pStyle w:val="54"/>
                    <w:keepNext w:val="0"/>
                    <w:keepLines w:val="0"/>
                    <w:pageBreakBefore w:val="0"/>
                    <w:widowControl w:val="0"/>
                    <w:kinsoku/>
                    <w:wordWrap/>
                    <w:overflowPunct/>
                    <w:topLinePunct w:val="0"/>
                    <w:bidi w:val="0"/>
                    <w:adjustRightInd/>
                    <w:snapToGrid/>
                    <w:spacing w:before="0" w:after="0"/>
                    <w:ind w:firstLine="0"/>
                    <w:jc w:val="center"/>
                    <w:rPr>
                      <w:color w:val="auto"/>
                      <w:sz w:val="21"/>
                      <w:szCs w:val="21"/>
                    </w:rPr>
                  </w:pPr>
                </w:p>
              </w:tc>
              <w:tc>
                <w:tcPr>
                  <w:tcW w:w="595" w:type="pct"/>
                  <w:vMerge w:val="continue"/>
                  <w:noWrap w:val="0"/>
                  <w:vAlign w:val="center"/>
                </w:tcPr>
                <w:p>
                  <w:pPr>
                    <w:pStyle w:val="54"/>
                    <w:keepNext w:val="0"/>
                    <w:keepLines w:val="0"/>
                    <w:pageBreakBefore w:val="0"/>
                    <w:widowControl w:val="0"/>
                    <w:kinsoku/>
                    <w:wordWrap/>
                    <w:overflowPunct/>
                    <w:topLinePunct w:val="0"/>
                    <w:bidi w:val="0"/>
                    <w:adjustRightInd/>
                    <w:snapToGrid/>
                    <w:spacing w:before="0" w:after="0"/>
                    <w:ind w:firstLine="0"/>
                    <w:jc w:val="center"/>
                    <w:rPr>
                      <w:color w:val="auto"/>
                      <w:sz w:val="21"/>
                      <w:szCs w:val="21"/>
                    </w:rPr>
                  </w:pPr>
                </w:p>
              </w:tc>
              <w:tc>
                <w:tcPr>
                  <w:tcW w:w="595" w:type="pct"/>
                  <w:vMerge w:val="continue"/>
                  <w:noWrap w:val="0"/>
                  <w:vAlign w:val="center"/>
                </w:tcPr>
                <w:p>
                  <w:pPr>
                    <w:pStyle w:val="54"/>
                    <w:keepNext w:val="0"/>
                    <w:keepLines w:val="0"/>
                    <w:pageBreakBefore w:val="0"/>
                    <w:widowControl w:val="0"/>
                    <w:kinsoku/>
                    <w:wordWrap/>
                    <w:overflowPunct/>
                    <w:topLinePunct w:val="0"/>
                    <w:bidi w:val="0"/>
                    <w:adjustRightInd/>
                    <w:snapToGrid/>
                    <w:spacing w:before="0" w:after="0"/>
                    <w:ind w:firstLine="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1691" w:hRule="atLeast"/>
                <w:jc w:val="center"/>
              </w:trPr>
              <w:tc>
                <w:tcPr>
                  <w:tcW w:w="453" w:type="pct"/>
                  <w:noWrap w:val="0"/>
                  <w:vAlign w:val="center"/>
                </w:tcPr>
                <w:p>
                  <w:pPr>
                    <w:pStyle w:val="6"/>
                    <w:bidi w:val="0"/>
                    <w:rPr>
                      <w:rFonts w:hint="eastAsia"/>
                      <w:lang w:val="en-US" w:eastAsia="zh-CN"/>
                    </w:rPr>
                  </w:pPr>
                  <w:r>
                    <w:rPr>
                      <w:rFonts w:hint="eastAsia"/>
                    </w:rPr>
                    <w:t>Ⅳ 塔里木盆地暖温荒漠及绿洲农业生态区</w:t>
                  </w:r>
                </w:p>
              </w:tc>
              <w:tc>
                <w:tcPr>
                  <w:tcW w:w="474" w:type="pct"/>
                  <w:noWrap w:val="0"/>
                  <w:vAlign w:val="center"/>
                </w:tcPr>
                <w:p>
                  <w:pPr>
                    <w:pStyle w:val="6"/>
                    <w:bidi w:val="0"/>
                    <w:rPr>
                      <w:rFonts w:hint="eastAsia"/>
                      <w:lang w:val="en-US" w:eastAsia="zh-CN"/>
                    </w:rPr>
                  </w:pPr>
                  <w:r>
                    <w:rPr>
                      <w:rFonts w:hint="eastAsia"/>
                    </w:rPr>
                    <w:t>Ⅳ2 塔里木盆地南部和东部沙漠、戈壁及绿洲农业生态亚区</w:t>
                  </w:r>
                </w:p>
              </w:tc>
              <w:tc>
                <w:tcPr>
                  <w:tcW w:w="562" w:type="pct"/>
                  <w:noWrap w:val="0"/>
                  <w:vAlign w:val="center"/>
                </w:tcPr>
                <w:p>
                  <w:pPr>
                    <w:pStyle w:val="6"/>
                    <w:bidi w:val="0"/>
                    <w:rPr>
                      <w:rFonts w:hint="default"/>
                      <w:lang w:val="en-US" w:eastAsia="zh-CN"/>
                    </w:rPr>
                  </w:pPr>
                  <w:r>
                    <w:rPr>
                      <w:rFonts w:hint="eastAsia"/>
                      <w:lang w:val="en-US" w:eastAsia="zh-CN"/>
                    </w:rPr>
                    <w:t>65.</w:t>
                  </w:r>
                  <w:r>
                    <w:rPr>
                      <w:rFonts w:hint="default"/>
                      <w:lang w:val="en-US" w:eastAsia="zh-CN"/>
                    </w:rPr>
                    <w:t>若羌绿洲沙漠化敏感生态功能区</w:t>
                  </w:r>
                </w:p>
              </w:tc>
              <w:tc>
                <w:tcPr>
                  <w:tcW w:w="402" w:type="pct"/>
                  <w:noWrap w:val="0"/>
                  <w:vAlign w:val="center"/>
                </w:tcPr>
                <w:p>
                  <w:pPr>
                    <w:pStyle w:val="6"/>
                    <w:bidi w:val="0"/>
                    <w:rPr>
                      <w:rFonts w:hint="default" w:eastAsia="宋体"/>
                      <w:lang w:val="en-US" w:eastAsia="zh-CN"/>
                    </w:rPr>
                  </w:pPr>
                  <w:r>
                    <w:rPr>
                      <w:rFonts w:hint="eastAsia"/>
                      <w:lang w:val="en-US" w:eastAsia="zh-CN"/>
                    </w:rPr>
                    <w:t>若羌县</w:t>
                  </w:r>
                </w:p>
              </w:tc>
              <w:tc>
                <w:tcPr>
                  <w:tcW w:w="534" w:type="pct"/>
                  <w:noWrap w:val="0"/>
                  <w:vAlign w:val="center"/>
                </w:tcPr>
                <w:p>
                  <w:pPr>
                    <w:pStyle w:val="6"/>
                    <w:bidi w:val="0"/>
                    <w:rPr>
                      <w:rFonts w:hint="default"/>
                      <w:lang w:val="en-US" w:eastAsia="zh-CN"/>
                    </w:rPr>
                  </w:pPr>
                  <w:r>
                    <w:rPr>
                      <w:rFonts w:hint="eastAsia"/>
                    </w:rPr>
                    <w:t>农产品生产、沙漠化控制</w:t>
                  </w:r>
                </w:p>
              </w:tc>
              <w:tc>
                <w:tcPr>
                  <w:tcW w:w="668" w:type="pct"/>
                  <w:noWrap w:val="0"/>
                  <w:vAlign w:val="center"/>
                </w:tcPr>
                <w:p>
                  <w:pPr>
                    <w:pStyle w:val="6"/>
                    <w:bidi w:val="0"/>
                    <w:rPr>
                      <w:rFonts w:hint="default"/>
                      <w:lang w:val="en-US" w:eastAsia="zh-CN"/>
                    </w:rPr>
                  </w:pPr>
                  <w:r>
                    <w:rPr>
                      <w:rFonts w:hint="eastAsia"/>
                    </w:rPr>
                    <w:t>干旱缺水、风沙和干热风危害、乱樵采、能源短缺</w:t>
                  </w:r>
                </w:p>
              </w:tc>
              <w:tc>
                <w:tcPr>
                  <w:tcW w:w="713" w:type="pct"/>
                  <w:noWrap w:val="0"/>
                  <w:vAlign w:val="center"/>
                </w:tcPr>
                <w:p>
                  <w:pPr>
                    <w:pStyle w:val="6"/>
                    <w:bidi w:val="0"/>
                    <w:rPr>
                      <w:rFonts w:hint="default"/>
                      <w:lang w:val="en-US" w:eastAsia="zh-CN"/>
                    </w:rPr>
                  </w:pPr>
                  <w:r>
                    <w:rPr>
                      <w:rFonts w:hint="eastAsia"/>
                    </w:rPr>
                    <w:t>土壤侵蚀、土地沙漠化高度敏感</w:t>
                  </w:r>
                </w:p>
              </w:tc>
              <w:tc>
                <w:tcPr>
                  <w:tcW w:w="595" w:type="pct"/>
                  <w:noWrap w:val="0"/>
                  <w:vAlign w:val="center"/>
                </w:tcPr>
                <w:p>
                  <w:pPr>
                    <w:pStyle w:val="6"/>
                    <w:bidi w:val="0"/>
                    <w:rPr>
                      <w:rFonts w:hint="default"/>
                      <w:lang w:val="en-US" w:eastAsia="zh-CN"/>
                    </w:rPr>
                  </w:pPr>
                  <w:r>
                    <w:rPr>
                      <w:rFonts w:hint="eastAsia"/>
                    </w:rPr>
                    <w:t>保护绿洲农田、保护荒漠植被、保护米兰遗址</w:t>
                  </w:r>
                </w:p>
              </w:tc>
              <w:tc>
                <w:tcPr>
                  <w:tcW w:w="595" w:type="pct"/>
                  <w:noWrap w:val="0"/>
                  <w:vAlign w:val="center"/>
                </w:tcPr>
                <w:p>
                  <w:pPr>
                    <w:pStyle w:val="6"/>
                    <w:bidi w:val="0"/>
                    <w:rPr>
                      <w:rFonts w:hint="default"/>
                      <w:lang w:val="en-US" w:eastAsia="zh-CN"/>
                    </w:rPr>
                  </w:pPr>
                  <w:r>
                    <w:rPr>
                      <w:rFonts w:hint="eastAsia"/>
                    </w:rPr>
                    <w:t>完善绿洲内部林网化和外部防护林体系、禁止樵采、禁止开荒、开发太阳能和风能等新型天然能源</w:t>
                  </w:r>
                </w:p>
              </w:tc>
            </w:tr>
          </w:tbl>
          <w:p>
            <w:pPr>
              <w:pStyle w:val="3"/>
              <w:bidi w:val="0"/>
              <w:rPr>
                <w:rFonts w:hint="eastAsia"/>
                <w:lang w:val="en-US" w:eastAsia="zh-CN"/>
              </w:rPr>
            </w:pPr>
            <w:r>
              <w:rPr>
                <w:rFonts w:hint="eastAsia"/>
                <w:lang w:val="en-US" w:eastAsia="zh-CN"/>
              </w:rPr>
              <w:t>3 项目区生态现状</w:t>
            </w:r>
          </w:p>
          <w:p>
            <w:pPr>
              <w:pStyle w:val="3"/>
              <w:bidi w:val="0"/>
              <w:rPr>
                <w:rFonts w:hint="default"/>
                <w:lang w:val="en-US" w:eastAsia="zh-CN"/>
              </w:rPr>
            </w:pPr>
            <w:r>
              <w:rPr>
                <w:rFonts w:hint="eastAsia"/>
                <w:lang w:val="en-US" w:eastAsia="zh-CN"/>
              </w:rPr>
              <w:t>3.1 植被类型</w:t>
            </w:r>
          </w:p>
          <w:p>
            <w:pPr>
              <w:bidi w:val="0"/>
              <w:rPr>
                <w:rFonts w:hint="eastAsia"/>
                <w:lang w:val="en-US" w:eastAsia="zh-CN"/>
              </w:rPr>
            </w:pPr>
            <w:r>
              <w:rPr>
                <w:rFonts w:hint="eastAsia"/>
                <w:lang w:val="en-US" w:eastAsia="zh-CN"/>
              </w:rPr>
              <w:t>人工植被：项目沿线区域内人工植被占比较大，红枣林是主要的人工植被类型，若羌县红枣种植规模庞大，项目沿线区域人工植被除红枣林外，还种植有小麦、玉米、棉花、西甜瓜、蔬菜等农作物，多分布于规整的耕地中。天然植被：项目区由于地处塔克拉玛干沙漠边缘，气候干旱少雨，以耐旱、耐盐碱的植被为主，红柳、梭梭等灌木在沙漠边缘、荒地及部分盐碱地有所分布，此外还有少量适应恶劣环境的草本植物。</w:t>
            </w:r>
          </w:p>
          <w:p>
            <w:pPr>
              <w:bidi w:val="0"/>
              <w:rPr>
                <w:rFonts w:hint="default"/>
                <w:highlight w:val="none"/>
                <w:lang w:val="en-US" w:eastAsia="zh-CN"/>
              </w:rPr>
            </w:pPr>
            <w:r>
              <w:rPr>
                <w:rFonts w:hint="eastAsia"/>
                <w:highlight w:val="none"/>
                <w:lang w:val="en-US" w:eastAsia="zh-CN"/>
              </w:rPr>
              <w:t>本项目永久占地主要为现状老渠道且为土渠，渠道边有一些老树根，无树木分布。本次工程施工渠道清基时将其挖除，不涉及砍伐树木。项目临时占地分布于渠道两侧，严格控制施工范围</w:t>
            </w:r>
            <w:r>
              <w:rPr>
                <w:rFonts w:hint="eastAsia"/>
                <w:lang w:eastAsia="zh-CN"/>
              </w:rPr>
              <w:t>，</w:t>
            </w:r>
            <w:r>
              <w:rPr>
                <w:rFonts w:hint="eastAsia"/>
                <w:highlight w:val="none"/>
                <w:lang w:val="en-US" w:eastAsia="zh-CN"/>
              </w:rPr>
              <w:t>减少临时占地对项目区植被的影响。植被覆盖类型示意图见附图4和附图5。</w:t>
            </w:r>
          </w:p>
          <w:p>
            <w:pPr>
              <w:pStyle w:val="3"/>
              <w:bidi w:val="0"/>
              <w:rPr>
                <w:rFonts w:hint="default"/>
                <w:lang w:val="en-US" w:eastAsia="zh-CN"/>
              </w:rPr>
            </w:pPr>
            <w:r>
              <w:rPr>
                <w:rFonts w:hint="eastAsia"/>
                <w:lang w:val="en-US" w:eastAsia="zh-CN"/>
              </w:rPr>
              <w:t>3.2 动物类型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根据调查，项目区动物群系主要为村庄农田动物群，其中鸟类分布居多，项目区内基本以麻雀、家燕等鸟类和小家鼠等啮齿类动物为主。无国家保护的野生动物，无国家级、省级的重点保护动物，也没有保护物种的栖息地和繁殖地。</w:t>
            </w:r>
          </w:p>
          <w:p>
            <w:pPr>
              <w:pStyle w:val="3"/>
              <w:bidi w:val="0"/>
              <w:rPr>
                <w:rFonts w:hint="default"/>
                <w:lang w:val="en-US" w:eastAsia="zh-CN"/>
              </w:rPr>
            </w:pPr>
            <w:r>
              <w:rPr>
                <w:rFonts w:hint="eastAsia"/>
                <w:lang w:val="en-US" w:eastAsia="zh-CN"/>
              </w:rPr>
              <w:t>3.3 土地利用类型</w:t>
            </w:r>
          </w:p>
          <w:p>
            <w:pPr>
              <w:bidi w:val="0"/>
              <w:rPr>
                <w:rFonts w:hint="default"/>
                <w:lang w:val="en-US"/>
              </w:rPr>
            </w:pPr>
            <w:r>
              <w:rPr>
                <w:rFonts w:hint="eastAsia"/>
                <w:lang w:val="en-US" w:eastAsia="zh-CN"/>
              </w:rPr>
              <w:t>项目永久占地主要类型为旱地。</w:t>
            </w:r>
            <w:r>
              <w:rPr>
                <w:rFonts w:hint="eastAsia"/>
                <w:highlight w:val="none"/>
                <w:lang w:val="en-US" w:eastAsia="zh-CN"/>
              </w:rPr>
              <w:t>土地利用类型示意图见附图6和附图7</w:t>
            </w:r>
            <w:r>
              <w:rPr>
                <w:rFonts w:hint="eastAsia"/>
                <w:lang w:val="en-US" w:eastAsia="zh-CN"/>
              </w:rPr>
              <w:t>。</w:t>
            </w:r>
          </w:p>
          <w:p>
            <w:pPr>
              <w:pStyle w:val="3"/>
              <w:bidi w:val="0"/>
              <w:rPr>
                <w:rFonts w:hint="default"/>
                <w:lang w:val="en-US" w:eastAsia="zh-CN"/>
              </w:rPr>
            </w:pPr>
            <w:r>
              <w:rPr>
                <w:rFonts w:hint="eastAsia"/>
                <w:lang w:val="en-US" w:eastAsia="zh-CN"/>
              </w:rPr>
              <w:t>3.4 土壤类型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default" w:ascii="Times New Roman" w:hAnsi="Times New Roman" w:eastAsia="宋体" w:cs="Times New Roman"/>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项目区土壤类型主要为人为土。</w:t>
            </w:r>
            <w:r>
              <w:rPr>
                <w:rFonts w:hint="default" w:ascii="Times New Roman" w:hAnsi="Times New Roman" w:eastAsia="宋体" w:cs="Times New Roman"/>
                <w:b w:val="0"/>
                <w:bCs w:val="0"/>
                <w:color w:val="auto"/>
                <w:kern w:val="0"/>
                <w:sz w:val="24"/>
                <w:szCs w:val="24"/>
                <w:highlight w:val="none"/>
                <w:lang w:val="en-US" w:eastAsia="zh-CN"/>
              </w:rPr>
              <w:t>土壤类型示意图见附图</w:t>
            </w:r>
            <w:r>
              <w:rPr>
                <w:rFonts w:hint="eastAsia" w:cs="Times New Roman"/>
                <w:b w:val="0"/>
                <w:bCs w:val="0"/>
                <w:color w:val="auto"/>
                <w:kern w:val="0"/>
                <w:sz w:val="24"/>
                <w:szCs w:val="24"/>
                <w:highlight w:val="none"/>
                <w:lang w:val="en-US" w:eastAsia="zh-CN"/>
              </w:rPr>
              <w:t>8和附图9</w:t>
            </w:r>
            <w:r>
              <w:rPr>
                <w:rFonts w:hint="default" w:ascii="Times New Roman" w:hAnsi="Times New Roman" w:eastAsia="宋体" w:cs="Times New Roman"/>
                <w:b w:val="0"/>
                <w:bCs w:val="0"/>
                <w:color w:val="auto"/>
                <w:kern w:val="0"/>
                <w:sz w:val="24"/>
                <w:szCs w:val="24"/>
                <w:highlight w:val="none"/>
                <w:lang w:val="en-US" w:eastAsia="zh-CN"/>
              </w:rPr>
              <w:t>。</w:t>
            </w:r>
          </w:p>
          <w:p>
            <w:pPr>
              <w:pStyle w:val="3"/>
              <w:bidi w:val="0"/>
              <w:rPr>
                <w:rFonts w:hint="eastAsia"/>
                <w:lang w:val="en-US" w:eastAsia="zh-CN"/>
              </w:rPr>
            </w:pPr>
            <w:r>
              <w:rPr>
                <w:rFonts w:hint="eastAsia"/>
                <w:lang w:val="en-US" w:eastAsia="zh-CN"/>
              </w:rPr>
              <w:t xml:space="preserve">3.5 </w:t>
            </w:r>
            <w:r>
              <w:rPr>
                <w:rFonts w:hint="eastAsia"/>
              </w:rPr>
              <w:t>水土流失现状</w:t>
            </w:r>
            <w:r>
              <w:rPr>
                <w:rFonts w:hint="eastAsia"/>
                <w:lang w:val="en-US" w:eastAsia="zh-CN"/>
              </w:rPr>
              <w:t>调查</w:t>
            </w:r>
          </w:p>
          <w:p>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根据《水利部办公厅关于印发〈全国水土保持规划国家级水土流失重点预防区和重点治理区复核划分成果〉的通知》，</w:t>
            </w:r>
            <w:r>
              <w:rPr>
                <w:rFonts w:hint="eastAsia" w:cs="Times New Roman"/>
                <w:b w:val="0"/>
                <w:bCs w:val="0"/>
                <w:color w:val="auto"/>
                <w:kern w:val="0"/>
                <w:sz w:val="24"/>
                <w:szCs w:val="24"/>
                <w:highlight w:val="none"/>
                <w:lang w:val="en-US" w:eastAsia="zh-CN"/>
              </w:rPr>
              <w:t>若羌</w:t>
            </w:r>
            <w:r>
              <w:rPr>
                <w:rFonts w:hint="default" w:ascii="Times New Roman" w:hAnsi="Times New Roman" w:eastAsia="宋体" w:cs="Times New Roman"/>
                <w:b w:val="0"/>
                <w:bCs w:val="0"/>
                <w:color w:val="auto"/>
                <w:kern w:val="0"/>
                <w:sz w:val="24"/>
                <w:szCs w:val="24"/>
                <w:highlight w:val="none"/>
                <w:lang w:val="en-US" w:eastAsia="zh-CN"/>
              </w:rPr>
              <w:t>县属于</w:t>
            </w:r>
            <w:r>
              <w:rPr>
                <w:rFonts w:hint="eastAsia" w:cs="Times New Roman"/>
                <w:b w:val="0"/>
                <w:bCs w:val="0"/>
                <w:color w:val="auto"/>
                <w:kern w:val="0"/>
                <w:sz w:val="24"/>
                <w:szCs w:val="24"/>
                <w:highlight w:val="none"/>
                <w:lang w:val="en-US" w:eastAsia="zh-CN"/>
              </w:rPr>
              <w:t>阿尔金山</w:t>
            </w:r>
            <w:r>
              <w:rPr>
                <w:rFonts w:hint="default" w:ascii="Times New Roman" w:hAnsi="Times New Roman" w:eastAsia="宋体" w:cs="Times New Roman"/>
                <w:b w:val="0"/>
                <w:bCs w:val="0"/>
                <w:color w:val="auto"/>
                <w:kern w:val="0"/>
                <w:sz w:val="24"/>
                <w:szCs w:val="24"/>
                <w:highlight w:val="none"/>
                <w:lang w:val="en-US" w:eastAsia="zh-CN"/>
              </w:rPr>
              <w:t>国家级水土流失重点预防区。</w:t>
            </w:r>
          </w:p>
          <w:p>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依照《土壤侵蚀分类分级标准》（SL190-2007）的规定，结合项目区所处的地理位置、地形地貌和气候环境特点，工程区为微度水力侵蚀区。原地貌土壤侵蚀模数背景值为1000t/km²·a，平均流失厚度0.74mm/a。</w:t>
            </w:r>
          </w:p>
          <w:p>
            <w:pPr>
              <w:pStyle w:val="3"/>
              <w:bidi w:val="0"/>
              <w:rPr>
                <w:rFonts w:hint="eastAsia"/>
              </w:rPr>
            </w:pPr>
            <w:r>
              <w:rPr>
                <w:rFonts w:hint="eastAsia"/>
                <w:lang w:val="en-US" w:eastAsia="zh-CN"/>
              </w:rPr>
              <w:t>3.6 沙化土地现状调查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textAlignment w:val="auto"/>
              <w:rPr>
                <w:rFonts w:hint="default" w:ascii="宋体" w:hAnsi="宋体" w:eastAsia="宋体" w:cs="宋体"/>
                <w:b/>
                <w:bCs/>
                <w:color w:val="auto"/>
                <w:kern w:val="0"/>
                <w:sz w:val="24"/>
                <w:szCs w:val="24"/>
                <w:highlight w:val="yellow"/>
                <w:lang w:val="en-US" w:eastAsia="zh-CN"/>
              </w:rPr>
            </w:pPr>
            <w:r>
              <w:rPr>
                <w:rFonts w:hint="eastAsia" w:ascii="Times New Roman" w:hAnsi="Times New Roman"/>
                <w:color w:val="auto"/>
                <w:kern w:val="2"/>
                <w:sz w:val="24"/>
                <w:highlight w:val="none"/>
                <w:lang w:val="en-US" w:eastAsia="zh-CN"/>
              </w:rPr>
              <w:t>根据新疆第六次沙化监测报告中沙化土地类型分布图，项目</w:t>
            </w:r>
            <w:r>
              <w:rPr>
                <w:rFonts w:hint="eastAsia"/>
                <w:color w:val="auto"/>
                <w:kern w:val="2"/>
                <w:sz w:val="24"/>
                <w:highlight w:val="none"/>
                <w:lang w:val="en-US" w:eastAsia="zh-CN"/>
              </w:rPr>
              <w:t>施工</w:t>
            </w:r>
            <w:r>
              <w:rPr>
                <w:rFonts w:hint="eastAsia" w:ascii="Times New Roman" w:hAnsi="Times New Roman"/>
                <w:color w:val="auto"/>
                <w:kern w:val="2"/>
                <w:sz w:val="24"/>
                <w:highlight w:val="none"/>
                <w:lang w:val="en-US" w:eastAsia="zh-CN"/>
              </w:rPr>
              <w:t>区为非沙化土地，沙化土地类型见附图</w:t>
            </w:r>
            <w:r>
              <w:rPr>
                <w:rFonts w:hint="eastAsia"/>
                <w:color w:val="auto"/>
                <w:kern w:val="2"/>
                <w:sz w:val="24"/>
                <w:highlight w:val="none"/>
                <w:lang w:val="en-US" w:eastAsia="zh-CN"/>
              </w:rPr>
              <w:t>10</w:t>
            </w:r>
            <w:r>
              <w:rPr>
                <w:rFonts w:hint="eastAsia" w:ascii="Times New Roman" w:hAnsi="Times New Roman"/>
                <w:color w:val="auto"/>
                <w:kern w:val="2"/>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2" w:firstLineChars="200"/>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 xml:space="preserve">4 </w:t>
            </w:r>
            <w:r>
              <w:rPr>
                <w:rFonts w:hint="eastAsia" w:ascii="宋体" w:hAnsi="宋体" w:eastAsia="宋体" w:cs="宋体"/>
                <w:b/>
                <w:bCs/>
                <w:color w:val="auto"/>
                <w:kern w:val="0"/>
                <w:sz w:val="24"/>
                <w:szCs w:val="24"/>
              </w:rPr>
              <w:t>大气环境</w:t>
            </w:r>
          </w:p>
          <w:p>
            <w:pPr>
              <w:bidi w:val="0"/>
              <w:rPr>
                <w:rFonts w:hint="eastAsia"/>
                <w:lang w:val="en-US" w:eastAsia="zh-CN"/>
              </w:rPr>
            </w:pPr>
            <w:r>
              <w:rPr>
                <w:rFonts w:hint="eastAsia"/>
                <w:lang w:val="en-US" w:eastAsia="zh-CN"/>
              </w:rPr>
              <w:t>根据《建设项目环境影响报告表编制技术指南（污染影响类）（试行）》，对于基本污染物环境质量现状数据，项目所在区域达标判定优先采用国家或地方生态环境主管部门公开发布的评价基准年环境质量公告或环境质量报告中的数据或结论。</w:t>
            </w:r>
          </w:p>
          <w:p>
            <w:pPr>
              <w:bidi w:val="0"/>
              <w:rPr>
                <w:rFonts w:hint="eastAsia"/>
                <w:lang w:val="en-US" w:eastAsia="zh-CN"/>
              </w:rPr>
            </w:pPr>
            <w:r>
              <w:rPr>
                <w:rFonts w:hint="eastAsia"/>
                <w:lang w:val="en-US" w:eastAsia="zh-CN"/>
              </w:rPr>
              <w:t>本工程建设地点位于新疆巴音郭楞蒙古自治州若羌县铁干里克镇库尔干村、亚喀吾斯塘村，本次评价选用若羌县2024年全年例行监测点的监测数据，作为环境空气现状评价基本污染物SO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的数据来源。</w:t>
            </w:r>
          </w:p>
          <w:p>
            <w:pPr>
              <w:bidi w:val="0"/>
              <w:rPr>
                <w:rFonts w:hint="eastAsia"/>
                <w:lang w:val="en-US" w:eastAsia="zh-CN"/>
              </w:rPr>
            </w:pPr>
            <w:r>
              <w:rPr>
                <w:rFonts w:hint="eastAsia"/>
                <w:lang w:val="en-US" w:eastAsia="zh-CN"/>
              </w:rPr>
              <w:t>（1）监测项目、监测时间</w:t>
            </w:r>
          </w:p>
          <w:p>
            <w:pPr>
              <w:bidi w:val="0"/>
              <w:rPr>
                <w:rFonts w:hint="eastAsia"/>
                <w:lang w:val="en-US" w:eastAsia="zh-CN"/>
              </w:rPr>
            </w:pPr>
            <w:r>
              <w:rPr>
                <w:rFonts w:hint="eastAsia"/>
                <w:lang w:val="en-US" w:eastAsia="zh-CN"/>
              </w:rPr>
              <w:t>监测项目：基本污染物SO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w:t>
            </w:r>
          </w:p>
          <w:p>
            <w:pPr>
              <w:bidi w:val="0"/>
              <w:rPr>
                <w:rFonts w:hint="eastAsia"/>
                <w:lang w:val="en-US" w:eastAsia="zh-CN"/>
              </w:rPr>
            </w:pPr>
            <w:r>
              <w:rPr>
                <w:rFonts w:hint="eastAsia"/>
                <w:lang w:val="en-US" w:eastAsia="zh-CN"/>
              </w:rPr>
              <w:t>监测时间：基本污染物SO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的监测时间为2024年连续1年监测数据。</w:t>
            </w:r>
          </w:p>
          <w:p>
            <w:pPr>
              <w:bidi w:val="0"/>
              <w:rPr>
                <w:rFonts w:hint="eastAsia"/>
                <w:lang w:val="en-US" w:eastAsia="zh-CN"/>
              </w:rPr>
            </w:pPr>
            <w:r>
              <w:rPr>
                <w:rFonts w:hint="eastAsia"/>
                <w:lang w:val="en-US" w:eastAsia="zh-CN"/>
              </w:rPr>
              <w:t>（2）评价标准</w:t>
            </w:r>
          </w:p>
          <w:p>
            <w:pPr>
              <w:bidi w:val="0"/>
              <w:rPr>
                <w:rFonts w:hint="eastAsia"/>
                <w:lang w:val="en-US" w:eastAsia="zh-CN"/>
              </w:rPr>
            </w:pPr>
            <w:r>
              <w:rPr>
                <w:rFonts w:hint="eastAsia"/>
                <w:lang w:val="en-US" w:eastAsia="zh-CN"/>
              </w:rPr>
              <w:t>根据《环境空气质量标准》（GB 3095-2026）规定：自本标准实施之日起至2030年12月31日止，环境空气污染物基本项目（表1）执行过渡阶段浓度限值，本项目所在区域为二类区执行二级浓度标准。故本次评价基本污染物SO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执行《环境空气质量标准》（GB3095-2026）过渡阶段的二级标准。</w:t>
            </w:r>
          </w:p>
          <w:p>
            <w:pPr>
              <w:bidi w:val="0"/>
              <w:rPr>
                <w:rFonts w:hint="eastAsia"/>
                <w:lang w:val="en-US" w:eastAsia="zh-CN"/>
              </w:rPr>
            </w:pPr>
            <w:r>
              <w:rPr>
                <w:rFonts w:hint="eastAsia"/>
                <w:lang w:val="en-US" w:eastAsia="zh-CN"/>
              </w:rPr>
              <w:t>（3）评价方法</w:t>
            </w:r>
          </w:p>
          <w:p>
            <w:pPr>
              <w:bidi w:val="0"/>
              <w:rPr>
                <w:rFonts w:hint="eastAsia"/>
                <w:lang w:val="en-US" w:eastAsia="zh-CN"/>
              </w:rPr>
            </w:pPr>
            <w:r>
              <w:rPr>
                <w:rFonts w:hint="eastAsia"/>
                <w:lang w:val="en-US" w:eastAsia="zh-CN"/>
              </w:rPr>
              <w:t>按照《环境空气质量评价技术规范（试行）》（HJ663-2013）中各评价项目的年度评价指标进行判定。年评价指标中的年均浓度和相应百分位数24h平均或8h平均质量浓度满足《环境空气质量标准》（GB3095-2026）过渡阶段的二级标准要求的即为达标。对于超标的污染物，计算其超标倍数和超标率。</w:t>
            </w:r>
          </w:p>
          <w:p>
            <w:pPr>
              <w:bidi w:val="0"/>
              <w:rPr>
                <w:rFonts w:hint="eastAsia"/>
                <w:lang w:val="en-US" w:eastAsia="zh-CN"/>
              </w:rPr>
            </w:pPr>
            <w:r>
              <w:rPr>
                <w:rFonts w:hint="eastAsia"/>
                <w:lang w:val="en-US" w:eastAsia="zh-CN"/>
              </w:rPr>
              <w:t>（4）空气质量达标区的判定</w:t>
            </w:r>
          </w:p>
          <w:p>
            <w:pPr>
              <w:bidi w:val="0"/>
              <w:rPr>
                <w:rFonts w:hint="eastAsia"/>
                <w:lang w:val="en-US" w:eastAsia="zh-CN"/>
              </w:rPr>
            </w:pPr>
            <w:r>
              <w:rPr>
                <w:rFonts w:hint="eastAsia"/>
                <w:lang w:val="en-US" w:eastAsia="zh-CN"/>
              </w:rPr>
              <w:t>环境空气质量现状评价结果见表3-3。</w:t>
            </w:r>
          </w:p>
          <w:p>
            <w:pPr>
              <w:pStyle w:val="5"/>
              <w:bidi w:val="0"/>
              <w:rPr>
                <w:rFonts w:hint="eastAsia"/>
                <w:lang w:val="zh-CN" w:eastAsia="zh-CN"/>
              </w:rPr>
            </w:pPr>
            <w:r>
              <w:rPr>
                <w:rFonts w:hint="eastAsia"/>
                <w:lang w:val="zh-CN" w:eastAsia="zh-CN"/>
              </w:rPr>
              <w:br w:type="page"/>
            </w:r>
            <w:r>
              <w:rPr>
                <w:rFonts w:hint="eastAsia"/>
                <w:lang w:val="zh-CN" w:eastAsia="zh-CN"/>
              </w:rPr>
              <w:t>表3-</w:t>
            </w:r>
            <w:r>
              <w:rPr>
                <w:rFonts w:hint="eastAsia"/>
                <w:lang w:val="en-US" w:eastAsia="zh-CN"/>
              </w:rPr>
              <w:t>3</w:t>
            </w:r>
            <w:r>
              <w:rPr>
                <w:rFonts w:hint="eastAsia"/>
                <w:lang w:val="zh-CN" w:eastAsia="zh-CN"/>
              </w:rPr>
              <w:t xml:space="preserve">  环境空气质量现状评价一览表</w:t>
            </w:r>
          </w:p>
          <w:tbl>
            <w:tblPr>
              <w:tblStyle w:val="22"/>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91"/>
              <w:gridCol w:w="1142"/>
              <w:gridCol w:w="1293"/>
              <w:gridCol w:w="1199"/>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tcBorders>
                    <w:tl2br w:val="nil"/>
                    <w:tr2bl w:val="nil"/>
                  </w:tcBorders>
                  <w:noWrap w:val="0"/>
                  <w:vAlign w:val="center"/>
                </w:tcPr>
                <w:p>
                  <w:pPr>
                    <w:pStyle w:val="6"/>
                    <w:bidi w:val="0"/>
                    <w:ind w:left="0" w:leftChars="0" w:right="0" w:rightChars="0" w:firstLine="0" w:firstLineChars="0"/>
                    <w:jc w:val="center"/>
                  </w:pPr>
                  <w:r>
                    <w:rPr>
                      <w:rFonts w:hint="eastAsia"/>
                    </w:rPr>
                    <w:t>污染物</w:t>
                  </w:r>
                </w:p>
              </w:tc>
              <w:tc>
                <w:tcPr>
                  <w:tcW w:w="1116" w:type="pct"/>
                  <w:tcBorders>
                    <w:tl2br w:val="nil"/>
                    <w:tr2bl w:val="nil"/>
                  </w:tcBorders>
                  <w:noWrap w:val="0"/>
                  <w:vAlign w:val="center"/>
                </w:tcPr>
                <w:p>
                  <w:pPr>
                    <w:pStyle w:val="6"/>
                    <w:bidi w:val="0"/>
                    <w:ind w:left="0" w:leftChars="0" w:right="0" w:rightChars="0" w:firstLine="0" w:firstLineChars="0"/>
                    <w:jc w:val="center"/>
                  </w:pPr>
                  <w:r>
                    <w:rPr>
                      <w:rFonts w:hint="eastAsia"/>
                    </w:rPr>
                    <w:t>评价项目</w:t>
                  </w:r>
                </w:p>
              </w:tc>
              <w:tc>
                <w:tcPr>
                  <w:tcW w:w="711" w:type="pct"/>
                  <w:tcBorders>
                    <w:tl2br w:val="nil"/>
                    <w:tr2bl w:val="nil"/>
                  </w:tcBorders>
                  <w:noWrap w:val="0"/>
                  <w:vAlign w:val="center"/>
                </w:tcPr>
                <w:p>
                  <w:pPr>
                    <w:pStyle w:val="6"/>
                    <w:bidi w:val="0"/>
                    <w:ind w:left="0" w:leftChars="0" w:right="0" w:rightChars="0" w:firstLine="0" w:firstLineChars="0"/>
                    <w:jc w:val="center"/>
                  </w:pPr>
                  <w:r>
                    <w:t>浓度（μ</w:t>
                  </w:r>
                  <w:r>
                    <w:rPr>
                      <w:rFonts w:hint="eastAsia"/>
                      <w:lang w:val="en-US" w:eastAsia="zh-CN"/>
                    </w:rPr>
                    <w:t>g</w:t>
                  </w:r>
                  <w:r>
                    <w:t>/m</w:t>
                  </w:r>
                  <w:r>
                    <w:rPr>
                      <w:vertAlign w:val="superscript"/>
                    </w:rPr>
                    <w:t>3</w:t>
                  </w:r>
                  <w:r>
                    <w:t>）</w:t>
                  </w:r>
                </w:p>
              </w:tc>
              <w:tc>
                <w:tcPr>
                  <w:tcW w:w="806" w:type="pct"/>
                  <w:tcBorders>
                    <w:tl2br w:val="nil"/>
                    <w:tr2bl w:val="nil"/>
                  </w:tcBorders>
                  <w:noWrap w:val="0"/>
                  <w:vAlign w:val="center"/>
                </w:tcPr>
                <w:p>
                  <w:pPr>
                    <w:pStyle w:val="6"/>
                    <w:bidi w:val="0"/>
                    <w:ind w:left="0" w:leftChars="0" w:right="0" w:rightChars="0" w:firstLine="0" w:firstLineChars="0"/>
                    <w:jc w:val="center"/>
                  </w:pPr>
                  <w:r>
                    <w:rPr>
                      <w:rFonts w:hint="eastAsia"/>
                    </w:rPr>
                    <w:t>标准（二级）</w:t>
                  </w:r>
                  <w:r>
                    <w:t>（μ</w:t>
                  </w:r>
                  <w:r>
                    <w:rPr>
                      <w:rFonts w:hint="eastAsia"/>
                      <w:lang w:val="en-US" w:eastAsia="zh-CN"/>
                    </w:rPr>
                    <w:t>g</w:t>
                  </w:r>
                  <w:r>
                    <w:t>/m</w:t>
                  </w:r>
                  <w:r>
                    <w:rPr>
                      <w:vertAlign w:val="superscript"/>
                    </w:rPr>
                    <w:t>3</w:t>
                  </w:r>
                  <w:r>
                    <w:t>）</w:t>
                  </w:r>
                </w:p>
              </w:tc>
              <w:tc>
                <w:tcPr>
                  <w:tcW w:w="747"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eastAsia="zh-CN"/>
                    </w:rPr>
                    <w:t>占标率</w:t>
                  </w:r>
                  <w:r>
                    <w:rPr>
                      <w:rFonts w:hint="eastAsia"/>
                      <w:lang w:val="en-US" w:eastAsia="zh-CN"/>
                    </w:rPr>
                    <w:t>%</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lang w:eastAsia="zh-CN"/>
                    </w:rPr>
                  </w:pPr>
                  <w:r>
                    <w:rPr>
                      <w:rFonts w:hint="eastAsia"/>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restart"/>
                  <w:tcBorders>
                    <w:tl2br w:val="nil"/>
                    <w:tr2bl w:val="nil"/>
                  </w:tcBorders>
                  <w:noWrap w:val="0"/>
                  <w:vAlign w:val="center"/>
                </w:tcPr>
                <w:p>
                  <w:pPr>
                    <w:pStyle w:val="6"/>
                    <w:bidi w:val="0"/>
                    <w:ind w:left="0" w:leftChars="0" w:right="0" w:rightChars="0" w:firstLine="0" w:firstLineChars="0"/>
                    <w:jc w:val="center"/>
                  </w:pPr>
                  <w:r>
                    <w:rPr>
                      <w:rFonts w:hint="eastAsia"/>
                    </w:rPr>
                    <w:t>SO</w:t>
                  </w:r>
                  <w:r>
                    <w:rPr>
                      <w:rFonts w:hint="eastAsia"/>
                      <w:vertAlign w:val="subscript"/>
                    </w:rPr>
                    <w:t>2</w:t>
                  </w: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6</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60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10</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lang w:eastAsia="zh-CN"/>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bidi w:val="0"/>
                    <w:ind w:left="0" w:leftChars="0" w:right="0" w:rightChars="0" w:firstLine="0" w:firstLineChars="0"/>
                    <w:jc w:val="center"/>
                  </w:pP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9</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1</w:t>
                  </w:r>
                  <w:r>
                    <w:rPr>
                      <w:rFonts w:hint="default" w:ascii="Times New Roman" w:hAnsi="Times New Roman" w:cs="Times New Roman"/>
                    </w:rPr>
                    <w:t>50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6</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restart"/>
                  <w:tcBorders>
                    <w:tl2br w:val="nil"/>
                    <w:tr2bl w:val="nil"/>
                  </w:tcBorders>
                  <w:noWrap w:val="0"/>
                  <w:vAlign w:val="center"/>
                </w:tcPr>
                <w:p>
                  <w:pPr>
                    <w:pStyle w:val="6"/>
                    <w:bidi w:val="0"/>
                    <w:ind w:left="0" w:leftChars="0" w:right="0" w:rightChars="0" w:firstLine="0" w:firstLineChars="0"/>
                    <w:jc w:val="center"/>
                  </w:pPr>
                  <w:r>
                    <w:rPr>
                      <w:rFonts w:hint="eastAsia"/>
                    </w:rPr>
                    <w:t>NO</w:t>
                  </w:r>
                  <w:r>
                    <w:rPr>
                      <w:rFonts w:hint="eastAsia"/>
                      <w:vertAlign w:val="subscript"/>
                    </w:rPr>
                    <w:t>2</w:t>
                  </w: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8</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40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20</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bidi w:val="0"/>
                    <w:ind w:left="0" w:leftChars="0" w:right="0" w:rightChars="0" w:firstLine="0" w:firstLineChars="0"/>
                    <w:jc w:val="center"/>
                  </w:pP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15</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80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18.75</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tcBorders>
                    <w:tl2br w:val="nil"/>
                    <w:tr2bl w:val="nil"/>
                  </w:tcBorders>
                  <w:noWrap w:val="0"/>
                  <w:vAlign w:val="center"/>
                </w:tcPr>
                <w:p>
                  <w:pPr>
                    <w:pStyle w:val="6"/>
                    <w:bidi w:val="0"/>
                    <w:ind w:left="0" w:leftChars="0" w:right="0" w:rightChars="0" w:firstLine="0" w:firstLineChars="0"/>
                    <w:jc w:val="center"/>
                  </w:pPr>
                  <w:r>
                    <w:rPr>
                      <w:rFonts w:hint="eastAsia"/>
                    </w:rPr>
                    <w:t>CO（mg/m</w:t>
                  </w:r>
                  <w:r>
                    <w:rPr>
                      <w:rFonts w:hint="eastAsia"/>
                      <w:vertAlign w:val="superscript"/>
                    </w:rPr>
                    <w:t>3</w:t>
                  </w:r>
                  <w:r>
                    <w:rPr>
                      <w:rFonts w:hint="eastAsia"/>
                    </w:rPr>
                    <w:t>）</w:t>
                  </w: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日均值</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0.5</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default" w:ascii="Times New Roman" w:hAnsi="Times New Roman" w:cs="Times New Roman"/>
                    </w:rPr>
                    <w:t>4</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12.5</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tcBorders>
                    <w:tl2br w:val="nil"/>
                    <w:tr2bl w:val="nil"/>
                  </w:tcBorders>
                  <w:noWrap w:val="0"/>
                  <w:vAlign w:val="center"/>
                </w:tcPr>
                <w:p>
                  <w:pPr>
                    <w:pStyle w:val="6"/>
                    <w:bidi w:val="0"/>
                    <w:ind w:left="0" w:leftChars="0" w:right="0" w:rightChars="0" w:firstLine="0" w:firstLineChars="0"/>
                    <w:jc w:val="center"/>
                  </w:pPr>
                  <w:r>
                    <w:rPr>
                      <w:rFonts w:hint="eastAsia"/>
                    </w:rPr>
                    <w:t>O</w:t>
                  </w:r>
                  <w:r>
                    <w:rPr>
                      <w:rFonts w:hint="eastAsia"/>
                      <w:vertAlign w:val="subscript"/>
                    </w:rPr>
                    <w:t>3</w:t>
                  </w: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w:t>
                  </w:r>
                  <w:r>
                    <w:rPr>
                      <w:rFonts w:hint="default" w:ascii="Times New Roman" w:hAnsi="Times New Roman" w:cs="Times New Roman"/>
                      <w:lang w:val="en-US" w:eastAsia="zh-CN"/>
                    </w:rPr>
                    <w:t>最大8小时平均</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131</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160</w:t>
                  </w:r>
                </w:p>
              </w:tc>
              <w:tc>
                <w:tcPr>
                  <w:tcW w:w="747" w:type="pct"/>
                  <w:tcBorders>
                    <w:tl2br w:val="nil"/>
                    <w:tr2bl w:val="nil"/>
                  </w:tcBorders>
                  <w:noWrap w:val="0"/>
                  <w:vAlign w:val="center"/>
                </w:tcPr>
                <w:p>
                  <w:pPr>
                    <w:pStyle w:val="6"/>
                    <w:bidi w:val="0"/>
                    <w:jc w:val="center"/>
                    <w:rPr>
                      <w:rFonts w:hint="default"/>
                      <w:lang w:val="en-US" w:eastAsia="zh-CN"/>
                    </w:rPr>
                  </w:pPr>
                  <w:r>
                    <w:rPr>
                      <w:rFonts w:hint="default"/>
                      <w:lang w:val="en-US" w:eastAsia="zh-CN"/>
                    </w:rPr>
                    <w:t>81.875</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819" w:type="pct"/>
                  <w:vMerge w:val="restart"/>
                  <w:tcBorders>
                    <w:tl2br w:val="nil"/>
                    <w:tr2bl w:val="nil"/>
                  </w:tcBorders>
                  <w:noWrap w:val="0"/>
                  <w:vAlign w:val="center"/>
                </w:tcPr>
                <w:p>
                  <w:pPr>
                    <w:pStyle w:val="6"/>
                    <w:bidi w:val="0"/>
                    <w:ind w:left="0" w:leftChars="0" w:right="0" w:rightChars="0" w:firstLine="0" w:firstLineChars="0"/>
                    <w:jc w:val="center"/>
                  </w:pPr>
                  <w:r>
                    <w:rPr>
                      <w:rFonts w:hint="eastAsia"/>
                    </w:rPr>
                    <w:t>PM</w:t>
                  </w:r>
                  <w:r>
                    <w:rPr>
                      <w:rFonts w:hint="eastAsia"/>
                      <w:vertAlign w:val="subscript"/>
                    </w:rPr>
                    <w:t>10</w:t>
                  </w: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284</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60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473</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eastAsia"/>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bidi w:val="0"/>
                    <w:ind w:left="0" w:leftChars="0" w:right="0" w:rightChars="0" w:firstLine="0" w:firstLineChars="0"/>
                    <w:jc w:val="center"/>
                  </w:pP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876</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120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730</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eastAsia"/>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restart"/>
                  <w:tcBorders>
                    <w:tl2br w:val="nil"/>
                    <w:tr2bl w:val="nil"/>
                  </w:tcBorders>
                  <w:noWrap w:val="0"/>
                  <w:vAlign w:val="center"/>
                </w:tcPr>
                <w:p>
                  <w:pPr>
                    <w:pStyle w:val="6"/>
                    <w:bidi w:val="0"/>
                    <w:ind w:left="0" w:leftChars="0" w:right="0" w:rightChars="0" w:firstLine="0" w:firstLineChars="0"/>
                    <w:jc w:val="center"/>
                  </w:pPr>
                  <w:r>
                    <w:rPr>
                      <w:rFonts w:hint="eastAsia"/>
                    </w:rPr>
                    <w:t>PM</w:t>
                  </w:r>
                  <w:r>
                    <w:rPr>
                      <w:rFonts w:hint="eastAsia"/>
                      <w:vertAlign w:val="subscript"/>
                    </w:rPr>
                    <w:t>2.5</w:t>
                  </w: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94</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30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313</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eastAsia"/>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bidi w:val="0"/>
                    <w:ind w:left="0" w:leftChars="0" w:right="0" w:rightChars="0" w:firstLine="0" w:firstLineChars="0"/>
                    <w:jc w:val="center"/>
                  </w:pPr>
                </w:p>
              </w:tc>
              <w:tc>
                <w:tcPr>
                  <w:tcW w:w="111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711" w:type="pct"/>
                  <w:tcBorders>
                    <w:tl2br w:val="nil"/>
                    <w:tr2bl w:val="nil"/>
                  </w:tcBorders>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320</w:t>
                  </w:r>
                </w:p>
              </w:tc>
              <w:tc>
                <w:tcPr>
                  <w:tcW w:w="806"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pPr>
                  <w:r>
                    <w:rPr>
                      <w:rFonts w:hint="eastAsia" w:cs="Times New Roman"/>
                      <w:lang w:val="en-US" w:eastAsia="zh-CN"/>
                    </w:rPr>
                    <w:t>60</w:t>
                  </w:r>
                </w:p>
              </w:tc>
              <w:tc>
                <w:tcPr>
                  <w:tcW w:w="747" w:type="pct"/>
                  <w:tcBorders>
                    <w:tl2br w:val="nil"/>
                    <w:tr2bl w:val="nil"/>
                  </w:tcBorders>
                  <w:noWrap w:val="0"/>
                  <w:vAlign w:val="top"/>
                </w:tcPr>
                <w:p>
                  <w:pPr>
                    <w:pStyle w:val="6"/>
                    <w:bidi w:val="0"/>
                    <w:rPr>
                      <w:rFonts w:hint="default"/>
                      <w:lang w:val="en-US" w:eastAsia="zh-CN"/>
                    </w:rPr>
                  </w:pPr>
                  <w:r>
                    <w:rPr>
                      <w:rFonts w:hint="default"/>
                      <w:lang w:val="en-US" w:eastAsia="zh-CN"/>
                    </w:rPr>
                    <w:t>533</w:t>
                  </w:r>
                </w:p>
              </w:tc>
              <w:tc>
                <w:tcPr>
                  <w:tcW w:w="798" w:type="pct"/>
                  <w:tcBorders>
                    <w:tl2br w:val="nil"/>
                    <w:tr2bl w:val="nil"/>
                  </w:tcBorders>
                  <w:noWrap w:val="0"/>
                  <w:vAlign w:val="center"/>
                </w:tcPr>
                <w:p>
                  <w:pPr>
                    <w:pStyle w:val="6"/>
                    <w:bidi w:val="0"/>
                    <w:ind w:left="0" w:leftChars="0" w:right="0" w:rightChars="0" w:firstLine="0" w:firstLineChars="0"/>
                    <w:jc w:val="center"/>
                    <w:rPr>
                      <w:rFonts w:hint="eastAsia"/>
                    </w:rPr>
                  </w:pPr>
                  <w:r>
                    <w:rPr>
                      <w:rFonts w:hint="eastAsia"/>
                      <w:lang w:val="en-US" w:eastAsia="zh-CN"/>
                    </w:rPr>
                    <w:t>超标</w:t>
                  </w:r>
                </w:p>
              </w:tc>
            </w:tr>
          </w:tbl>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根据表3-1评价结果，PM</w:t>
            </w:r>
            <w:r>
              <w:rPr>
                <w:rFonts w:hint="default" w:ascii="Times New Roman" w:hAnsi="Times New Roman" w:cs="Times New Roman"/>
                <w:vertAlign w:val="subscript"/>
                <w:lang w:val="en-US" w:eastAsia="zh-CN"/>
              </w:rPr>
              <w:t>10</w:t>
            </w:r>
            <w:r>
              <w:rPr>
                <w:rFonts w:hint="default" w:ascii="Times New Roman" w:hAnsi="Times New Roman" w:cs="Times New Roman"/>
                <w:lang w:val="en-US" w:eastAsia="zh-CN"/>
              </w:rPr>
              <w:t>、PM</w:t>
            </w:r>
            <w:r>
              <w:rPr>
                <w:rFonts w:hint="default" w:ascii="Times New Roman" w:hAnsi="Times New Roman" w:cs="Times New Roman"/>
                <w:vertAlign w:val="subscript"/>
                <w:lang w:val="en-US" w:eastAsia="zh-CN"/>
              </w:rPr>
              <w:t>2.5</w:t>
            </w:r>
            <w:r>
              <w:rPr>
                <w:rFonts w:hint="default" w:ascii="Times New Roman" w:hAnsi="Times New Roman" w:cs="Times New Roman"/>
                <w:lang w:val="en-US" w:eastAsia="zh-CN"/>
              </w:rPr>
              <w:t>年均值和日均值浓度超过《环境空气质量标准》（GB3095-20</w:t>
            </w:r>
            <w:r>
              <w:rPr>
                <w:rFonts w:hint="eastAsia" w:cs="Times New Roman"/>
                <w:lang w:val="en-US" w:eastAsia="zh-CN"/>
              </w:rPr>
              <w:t>26</w:t>
            </w:r>
            <w:r>
              <w:rPr>
                <w:rFonts w:hint="default" w:ascii="Times New Roman" w:hAnsi="Times New Roman" w:cs="Times New Roman"/>
                <w:lang w:val="en-US" w:eastAsia="zh-CN"/>
              </w:rPr>
              <w:t>）</w:t>
            </w:r>
            <w:r>
              <w:rPr>
                <w:rFonts w:hint="eastAsia" w:cs="Times New Roman"/>
                <w:lang w:val="en-US" w:eastAsia="zh-CN"/>
              </w:rPr>
              <w:t>过渡阶段的二级标准，</w:t>
            </w:r>
            <w:r>
              <w:rPr>
                <w:rFonts w:hint="default" w:ascii="Times New Roman" w:hAnsi="Times New Roman" w:cs="Times New Roman"/>
                <w:lang w:val="en-US" w:eastAsia="zh-CN"/>
              </w:rPr>
              <w:t>因此，项目所在的若羌县空气质量判定为不达标区。超标原因是若羌县地处塔克拉玛干沙漠边缘，气候干燥，连续两年气温偏高，降水偏少，导致沙尘频发。造成空气中PM</w:t>
            </w:r>
            <w:r>
              <w:rPr>
                <w:rFonts w:hint="default" w:ascii="Times New Roman" w:hAnsi="Times New Roman" w:cs="Times New Roman"/>
                <w:vertAlign w:val="subscript"/>
                <w:lang w:val="en-US" w:eastAsia="zh-CN"/>
              </w:rPr>
              <w:t>10</w:t>
            </w:r>
            <w:r>
              <w:rPr>
                <w:rFonts w:hint="eastAsia" w:cs="Times New Roman"/>
                <w:vertAlign w:val="baseline"/>
                <w:lang w:val="en-US" w:eastAsia="zh-CN"/>
              </w:rPr>
              <w:t>、</w:t>
            </w:r>
            <w:r>
              <w:rPr>
                <w:rFonts w:hint="default" w:ascii="Times New Roman" w:hAnsi="Times New Roman" w:cs="Times New Roman"/>
                <w:lang w:val="en-US" w:eastAsia="zh-CN"/>
              </w:rPr>
              <w:t>PM</w:t>
            </w:r>
            <w:r>
              <w:rPr>
                <w:rFonts w:hint="default" w:ascii="Times New Roman" w:hAnsi="Times New Roman" w:cs="Times New Roman"/>
                <w:vertAlign w:val="subscript"/>
                <w:lang w:val="en-US" w:eastAsia="zh-CN"/>
              </w:rPr>
              <w:t>2.5</w:t>
            </w:r>
            <w:r>
              <w:rPr>
                <w:rFonts w:hint="default" w:ascii="Times New Roman" w:hAnsi="Times New Roman" w:cs="Times New Roman"/>
                <w:lang w:val="en-US" w:eastAsia="zh-CN"/>
              </w:rPr>
              <w:t>浓度较大。本项目除施工期少量施工扬尘外，运行期无废气排放。</w:t>
            </w:r>
          </w:p>
          <w:p>
            <w:pPr>
              <w:pStyle w:val="3"/>
              <w:bidi w:val="0"/>
              <w:rPr>
                <w:rFonts w:hint="eastAsia"/>
              </w:rPr>
            </w:pPr>
            <w:r>
              <w:rPr>
                <w:rFonts w:hint="eastAsia"/>
                <w:lang w:val="en-US" w:eastAsia="zh-CN"/>
              </w:rPr>
              <w:t xml:space="preserve">5 </w:t>
            </w:r>
            <w:r>
              <w:rPr>
                <w:rFonts w:hint="eastAsia"/>
              </w:rPr>
              <w:t>地表水环境</w:t>
            </w:r>
          </w:p>
          <w:p>
            <w:pPr>
              <w:bidi w:val="0"/>
              <w:rPr>
                <w:rFonts w:hint="default"/>
                <w:lang w:val="en-US" w:eastAsia="zh-CN"/>
              </w:rPr>
            </w:pPr>
            <w:r>
              <w:rPr>
                <w:rFonts w:hint="default"/>
                <w:lang w:val="en-US" w:eastAsia="zh-CN"/>
              </w:rPr>
              <w:t>项目施工期及运营期均无生产废水和生活污水外排，不向周边地表水体排放任何废水。距离项目区最近的地表水体为西侧</w:t>
            </w:r>
            <w:r>
              <w:rPr>
                <w:rFonts w:hint="eastAsia"/>
                <w:lang w:val="en-US" w:eastAsia="zh-CN"/>
              </w:rPr>
              <w:t>14</w:t>
            </w:r>
            <w:r>
              <w:rPr>
                <w:rFonts w:hint="default"/>
                <w:lang w:val="en-US" w:eastAsia="zh-CN"/>
              </w:rPr>
              <w:t>0m处为若羌河，若羌河监测数据引用巴州永诚环境检测技术服务有限公司于2023年6月19日针对若羌河水库开展的地表水监测数据(附件15)。对照《地表水环境质量标准》(GB 3838-2002)，若羌河水质满足《地表水环境质量标准》(GB 3838-2002)Ⅲ类标准要求。</w:t>
            </w:r>
          </w:p>
          <w:p>
            <w:pPr>
              <w:pStyle w:val="3"/>
              <w:bidi w:val="0"/>
              <w:rPr>
                <w:rFonts w:hint="eastAsia"/>
              </w:rPr>
            </w:pPr>
            <w:r>
              <w:rPr>
                <w:rFonts w:hint="eastAsia"/>
                <w:lang w:val="en-US" w:eastAsia="zh-CN"/>
              </w:rPr>
              <w:t xml:space="preserve">6 </w:t>
            </w:r>
            <w:r>
              <w:rPr>
                <w:rFonts w:hint="eastAsia"/>
              </w:rPr>
              <w:t>声环境</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根据</w:t>
            </w:r>
            <w:r>
              <w:rPr>
                <w:rFonts w:hint="eastAsia" w:cs="宋体"/>
                <w:color w:val="auto"/>
                <w:kern w:val="2"/>
                <w:sz w:val="24"/>
                <w:szCs w:val="24"/>
                <w:highlight w:val="none"/>
                <w:lang w:val="en-US" w:eastAsia="zh-CN" w:bidi="ar-SA"/>
              </w:rPr>
              <w:t>《建设项目环境影响报告表编制技术指南 生态影响类（试行）》“固定声源环境质量现状监测参照《建设项目环境影响报告表编制技术指南 污染影响类（试行）》相关规定开展补充监测”</w:t>
            </w:r>
            <w:r>
              <w:rPr>
                <w:rFonts w:hint="eastAsia" w:ascii="Times New Roman" w:hAnsi="Times New Roman" w:eastAsia="宋体" w:cs="宋体"/>
                <w:color w:val="auto"/>
                <w:kern w:val="2"/>
                <w:sz w:val="24"/>
                <w:szCs w:val="24"/>
                <w:highlight w:val="none"/>
                <w:lang w:val="en-US" w:eastAsia="zh-CN" w:bidi="ar-SA"/>
              </w:rPr>
              <w:t>，厂界外周边50米范围内存在声环境保护目标，应监测保护目标声环境质量现状并评价达标情况。</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yellow"/>
                <w:lang w:val="en-US" w:eastAsia="zh-CN" w:bidi="ar-SA"/>
              </w:rPr>
            </w:pPr>
            <w:r>
              <w:rPr>
                <w:rFonts w:hint="eastAsia" w:ascii="Times New Roman" w:hAnsi="Times New Roman" w:eastAsia="宋体" w:cs="宋体"/>
                <w:color w:val="auto"/>
                <w:kern w:val="2"/>
                <w:sz w:val="24"/>
                <w:szCs w:val="24"/>
                <w:highlight w:val="none"/>
                <w:lang w:val="en-US" w:eastAsia="zh-CN" w:bidi="ar-SA"/>
              </w:rPr>
              <w:t>监测单位：</w:t>
            </w:r>
            <w:r>
              <w:rPr>
                <w:rFonts w:hint="eastAsia" w:cs="宋体"/>
                <w:color w:val="auto"/>
                <w:kern w:val="2"/>
                <w:sz w:val="24"/>
                <w:szCs w:val="24"/>
                <w:highlight w:val="none"/>
                <w:lang w:val="en-US" w:eastAsia="zh-CN" w:bidi="ar-SA"/>
              </w:rPr>
              <w:t>新疆壹诺环保科技有限公司；</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监测项目：等效连续A声级Leq（A）；</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监测点位：选取具有特征性的敏感目标进行现状监测；</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监测频次：2026年3月18日～2026年3月19日，昼间、夜间各监测一次；</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监测方法：按照《声环境质量标准》（GB 3096-2008）的规定进行；</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评价标准：声环境保护目标执行《声环境质量标准》（GB 3096-2008）中1类标准。声环境质量监测及评价结果见</w:t>
            </w:r>
            <w:r>
              <w:rPr>
                <w:rFonts w:hint="eastAsia" w:cs="宋体"/>
                <w:color w:val="auto"/>
                <w:kern w:val="2"/>
                <w:sz w:val="24"/>
                <w:szCs w:val="24"/>
                <w:highlight w:val="none"/>
                <w:lang w:val="en-US" w:eastAsia="zh-CN" w:bidi="ar-SA"/>
              </w:rPr>
              <w:t>下表</w:t>
            </w:r>
            <w:r>
              <w:rPr>
                <w:rFonts w:hint="eastAsia" w:ascii="Times New Roman" w:hAnsi="Times New Roman" w:eastAsia="宋体" w:cs="宋体"/>
                <w:color w:val="auto"/>
                <w:kern w:val="2"/>
                <w:sz w:val="24"/>
                <w:szCs w:val="24"/>
                <w:highlight w:val="none"/>
                <w:lang w:val="en-US" w:eastAsia="zh-CN" w:bidi="ar-SA"/>
              </w:rPr>
              <w:t>，监测点位示意图见附图</w:t>
            </w:r>
            <w:r>
              <w:rPr>
                <w:rFonts w:hint="eastAsia" w:cs="宋体"/>
                <w:color w:val="auto"/>
                <w:kern w:val="2"/>
                <w:sz w:val="24"/>
                <w:szCs w:val="24"/>
                <w:highlight w:val="none"/>
                <w:lang w:val="en-US" w:eastAsia="zh-CN" w:bidi="ar-SA"/>
              </w:rPr>
              <w:t>16和附图17</w:t>
            </w:r>
            <w:r>
              <w:rPr>
                <w:rFonts w:hint="eastAsia" w:ascii="Times New Roman" w:hAnsi="Times New Roman" w:eastAsia="宋体" w:cs="宋体"/>
                <w:color w:val="auto"/>
                <w:kern w:val="2"/>
                <w:sz w:val="24"/>
                <w:szCs w:val="24"/>
                <w:highlight w:val="none"/>
                <w:lang w:val="en-US" w:eastAsia="zh-CN" w:bidi="ar-SA"/>
              </w:rPr>
              <w:t>。</w:t>
            </w:r>
          </w:p>
          <w:p>
            <w:pPr>
              <w:pStyle w:val="5"/>
              <w:bidi w:val="0"/>
              <w:rPr>
                <w:rFonts w:hint="eastAsia"/>
                <w:lang w:val="zh-CN" w:eastAsia="zh-CN"/>
              </w:rPr>
            </w:pPr>
            <w:r>
              <w:rPr>
                <w:rFonts w:hint="eastAsia"/>
                <w:lang w:val="zh-CN" w:eastAsia="zh-CN"/>
              </w:rPr>
              <w:t>表3-</w:t>
            </w:r>
            <w:r>
              <w:rPr>
                <w:rFonts w:hint="eastAsia"/>
                <w:lang w:val="en-US" w:eastAsia="zh-CN"/>
              </w:rPr>
              <w:t>4</w:t>
            </w:r>
            <w:r>
              <w:rPr>
                <w:rFonts w:hint="eastAsia"/>
                <w:lang w:val="zh-CN" w:eastAsia="zh-CN"/>
              </w:rPr>
              <w:t xml:space="preserve">  声环境噪声监测及评价结果一览表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560"/>
              <w:gridCol w:w="1840"/>
              <w:gridCol w:w="725"/>
              <w:gridCol w:w="663"/>
              <w:gridCol w:w="800"/>
              <w:gridCol w:w="657"/>
              <w:gridCol w:w="642"/>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7" w:type="pct"/>
                  <w:gridSpan w:val="2"/>
                  <w:vMerge w:val="restart"/>
                  <w:tcBorders>
                    <w:top w:val="single" w:color="auto" w:sz="4" w:space="0"/>
                    <w:left w:val="single" w:color="auto" w:sz="4" w:space="0"/>
                    <w:right w:val="single" w:color="auto" w:sz="4" w:space="0"/>
                    <w:tl2br w:val="nil"/>
                    <w:tr2bl w:val="nil"/>
                  </w:tcBorders>
                  <w:noWrap w:val="0"/>
                  <w:vAlign w:val="center"/>
                </w:tcPr>
                <w:p>
                  <w:pPr>
                    <w:pStyle w:val="6"/>
                    <w:bidi w:val="0"/>
                    <w:rPr>
                      <w:rFonts w:hint="eastAsia"/>
                    </w:rPr>
                  </w:pPr>
                  <w:r>
                    <w:rPr>
                      <w:rFonts w:hint="eastAsia"/>
                    </w:rPr>
                    <w:t>点位</w:t>
                  </w:r>
                </w:p>
              </w:tc>
              <w:tc>
                <w:tcPr>
                  <w:tcW w:w="1146" w:type="pct"/>
                  <w:vMerge w:val="restart"/>
                  <w:tcBorders>
                    <w:top w:val="single" w:color="auto" w:sz="4" w:space="0"/>
                    <w:left w:val="single" w:color="auto" w:sz="4" w:space="0"/>
                    <w:right w:val="single" w:color="auto" w:sz="4" w:space="0"/>
                    <w:tl2br w:val="nil"/>
                    <w:tr2bl w:val="nil"/>
                  </w:tcBorders>
                  <w:noWrap w:val="0"/>
                  <w:vAlign w:val="center"/>
                </w:tcPr>
                <w:p>
                  <w:pPr>
                    <w:pStyle w:val="6"/>
                    <w:bidi w:val="0"/>
                    <w:rPr>
                      <w:rFonts w:hint="eastAsia"/>
                      <w:lang w:val="en-US" w:eastAsia="zh-CN"/>
                    </w:rPr>
                  </w:pPr>
                  <w:r>
                    <w:rPr>
                      <w:rFonts w:hint="eastAsia"/>
                      <w:lang w:val="en-US" w:eastAsia="zh-CN"/>
                    </w:rPr>
                    <w:t>点位</w:t>
                  </w:r>
                </w:p>
              </w:tc>
              <w:tc>
                <w:tcPr>
                  <w:tcW w:w="86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rPr>
                    <w:t>现状值</w:t>
                  </w:r>
                </w:p>
              </w:tc>
              <w:tc>
                <w:tcPr>
                  <w:tcW w:w="90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eastAsia"/>
                      <w:lang w:val="en-US" w:eastAsia="zh-CN"/>
                    </w:rPr>
                  </w:pPr>
                  <w:r>
                    <w:rPr>
                      <w:rFonts w:hint="eastAsia"/>
                      <w:lang w:val="en-US" w:eastAsia="zh-CN"/>
                    </w:rPr>
                    <w:t>标准值</w:t>
                  </w:r>
                </w:p>
              </w:tc>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rPr>
                    <w:t>达标分析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77" w:type="pct"/>
                  <w:gridSpan w:val="2"/>
                  <w:vMerge w:val="continue"/>
                  <w:tcBorders>
                    <w:left w:val="single" w:color="auto" w:sz="4" w:space="0"/>
                    <w:bottom w:val="single" w:color="auto" w:sz="4" w:space="0"/>
                    <w:right w:val="single" w:color="auto" w:sz="4" w:space="0"/>
                    <w:tl2br w:val="nil"/>
                    <w:tr2bl w:val="nil"/>
                  </w:tcBorders>
                  <w:noWrap w:val="0"/>
                  <w:vAlign w:val="center"/>
                </w:tcPr>
                <w:p>
                  <w:pPr>
                    <w:pStyle w:val="6"/>
                    <w:bidi w:val="0"/>
                    <w:rPr>
                      <w:rFonts w:hint="eastAsia"/>
                    </w:rPr>
                  </w:pPr>
                </w:p>
              </w:tc>
              <w:tc>
                <w:tcPr>
                  <w:tcW w:w="1146" w:type="pct"/>
                  <w:vMerge w:val="continue"/>
                  <w:tcBorders>
                    <w:left w:val="single" w:color="auto" w:sz="4" w:space="0"/>
                    <w:bottom w:val="single" w:color="auto" w:sz="4" w:space="0"/>
                    <w:right w:val="single" w:color="auto" w:sz="4" w:space="0"/>
                    <w:tl2br w:val="nil"/>
                    <w:tr2bl w:val="nil"/>
                  </w:tcBorders>
                  <w:noWrap w:val="0"/>
                  <w:vAlign w:val="center"/>
                </w:tcPr>
                <w:p>
                  <w:pPr>
                    <w:pStyle w:val="6"/>
                    <w:bidi w:val="0"/>
                    <w:rPr>
                      <w:rFonts w:hint="eastAsia"/>
                    </w:rPr>
                  </w:pP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rPr>
                    <w:t>昼间</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rPr>
                    <w:t>夜间</w:t>
                  </w:r>
                </w:p>
              </w:tc>
              <w:tc>
                <w:tcPr>
                  <w:tcW w:w="49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eastAsia"/>
                    </w:rPr>
                  </w:pPr>
                  <w:r>
                    <w:rPr>
                      <w:rFonts w:hint="eastAsia"/>
                    </w:rPr>
                    <w:t>昼间</w:t>
                  </w:r>
                </w:p>
              </w:tc>
              <w:tc>
                <w:tcPr>
                  <w:tcW w:w="40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eastAsia"/>
                    </w:rPr>
                  </w:pPr>
                  <w:r>
                    <w:rPr>
                      <w:rFonts w:hint="eastAsia"/>
                    </w:rPr>
                    <w:t>夜间</w:t>
                  </w: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rPr>
                    <w:t>昼间</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1#</w:t>
                  </w:r>
                </w:p>
              </w:tc>
              <w:tc>
                <w:tcPr>
                  <w:tcW w:w="97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rPr>
                  </w:pPr>
                  <w:r>
                    <w:rPr>
                      <w:rFonts w:hint="eastAsia"/>
                      <w:lang w:val="en-US" w:eastAsia="zh-CN"/>
                    </w:rPr>
                    <w:t>英阿瓦提村</w:t>
                  </w:r>
                </w:p>
              </w:tc>
              <w:tc>
                <w:tcPr>
                  <w:tcW w:w="11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default"/>
                      <w:lang w:val="en-US" w:eastAsia="zh-CN"/>
                    </w:rPr>
                    <w:t>E:88°9′4.9279″,</w:t>
                  </w:r>
                </w:p>
                <w:p>
                  <w:pPr>
                    <w:pStyle w:val="6"/>
                    <w:bidi w:val="0"/>
                    <w:rPr>
                      <w:rFonts w:hint="eastAsia"/>
                      <w:lang w:val="en-US" w:eastAsia="zh-CN"/>
                    </w:rPr>
                  </w:pPr>
                  <w:r>
                    <w:rPr>
                      <w:rFonts w:hint="default"/>
                      <w:lang w:val="en-US" w:eastAsia="zh-CN"/>
                    </w:rPr>
                    <w:t>N:39°3′40.102″</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50</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39</w:t>
                  </w:r>
                </w:p>
              </w:tc>
              <w:tc>
                <w:tcPr>
                  <w:tcW w:w="498" w:type="pct"/>
                  <w:vMerge w:val="restart"/>
                  <w:tcBorders>
                    <w:top w:val="single" w:color="auto" w:sz="4" w:space="0"/>
                    <w:left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55</w:t>
                  </w:r>
                </w:p>
              </w:tc>
              <w:tc>
                <w:tcPr>
                  <w:tcW w:w="409" w:type="pct"/>
                  <w:vMerge w:val="restart"/>
                  <w:tcBorders>
                    <w:top w:val="single" w:color="auto" w:sz="4" w:space="0"/>
                    <w:left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45</w:t>
                  </w: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eastAsia"/>
                      <w:lang w:val="en-US" w:eastAsia="zh-CN"/>
                    </w:rPr>
                  </w:pPr>
                  <w:r>
                    <w:rPr>
                      <w:rFonts w:hint="eastAsia"/>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2#</w:t>
                  </w:r>
                </w:p>
              </w:tc>
              <w:tc>
                <w:tcPr>
                  <w:tcW w:w="97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lang w:val="en-US" w:eastAsia="zh-CN"/>
                    </w:rPr>
                    <w:t>亚喀吾斯塘村</w:t>
                  </w:r>
                </w:p>
              </w:tc>
              <w:tc>
                <w:tcPr>
                  <w:tcW w:w="11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default"/>
                      <w:lang w:val="en-US" w:eastAsia="zh-CN"/>
                    </w:rPr>
                    <w:t>E:88°11′26.1</w:t>
                  </w:r>
                  <w:r>
                    <w:rPr>
                      <w:rFonts w:hint="eastAsia"/>
                      <w:lang w:val="en-US" w:eastAsia="zh-CN"/>
                    </w:rPr>
                    <w:t>73</w:t>
                  </w:r>
                  <w:r>
                    <w:rPr>
                      <w:rFonts w:hint="default"/>
                      <w:lang w:val="en-US" w:eastAsia="zh-CN"/>
                    </w:rPr>
                    <w:t>″,</w:t>
                  </w:r>
                </w:p>
                <w:p>
                  <w:pPr>
                    <w:pStyle w:val="6"/>
                    <w:bidi w:val="0"/>
                    <w:rPr>
                      <w:rFonts w:hint="default"/>
                      <w:lang w:val="en-US" w:eastAsia="zh-CN"/>
                    </w:rPr>
                  </w:pPr>
                  <w:r>
                    <w:rPr>
                      <w:rFonts w:hint="default"/>
                      <w:lang w:val="en-US" w:eastAsia="zh-CN"/>
                    </w:rPr>
                    <w:t>N:39°1′40.986″</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44</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39</w:t>
                  </w:r>
                </w:p>
              </w:tc>
              <w:tc>
                <w:tcPr>
                  <w:tcW w:w="498" w:type="pct"/>
                  <w:vMerge w:val="continue"/>
                  <w:tcBorders>
                    <w:left w:val="single" w:color="auto" w:sz="4" w:space="0"/>
                    <w:right w:val="single" w:color="auto" w:sz="4" w:space="0"/>
                    <w:tl2br w:val="nil"/>
                    <w:tr2bl w:val="nil"/>
                  </w:tcBorders>
                  <w:noWrap w:val="0"/>
                  <w:vAlign w:val="center"/>
                </w:tcPr>
                <w:p>
                  <w:pPr>
                    <w:pStyle w:val="6"/>
                    <w:bidi w:val="0"/>
                    <w:rPr>
                      <w:rFonts w:hint="default"/>
                      <w:lang w:val="en-US" w:eastAsia="zh-CN"/>
                    </w:rPr>
                  </w:pPr>
                </w:p>
              </w:tc>
              <w:tc>
                <w:tcPr>
                  <w:tcW w:w="409" w:type="pct"/>
                  <w:vMerge w:val="continue"/>
                  <w:tcBorders>
                    <w:left w:val="single" w:color="auto" w:sz="4" w:space="0"/>
                    <w:right w:val="single" w:color="auto" w:sz="4" w:space="0"/>
                    <w:tl2br w:val="nil"/>
                    <w:tr2bl w:val="nil"/>
                  </w:tcBorders>
                  <w:noWrap w:val="0"/>
                  <w:vAlign w:val="center"/>
                </w:tcPr>
                <w:p>
                  <w:pPr>
                    <w:pStyle w:val="6"/>
                    <w:bidi w:val="0"/>
                    <w:rPr>
                      <w:rFonts w:hint="default"/>
                      <w:lang w:val="en-US" w:eastAsia="zh-CN"/>
                    </w:rPr>
                  </w:pP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3#</w:t>
                  </w:r>
                </w:p>
              </w:tc>
              <w:tc>
                <w:tcPr>
                  <w:tcW w:w="972"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lang w:val="en-US" w:eastAsia="zh-CN"/>
                    </w:rPr>
                    <w:t>努尔巴格村</w:t>
                  </w:r>
                </w:p>
              </w:tc>
              <w:tc>
                <w:tcPr>
                  <w:tcW w:w="1146"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default"/>
                      <w:lang w:val="en-US" w:eastAsia="zh-CN"/>
                    </w:rPr>
                    <w:t>E:88°12′40.159″,</w:t>
                  </w:r>
                </w:p>
                <w:p>
                  <w:pPr>
                    <w:pStyle w:val="6"/>
                    <w:bidi w:val="0"/>
                    <w:rPr>
                      <w:rFonts w:hint="default"/>
                      <w:lang w:val="en-US" w:eastAsia="zh-CN"/>
                    </w:rPr>
                  </w:pPr>
                  <w:r>
                    <w:rPr>
                      <w:rFonts w:hint="default"/>
                      <w:lang w:val="en-US" w:eastAsia="zh-CN"/>
                    </w:rPr>
                    <w:t>N:39°1′53.983″</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45</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lang w:val="en-US" w:eastAsia="zh-CN"/>
                    </w:rPr>
                  </w:pPr>
                  <w:r>
                    <w:rPr>
                      <w:rFonts w:hint="eastAsia"/>
                      <w:lang w:val="en-US" w:eastAsia="zh-CN"/>
                    </w:rPr>
                    <w:t>40</w:t>
                  </w:r>
                </w:p>
              </w:tc>
              <w:tc>
                <w:tcPr>
                  <w:tcW w:w="498" w:type="pct"/>
                  <w:vMerge w:val="continue"/>
                  <w:tcBorders>
                    <w:left w:val="single" w:color="auto" w:sz="4" w:space="0"/>
                    <w:right w:val="single" w:color="auto" w:sz="4" w:space="0"/>
                    <w:tl2br w:val="nil"/>
                    <w:tr2bl w:val="nil"/>
                  </w:tcBorders>
                  <w:noWrap w:val="0"/>
                  <w:vAlign w:val="center"/>
                </w:tcPr>
                <w:p>
                  <w:pPr>
                    <w:pStyle w:val="6"/>
                    <w:bidi w:val="0"/>
                    <w:rPr>
                      <w:rFonts w:hint="default"/>
                      <w:lang w:val="en-US" w:eastAsia="zh-CN"/>
                    </w:rPr>
                  </w:pPr>
                </w:p>
              </w:tc>
              <w:tc>
                <w:tcPr>
                  <w:tcW w:w="409" w:type="pct"/>
                  <w:vMerge w:val="continue"/>
                  <w:tcBorders>
                    <w:left w:val="single" w:color="auto" w:sz="4" w:space="0"/>
                    <w:right w:val="single" w:color="auto" w:sz="4" w:space="0"/>
                    <w:tl2br w:val="nil"/>
                    <w:tr2bl w:val="nil"/>
                  </w:tcBorders>
                  <w:noWrap w:val="0"/>
                  <w:vAlign w:val="center"/>
                </w:tcPr>
                <w:p>
                  <w:pPr>
                    <w:pStyle w:val="6"/>
                    <w:bidi w:val="0"/>
                    <w:rPr>
                      <w:rFonts w:hint="default"/>
                      <w:lang w:val="en-US" w:eastAsia="zh-CN"/>
                    </w:rPr>
                  </w:pP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bidi w:val="0"/>
                    <w:rPr>
                      <w:rFonts w:hint="default"/>
                    </w:rPr>
                  </w:pPr>
                  <w:r>
                    <w:rPr>
                      <w:rFonts w:hint="eastAsia"/>
                      <w:lang w:val="en-US" w:eastAsia="zh-CN"/>
                    </w:rPr>
                    <w:t>达标</w:t>
                  </w:r>
                </w:p>
              </w:tc>
            </w:tr>
          </w:tbl>
          <w:p>
            <w:pPr>
              <w:bidi w:val="0"/>
              <w:rPr>
                <w:rFonts w:hint="eastAsia"/>
              </w:rPr>
            </w:pPr>
            <w:r>
              <w:rPr>
                <w:rFonts w:hint="eastAsia"/>
              </w:rPr>
              <w:t>由表3-</w:t>
            </w:r>
            <w:r>
              <w:rPr>
                <w:rFonts w:hint="eastAsia"/>
                <w:lang w:val="en-US" w:eastAsia="zh-CN"/>
              </w:rPr>
              <w:t>4</w:t>
            </w:r>
            <w:r>
              <w:rPr>
                <w:rFonts w:hint="eastAsia"/>
              </w:rPr>
              <w:t>可知，项目区保护目标声环境质量现状满足《声环境质量标准》（</w:t>
            </w:r>
            <w:r>
              <w:rPr>
                <w:rFonts w:hint="eastAsia"/>
                <w:lang w:eastAsia="zh-CN"/>
              </w:rPr>
              <w:t xml:space="preserve">GB </w:t>
            </w:r>
            <w:r>
              <w:rPr>
                <w:rFonts w:hint="default"/>
              </w:rPr>
              <w:t>3096-2008</w:t>
            </w:r>
            <w:r>
              <w:rPr>
                <w:rFonts w:hint="eastAsia"/>
              </w:rPr>
              <w:t>）中</w:t>
            </w:r>
            <w:r>
              <w:rPr>
                <w:rFonts w:hint="eastAsia"/>
                <w:lang w:val="en-US" w:eastAsia="zh-CN"/>
              </w:rPr>
              <w:t>1类</w:t>
            </w:r>
            <w:r>
              <w:rPr>
                <w:rFonts w:hint="eastAsia"/>
              </w:rPr>
              <w:t>标准要求。</w:t>
            </w:r>
          </w:p>
          <w:p>
            <w:pPr>
              <w:pStyle w:val="3"/>
              <w:bidi w:val="0"/>
              <w:rPr>
                <w:rFonts w:hint="eastAsia"/>
              </w:rPr>
            </w:pPr>
            <w:r>
              <w:rPr>
                <w:rFonts w:hint="eastAsia"/>
                <w:lang w:val="en-US" w:eastAsia="zh-CN"/>
              </w:rPr>
              <w:t xml:space="preserve">7 </w:t>
            </w:r>
            <w:r>
              <w:rPr>
                <w:rFonts w:hint="eastAsia"/>
              </w:rPr>
              <w:t>地下水、土壤环境</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本项目属于《环境影响评价技术导则</w:t>
            </w:r>
            <w:r>
              <w:rPr>
                <w:rFonts w:hint="eastAsia" w:cs="Times New Roman"/>
                <w:color w:val="auto"/>
                <w:kern w:val="0"/>
                <w:sz w:val="24"/>
                <w:szCs w:val="24"/>
                <w:highlight w:val="none"/>
                <w:lang w:val="en-US" w:eastAsia="zh-CN" w:bidi="ar-SA"/>
              </w:rPr>
              <w:t xml:space="preserve"> </w:t>
            </w:r>
            <w:r>
              <w:rPr>
                <w:rFonts w:hint="eastAsia" w:ascii="Times New Roman" w:hAnsi="Times New Roman" w:eastAsia="宋体" w:cs="Times New Roman"/>
                <w:color w:val="auto"/>
                <w:kern w:val="0"/>
                <w:sz w:val="24"/>
                <w:szCs w:val="24"/>
                <w:highlight w:val="none"/>
                <w:lang w:val="en-US" w:eastAsia="zh-CN" w:bidi="ar-SA"/>
              </w:rPr>
              <w:t>地下水环境》（HJ610-2016）附录A地下水环境影响评价行业分类表中的“2灌区工程－其他”，项目类别均属</w:t>
            </w:r>
            <w:r>
              <w:rPr>
                <w:rFonts w:hint="default" w:ascii="Times New Roman" w:hAnsi="Times New Roman" w:eastAsia="宋体" w:cs="Times New Roman"/>
                <w:color w:val="auto"/>
                <w:kern w:val="0"/>
                <w:sz w:val="24"/>
                <w:szCs w:val="24"/>
                <w:highlight w:val="none"/>
                <w:lang w:val="en-US" w:eastAsia="zh-CN" w:bidi="ar-SA"/>
              </w:rPr>
              <w:t>Ⅳ</w:t>
            </w:r>
            <w:r>
              <w:rPr>
                <w:rFonts w:hint="eastAsia" w:ascii="Times New Roman" w:hAnsi="Times New Roman" w:eastAsia="宋体" w:cs="Times New Roman"/>
                <w:color w:val="auto"/>
                <w:kern w:val="0"/>
                <w:sz w:val="24"/>
                <w:szCs w:val="24"/>
                <w:highlight w:val="none"/>
                <w:lang w:val="en-US" w:eastAsia="zh-CN" w:bidi="ar-SA"/>
              </w:rPr>
              <w:t>类建设项目，可不开展地下水环境质量现状调查工作。</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both"/>
              <w:rPr>
                <w:rFonts w:ascii="宋体" w:hAnsi="宋体" w:cs="宋体"/>
                <w:color w:val="auto"/>
                <w:kern w:val="0"/>
                <w:szCs w:val="21"/>
              </w:rPr>
            </w:pPr>
            <w:r>
              <w:rPr>
                <w:rFonts w:hint="eastAsia" w:ascii="Times New Roman" w:hAnsi="Times New Roman" w:eastAsia="宋体" w:cs="Times New Roman"/>
                <w:color w:val="auto"/>
                <w:kern w:val="0"/>
                <w:sz w:val="24"/>
                <w:szCs w:val="24"/>
                <w:highlight w:val="none"/>
                <w:lang w:val="en-US" w:eastAsia="zh-CN" w:bidi="ar-SA"/>
              </w:rPr>
              <w:t>根据《环境影响评价技术导则 土壤环境（试行）》（HJ 964-2018）附录A土壤环境影响评价项目类别中的“农林牧渔业-其他”，项目类别均属Ⅳ类建设项目，可不开展</w:t>
            </w:r>
            <w:r>
              <w:rPr>
                <w:rFonts w:hint="eastAsia" w:cs="Times New Roman"/>
                <w:color w:val="auto"/>
                <w:kern w:val="0"/>
                <w:sz w:val="24"/>
                <w:szCs w:val="24"/>
                <w:highlight w:val="none"/>
                <w:lang w:val="en-US" w:eastAsia="zh-CN" w:bidi="ar-SA"/>
              </w:rPr>
              <w:t>土壤</w:t>
            </w:r>
            <w:r>
              <w:rPr>
                <w:rFonts w:hint="eastAsia" w:ascii="Times New Roman" w:hAnsi="Times New Roman" w:eastAsia="宋体" w:cs="Times New Roman"/>
                <w:color w:val="auto"/>
                <w:kern w:val="0"/>
                <w:sz w:val="24"/>
                <w:szCs w:val="24"/>
                <w:highlight w:val="none"/>
                <w:lang w:val="en-US" w:eastAsia="zh-CN" w:bidi="ar-SA"/>
              </w:rPr>
              <w:t>环境质量现状调查工作。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0"/>
                <w:szCs w:val="21"/>
              </w:rPr>
            </w:pPr>
            <w:r>
              <w:rPr>
                <w:rFonts w:hint="eastAsia" w:ascii="宋体" w:hAnsi="宋体"/>
                <w:bCs/>
                <w:color w:val="auto"/>
                <w:sz w:val="21"/>
                <w:szCs w:val="21"/>
              </w:rPr>
              <w:t>与项目有关的原有环境污染和生态破坏问题</w:t>
            </w:r>
          </w:p>
        </w:tc>
        <w:tc>
          <w:tcPr>
            <w:tcW w:w="8253" w:type="dxa"/>
            <w:noWrap w:val="0"/>
            <w:vAlign w:val="center"/>
          </w:tcPr>
          <w:p>
            <w:pPr>
              <w:pStyle w:val="3"/>
              <w:bidi w:val="0"/>
              <w:rPr>
                <w:rFonts w:hint="eastAsia"/>
                <w:lang w:val="en-US" w:eastAsia="zh-CN"/>
              </w:rPr>
            </w:pPr>
            <w:r>
              <w:rPr>
                <w:rFonts w:hint="eastAsia"/>
                <w:lang w:val="en-US" w:eastAsia="zh-CN"/>
              </w:rPr>
              <w:t>1 工程现状</w:t>
            </w:r>
          </w:p>
          <w:p>
            <w:pPr>
              <w:bidi w:val="0"/>
              <w:rPr>
                <w:rFonts w:hint="default"/>
                <w:lang w:val="en-US" w:eastAsia="zh-CN"/>
              </w:rPr>
            </w:pPr>
            <w:r>
              <w:rPr>
                <w:rFonts w:hint="default"/>
                <w:lang w:val="en-US" w:eastAsia="zh-CN"/>
              </w:rPr>
              <w:t>根据现场踏勘，灌区内基本形成条田、渠道、林带、道路、居民点的格局，规划布局也基本合理，但由于自然条件及资金等原因，灌溉渠道未能防渗，原有设施破损、缺失严重；局部时段供水能力不足。灌区存在以下几个方面问题：</w:t>
            </w:r>
          </w:p>
          <w:p>
            <w:pPr>
              <w:bidi w:val="0"/>
              <w:rPr>
                <w:rFonts w:hint="default"/>
                <w:lang w:val="en-US" w:eastAsia="zh-CN"/>
              </w:rPr>
            </w:pPr>
            <w:r>
              <w:rPr>
                <w:rFonts w:hint="default"/>
                <w:lang w:val="en-US" w:eastAsia="zh-CN"/>
              </w:rPr>
              <w:t>（1）渠道渗漏损失大，</w:t>
            </w:r>
            <w:r>
              <w:rPr>
                <w:rFonts w:hint="eastAsia"/>
                <w:lang w:val="en-US" w:eastAsia="zh-CN"/>
              </w:rPr>
              <w:t>构筑物</w:t>
            </w:r>
            <w:r>
              <w:rPr>
                <w:rFonts w:hint="default"/>
                <w:lang w:val="en-US" w:eastAsia="zh-CN"/>
              </w:rPr>
              <w:t>缺失灌溉困难</w:t>
            </w:r>
          </w:p>
          <w:p>
            <w:pPr>
              <w:bidi w:val="0"/>
              <w:rPr>
                <w:rFonts w:hint="default"/>
                <w:lang w:val="en-US" w:eastAsia="zh-CN"/>
              </w:rPr>
            </w:pPr>
            <w:r>
              <w:rPr>
                <w:rFonts w:hint="default"/>
                <w:lang w:val="en-US" w:eastAsia="zh-CN"/>
              </w:rPr>
              <w:t>工程现状输水渠道中部分干渠为未经防渗土渠，渗漏损失严重，水资源浪费较大；因渠道纵坡较小，渠道流水不畅，分水口</w:t>
            </w:r>
            <w:r>
              <w:rPr>
                <w:rFonts w:hint="eastAsia"/>
                <w:lang w:val="en-US" w:eastAsia="zh-CN"/>
              </w:rPr>
              <w:t>构筑物</w:t>
            </w:r>
            <w:r>
              <w:rPr>
                <w:rFonts w:hint="default"/>
                <w:lang w:val="en-US" w:eastAsia="zh-CN"/>
              </w:rPr>
              <w:t>缺失，导致灌溉困难，多处边坡塌陷，掏蚀严重。</w:t>
            </w:r>
          </w:p>
          <w:p>
            <w:pPr>
              <w:bidi w:val="0"/>
              <w:rPr>
                <w:rFonts w:hint="default"/>
                <w:lang w:val="en-US" w:eastAsia="zh-CN"/>
              </w:rPr>
            </w:pPr>
            <w:r>
              <w:rPr>
                <w:rFonts w:hint="default"/>
                <w:lang w:val="en-US" w:eastAsia="zh-CN"/>
              </w:rPr>
              <w:t>（2）冲刷、淤积破坏较为严重</w:t>
            </w:r>
          </w:p>
          <w:p>
            <w:pPr>
              <w:bidi w:val="0"/>
              <w:rPr>
                <w:rFonts w:hint="default"/>
                <w:lang w:val="en-US" w:eastAsia="zh-CN"/>
              </w:rPr>
            </w:pPr>
            <w:r>
              <w:rPr>
                <w:rFonts w:hint="default"/>
                <w:lang w:val="en-US" w:eastAsia="zh-CN"/>
              </w:rPr>
              <w:t>项目区地形较为平坦，因此渠道纵坡较小，流速较小，导致在输水过程中时常发生淤积、翻水，导致渠肩塌陷，造成断面不规则，甚至出现冲坑，水土流失较为严重。为确保灌区农牧业生产的正常用水，灌区农民群众每年需对渠道进行维修整治，增加了灌区农民群众的负担。</w:t>
            </w:r>
          </w:p>
          <w:p>
            <w:pPr>
              <w:bidi w:val="0"/>
              <w:rPr>
                <w:rFonts w:hint="eastAsia"/>
                <w:lang w:val="en-US" w:eastAsia="zh-CN"/>
              </w:rPr>
            </w:pPr>
            <w:r>
              <w:rPr>
                <w:rFonts w:hint="eastAsia"/>
                <w:lang w:val="en-US" w:eastAsia="zh-CN"/>
              </w:rPr>
              <w:t>（3）管理设施不完善且管理力量薄弱</w:t>
            </w:r>
          </w:p>
          <w:p>
            <w:pPr>
              <w:bidi w:val="0"/>
              <w:rPr>
                <w:rFonts w:hint="eastAsia"/>
                <w:lang w:val="en-US" w:eastAsia="zh-CN"/>
              </w:rPr>
            </w:pPr>
            <w:r>
              <w:rPr>
                <w:rFonts w:hint="eastAsia"/>
                <w:lang w:val="en-US" w:eastAsia="zh-CN"/>
              </w:rPr>
              <w:t>灌区内量水、测水设施少，未设置自动化监控系统，无法有效调配水量，灌区用水量采用按亩均摊的办法，给用水单位用水和水管部门管理造成困难。渠道沿线配套构筑物数量不足、不完善、不配套，农民破坏渠道随意设立取水口、木桥，更有甚者，房屋建在渠道上，存在安全隐患。闸门年久失修、变形，闸门简陋，部分分水口缺少闸门，启闭设备不配套、操作不灵活，止水橡皮老化，闸门漏水严重，已不能起到节制控水作用。虽然建立了管理机构，但缺少科学的管理机制，人员配置不全，技术力量薄弱，不能按灌区需水适量灌溉。</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 xml:space="preserve"> </w:t>
            </w:r>
            <w:r>
              <w:rPr>
                <w:rFonts w:hint="eastAsia" w:cs="Times New Roman"/>
                <w:b/>
                <w:bCs/>
                <w:color w:val="auto"/>
                <w:sz w:val="24"/>
                <w:szCs w:val="24"/>
                <w:highlight w:val="none"/>
                <w:lang w:val="en-US" w:eastAsia="zh-CN"/>
              </w:rPr>
              <w:t>整改后影响</w:t>
            </w:r>
          </w:p>
          <w:p>
            <w:pPr>
              <w:bidi w:val="0"/>
            </w:pPr>
            <w:r>
              <w:rPr>
                <w:rFonts w:hint="default" w:ascii="Times New Roman" w:hAnsi="Times New Roman" w:eastAsia="宋体" w:cs="Times New Roman"/>
                <w:b w:val="0"/>
                <w:bCs w:val="0"/>
                <w:color w:val="auto"/>
                <w:sz w:val="24"/>
                <w:szCs w:val="24"/>
                <w:highlight w:val="none"/>
                <w:lang w:val="en-US" w:eastAsia="zh-CN"/>
              </w:rPr>
              <w:t>本项目为原有灌渠改造及构筑物配套工程，各改建渠道均沿原渠道进行建设，不破坏渠道周边环境。所有渠道均采取有效防渗措施，防止渠水渗漏，提高渠系利用系数。工程实施后，可减少渗漏损失，增加有效水量，改善灌溉条件，提高作物产量，增加生态用水，具有良好的经济、生态、社会效益，项目的实施将为灌区经济的可持续发展奠定坚实的基础，工程的实施能够一定有效保障项目区灌区</w:t>
            </w:r>
            <w:r>
              <w:rPr>
                <w:rFonts w:hint="eastAsia" w:cs="Times New Roman"/>
                <w:b w:val="0"/>
                <w:bCs w:val="0"/>
                <w:color w:val="auto"/>
                <w:sz w:val="24"/>
                <w:szCs w:val="24"/>
                <w:highlight w:val="none"/>
                <w:lang w:val="en-US" w:eastAsia="zh-CN"/>
              </w:rPr>
              <w:t>0.1万亩</w:t>
            </w:r>
            <w:r>
              <w:rPr>
                <w:rFonts w:hint="default" w:ascii="Times New Roman" w:hAnsi="Times New Roman" w:eastAsia="宋体" w:cs="Times New Roman"/>
                <w:b w:val="0"/>
                <w:bCs w:val="0"/>
                <w:color w:val="auto"/>
                <w:sz w:val="24"/>
                <w:szCs w:val="24"/>
                <w:highlight w:val="none"/>
                <w:lang w:val="en-US" w:eastAsia="zh-CN"/>
              </w:rPr>
              <w:t>的灌溉用水量。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0"/>
                <w:szCs w:val="21"/>
              </w:rPr>
            </w:pPr>
            <w:r>
              <w:rPr>
                <w:rFonts w:hint="eastAsia" w:ascii="宋体" w:hAnsi="宋体" w:cs="宋体"/>
                <w:color w:val="auto"/>
                <w:kern w:val="0"/>
                <w:sz w:val="21"/>
                <w:szCs w:val="21"/>
              </w:rPr>
              <w:t>生态环境保护目标</w:t>
            </w:r>
          </w:p>
        </w:tc>
        <w:tc>
          <w:tcPr>
            <w:tcW w:w="8253" w:type="dxa"/>
            <w:noWrap w:val="0"/>
            <w:vAlign w:val="center"/>
          </w:tcPr>
          <w:p>
            <w:pPr>
              <w:bidi w:val="0"/>
              <w:rPr>
                <w:rFonts w:hint="eastAsia"/>
                <w:lang w:val="en-US" w:eastAsia="zh-CN"/>
              </w:rPr>
            </w:pPr>
            <w:r>
              <w:rPr>
                <w:rFonts w:hint="eastAsia"/>
                <w:lang w:val="en-US" w:eastAsia="zh-CN"/>
              </w:rPr>
              <w:t>（1）环境空气保护目标</w:t>
            </w:r>
          </w:p>
          <w:p>
            <w:pPr>
              <w:bidi w:val="0"/>
            </w:pPr>
            <w:r>
              <w:rPr>
                <w:rFonts w:hint="eastAsia"/>
                <w:lang w:val="en-US" w:eastAsia="zh-CN"/>
              </w:rPr>
              <w:t>根据现场勘查，项目区周界外500m范围内有环境空气保护目标，主要是村庄。</w:t>
            </w:r>
          </w:p>
          <w:p>
            <w:pPr>
              <w:bidi w:val="0"/>
              <w:rPr>
                <w:rFonts w:hint="eastAsia"/>
                <w:lang w:val="en-US" w:eastAsia="zh-CN"/>
              </w:rPr>
            </w:pPr>
            <w:r>
              <w:rPr>
                <w:rFonts w:hint="eastAsia"/>
                <w:lang w:val="en-US" w:eastAsia="zh-CN"/>
              </w:rPr>
              <w:t>（2）地下水环境保护目标</w:t>
            </w:r>
          </w:p>
          <w:p>
            <w:pPr>
              <w:bidi w:val="0"/>
              <w:rPr>
                <w:rFonts w:hint="eastAsia"/>
                <w:lang w:val="en-US" w:eastAsia="zh-CN"/>
              </w:rPr>
            </w:pPr>
            <w:r>
              <w:rPr>
                <w:rFonts w:hint="eastAsia"/>
                <w:lang w:val="en-US" w:eastAsia="zh-CN"/>
              </w:rPr>
              <w:t>本工程边界外500米范围内无地下水集中式饮用水水源和热水、矿泉水、温泉等特殊地下水资源。</w:t>
            </w:r>
          </w:p>
          <w:p>
            <w:pPr>
              <w:bidi w:val="0"/>
              <w:rPr>
                <w:rFonts w:hint="eastAsia"/>
                <w:lang w:val="en-US" w:eastAsia="zh-CN"/>
              </w:rPr>
            </w:pPr>
            <w:r>
              <w:rPr>
                <w:rFonts w:hint="eastAsia"/>
                <w:lang w:val="en-US" w:eastAsia="zh-CN"/>
              </w:rPr>
              <w:t>（3）地表水环境保护目标</w:t>
            </w:r>
          </w:p>
          <w:p>
            <w:pPr>
              <w:bidi w:val="0"/>
              <w:rPr>
                <w:rFonts w:hint="eastAsia"/>
                <w:lang w:val="en-US" w:eastAsia="zh-CN"/>
              </w:rPr>
            </w:pPr>
            <w:r>
              <w:rPr>
                <w:rFonts w:hint="eastAsia"/>
                <w:lang w:val="en-US" w:eastAsia="zh-CN"/>
              </w:rPr>
              <w:t>项目区西侧140m处为若羌河</w:t>
            </w:r>
            <w:r>
              <w:rPr>
                <w:rFonts w:hint="eastAsia"/>
                <w:lang w:eastAsia="zh-CN"/>
              </w:rPr>
              <w:t>。</w:t>
            </w:r>
          </w:p>
          <w:p>
            <w:pPr>
              <w:bidi w:val="0"/>
              <w:rPr>
                <w:rFonts w:hint="eastAsia"/>
                <w:lang w:val="en-US" w:eastAsia="zh-CN"/>
              </w:rPr>
            </w:pPr>
            <w:r>
              <w:rPr>
                <w:rFonts w:hint="eastAsia"/>
                <w:lang w:val="en-US" w:eastAsia="zh-CN"/>
              </w:rPr>
              <w:t>（4）声环境保护目标</w:t>
            </w:r>
          </w:p>
          <w:p>
            <w:pPr>
              <w:bidi w:val="0"/>
              <w:rPr>
                <w:rFonts w:hint="eastAsia"/>
                <w:lang w:val="en-US" w:eastAsia="zh-CN"/>
              </w:rPr>
            </w:pPr>
            <w:r>
              <w:rPr>
                <w:rFonts w:hint="eastAsia"/>
                <w:lang w:val="en-US" w:eastAsia="zh-CN"/>
              </w:rPr>
              <w:t>项目周边50m范围内有声环境保护目标，主要是村庄。</w:t>
            </w:r>
          </w:p>
          <w:p>
            <w:pPr>
              <w:bidi w:val="0"/>
              <w:rPr>
                <w:rFonts w:hint="eastAsia"/>
                <w:lang w:val="en-US" w:eastAsia="zh-CN"/>
              </w:rPr>
            </w:pPr>
            <w:r>
              <w:rPr>
                <w:rFonts w:hint="eastAsia"/>
                <w:lang w:val="en-US" w:eastAsia="zh-CN"/>
              </w:rPr>
              <w:t>（5）生态环境保护目标</w:t>
            </w:r>
          </w:p>
          <w:p>
            <w:pPr>
              <w:bidi w:val="0"/>
              <w:rPr>
                <w:rFonts w:hint="default"/>
                <w:lang w:val="en-US" w:eastAsia="zh-CN"/>
              </w:rPr>
            </w:pPr>
            <w:r>
              <w:rPr>
                <w:rFonts w:hint="eastAsia"/>
              </w:rPr>
              <w:t>根据踏勘和调查，本项目不涉及《</w:t>
            </w:r>
            <w:r>
              <w:rPr>
                <w:rFonts w:hint="eastAsia"/>
                <w:lang w:eastAsia="zh-CN"/>
              </w:rPr>
              <w:t>环境影响评价技术导则 生态影响</w:t>
            </w:r>
            <w:r>
              <w:rPr>
                <w:rFonts w:hint="eastAsia"/>
              </w:rPr>
              <w:fldChar w:fldCharType="begin"/>
            </w:r>
            <w:r>
              <w:rPr>
                <w:rFonts w:hint="eastAsia"/>
              </w:rPr>
              <w:instrText xml:space="preserve">HYPERLINK"http://www.mee.gov.cn/ywgz/fgbz/bz/bzwb/other/pjjsdz/201104/W020130206494860363682.pdf"</w:instrText>
            </w:r>
            <w:r>
              <w:rPr>
                <w:rFonts w:hint="eastAsia"/>
              </w:rPr>
              <w:fldChar w:fldCharType="separate"/>
            </w:r>
            <w:r>
              <w:rPr>
                <w:rFonts w:hint="eastAsia"/>
              </w:rPr>
              <w:t>》（HJ19-20</w:t>
            </w:r>
            <w:r>
              <w:rPr>
                <w:rFonts w:hint="eastAsia"/>
                <w:lang w:val="en-US" w:eastAsia="zh-CN"/>
              </w:rPr>
              <w:t>22</w:t>
            </w:r>
            <w:r>
              <w:rPr>
                <w:rFonts w:hint="eastAsia"/>
              </w:rPr>
              <w:t>）</w:t>
            </w:r>
            <w:r>
              <w:rPr>
                <w:rFonts w:hint="eastAsia"/>
              </w:rPr>
              <w:fldChar w:fldCharType="end"/>
            </w:r>
            <w:r>
              <w:rPr>
                <w:rFonts w:hint="eastAsia"/>
              </w:rPr>
              <w:t>中所列国家公园、自然保护区、风景名胜区、世界文化和自然遗产地、重要湿地、原始天然林、珍稀濒危野生动植物天然集中分布区、重要水生生物的自然产卵场及索饵场、越冬场和洄游通道、天然渔场等生态敏感区。</w:t>
            </w:r>
          </w:p>
          <w:p>
            <w:pPr>
              <w:bidi w:val="0"/>
              <w:rPr>
                <w:rFonts w:hint="default"/>
                <w:lang w:val="en-US" w:eastAsia="zh-CN"/>
              </w:rPr>
            </w:pPr>
            <w:r>
              <w:rPr>
                <w:rFonts w:hint="default"/>
                <w:lang w:val="en-US" w:eastAsia="zh-CN"/>
              </w:rPr>
              <w:t>主要保护目标见下表。</w:t>
            </w:r>
          </w:p>
          <w:p>
            <w:pPr>
              <w:pStyle w:val="5"/>
              <w:bidi w:val="0"/>
              <w:rPr>
                <w:rFonts w:hint="default"/>
                <w:lang w:val="en-US" w:eastAsia="zh-CN"/>
              </w:rPr>
            </w:pPr>
            <w:r>
              <w:rPr>
                <w:rFonts w:hint="default"/>
                <w:lang w:val="en-US" w:eastAsia="zh-CN"/>
              </w:rPr>
              <w:t>表3-</w:t>
            </w:r>
            <w:r>
              <w:rPr>
                <w:rFonts w:hint="eastAsia"/>
                <w:lang w:val="en-US" w:eastAsia="zh-CN"/>
              </w:rPr>
              <w:t xml:space="preserve">5 </w:t>
            </w:r>
            <w:r>
              <w:rPr>
                <w:rFonts w:hint="default"/>
                <w:lang w:val="en-US" w:eastAsia="zh-CN"/>
              </w:rPr>
              <w:t xml:space="preserve"> 项目主要保护目标一览表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708"/>
              <w:gridCol w:w="681"/>
              <w:gridCol w:w="2499"/>
              <w:gridCol w:w="96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bidi w:val="0"/>
                    <w:rPr>
                      <w:rFonts w:hint="default"/>
                      <w:highlight w:val="none"/>
                    </w:rPr>
                  </w:pPr>
                  <w:r>
                    <w:rPr>
                      <w:rFonts w:hint="default"/>
                      <w:highlight w:val="none"/>
                    </w:rPr>
                    <w:t>名称</w:t>
                  </w:r>
                </w:p>
              </w:tc>
              <w:tc>
                <w:tcPr>
                  <w:tcW w:w="1064" w:type="pct"/>
                  <w:noWrap w:val="0"/>
                  <w:vAlign w:val="center"/>
                </w:tcPr>
                <w:p>
                  <w:pPr>
                    <w:pStyle w:val="6"/>
                    <w:bidi w:val="0"/>
                    <w:rPr>
                      <w:rFonts w:hint="default"/>
                      <w:highlight w:val="none"/>
                    </w:rPr>
                  </w:pPr>
                  <w:r>
                    <w:rPr>
                      <w:rFonts w:hint="default"/>
                      <w:highlight w:val="none"/>
                    </w:rPr>
                    <w:t>主要保护对象</w:t>
                  </w:r>
                </w:p>
              </w:tc>
              <w:tc>
                <w:tcPr>
                  <w:tcW w:w="424" w:type="pct"/>
                  <w:noWrap w:val="0"/>
                  <w:vAlign w:val="center"/>
                </w:tcPr>
                <w:p>
                  <w:pPr>
                    <w:pStyle w:val="6"/>
                    <w:bidi w:val="0"/>
                    <w:rPr>
                      <w:rFonts w:hint="default"/>
                      <w:highlight w:val="none"/>
                    </w:rPr>
                  </w:pPr>
                  <w:r>
                    <w:rPr>
                      <w:rFonts w:hint="default"/>
                      <w:highlight w:val="none"/>
                    </w:rPr>
                    <w:t>规模</w:t>
                  </w:r>
                </w:p>
              </w:tc>
              <w:tc>
                <w:tcPr>
                  <w:tcW w:w="1557" w:type="pct"/>
                  <w:noWrap w:val="0"/>
                  <w:vAlign w:val="center"/>
                </w:tcPr>
                <w:p>
                  <w:pPr>
                    <w:pStyle w:val="6"/>
                    <w:bidi w:val="0"/>
                    <w:rPr>
                      <w:rFonts w:hint="default"/>
                      <w:highlight w:val="none"/>
                    </w:rPr>
                  </w:pPr>
                  <w:r>
                    <w:rPr>
                      <w:rFonts w:hint="default"/>
                      <w:highlight w:val="none"/>
                    </w:rPr>
                    <w:t>与建设项目的位置关系</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最近距离m</w:t>
                  </w:r>
                </w:p>
              </w:tc>
              <w:tc>
                <w:tcPr>
                  <w:tcW w:w="710" w:type="pct"/>
                  <w:noWrap w:val="0"/>
                  <w:vAlign w:val="center"/>
                </w:tcPr>
                <w:p>
                  <w:pPr>
                    <w:pStyle w:val="6"/>
                    <w:bidi w:val="0"/>
                    <w:rPr>
                      <w:rFonts w:hint="default"/>
                      <w:highlight w:val="none"/>
                    </w:rPr>
                  </w:pPr>
                  <w:r>
                    <w:rPr>
                      <w:rFonts w:hint="default"/>
                      <w:highlight w:val="none"/>
                    </w:rPr>
                    <w:t>涉及的功能分区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bidi w:val="0"/>
                    <w:rPr>
                      <w:rFonts w:hint="default"/>
                      <w:highlight w:val="none"/>
                      <w:lang w:val="en-US" w:eastAsia="zh-CN"/>
                    </w:rPr>
                  </w:pPr>
                  <w:r>
                    <w:rPr>
                      <w:rFonts w:hint="default"/>
                      <w:highlight w:val="none"/>
                      <w:lang w:val="en-US" w:eastAsia="zh-CN"/>
                    </w:rPr>
                    <w:t>生态环境</w:t>
                  </w:r>
                </w:p>
              </w:tc>
              <w:tc>
                <w:tcPr>
                  <w:tcW w:w="1064" w:type="pct"/>
                  <w:noWrap w:val="0"/>
                  <w:vAlign w:val="center"/>
                </w:tcPr>
                <w:p>
                  <w:pPr>
                    <w:pStyle w:val="6"/>
                    <w:bidi w:val="0"/>
                    <w:rPr>
                      <w:rFonts w:hint="default"/>
                      <w:highlight w:val="none"/>
                      <w:lang w:val="en-US"/>
                    </w:rPr>
                  </w:pPr>
                  <w:r>
                    <w:rPr>
                      <w:rFonts w:hint="default"/>
                      <w:highlight w:val="none"/>
                      <w:lang w:val="en-US"/>
                    </w:rPr>
                    <w:t>陆生</w:t>
                  </w:r>
                  <w:r>
                    <w:rPr>
                      <w:rFonts w:hint="default"/>
                      <w:highlight w:val="none"/>
                      <w:lang w:val="en-US" w:eastAsia="zh-CN"/>
                    </w:rPr>
                    <w:t>生</w:t>
                  </w:r>
                  <w:r>
                    <w:rPr>
                      <w:rFonts w:hint="default"/>
                      <w:highlight w:val="none"/>
                      <w:lang w:val="en-US"/>
                    </w:rPr>
                    <w:t>态系统结构及功能</w:t>
                  </w:r>
                </w:p>
              </w:tc>
              <w:tc>
                <w:tcPr>
                  <w:tcW w:w="424" w:type="pct"/>
                  <w:noWrap w:val="0"/>
                  <w:vAlign w:val="center"/>
                </w:tcPr>
                <w:p>
                  <w:pPr>
                    <w:pStyle w:val="6"/>
                    <w:bidi w:val="0"/>
                    <w:rPr>
                      <w:rFonts w:hint="default"/>
                      <w:highlight w:val="none"/>
                      <w:lang w:val="en-US" w:eastAsia="zh-CN"/>
                    </w:rPr>
                  </w:pPr>
                  <w:r>
                    <w:rPr>
                      <w:rFonts w:hint="default"/>
                      <w:highlight w:val="none"/>
                      <w:lang w:val="en-US" w:eastAsia="zh-CN"/>
                    </w:rPr>
                    <w:t>/</w:t>
                  </w:r>
                </w:p>
              </w:tc>
              <w:tc>
                <w:tcPr>
                  <w:tcW w:w="1557" w:type="pct"/>
                  <w:noWrap w:val="0"/>
                  <w:vAlign w:val="center"/>
                </w:tcPr>
                <w:p>
                  <w:pPr>
                    <w:pStyle w:val="6"/>
                    <w:bidi w:val="0"/>
                    <w:rPr>
                      <w:rFonts w:hint="default"/>
                      <w:highlight w:val="none"/>
                      <w:lang w:val="en-US" w:eastAsia="zh-CN"/>
                    </w:rPr>
                  </w:pPr>
                  <w:r>
                    <w:rPr>
                      <w:rFonts w:hint="default"/>
                      <w:highlight w:val="none"/>
                      <w:lang w:val="en-US" w:eastAsia="zh-CN"/>
                    </w:rPr>
                    <w:t>渠道沿线</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w:t>
                  </w:r>
                </w:p>
              </w:tc>
              <w:tc>
                <w:tcPr>
                  <w:tcW w:w="710" w:type="pct"/>
                  <w:noWrap w:val="0"/>
                  <w:vAlign w:val="center"/>
                </w:tcPr>
                <w:p>
                  <w:pPr>
                    <w:pStyle w:val="6"/>
                    <w:bidi w:val="0"/>
                    <w:rPr>
                      <w:rFonts w:hint="default"/>
                      <w:highlight w:val="none"/>
                      <w:lang w:val="en-US" w:eastAsia="zh-CN"/>
                    </w:rPr>
                  </w:pPr>
                  <w:r>
                    <w:rPr>
                      <w:rFonts w:hint="eastAsia"/>
                      <w:highlight w:val="none"/>
                      <w:lang w:val="en-US" w:eastAsia="zh-CN"/>
                    </w:rPr>
                    <w:t>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restart"/>
                  <w:noWrap w:val="0"/>
                  <w:vAlign w:val="center"/>
                </w:tcPr>
                <w:p>
                  <w:pPr>
                    <w:pStyle w:val="6"/>
                    <w:bidi w:val="0"/>
                    <w:rPr>
                      <w:rFonts w:hint="default"/>
                      <w:highlight w:val="none"/>
                      <w:lang w:val="en-US" w:eastAsia="zh-CN"/>
                    </w:rPr>
                  </w:pPr>
                  <w:r>
                    <w:rPr>
                      <w:rFonts w:hint="default"/>
                      <w:highlight w:val="none"/>
                      <w:lang w:val="en-US" w:eastAsia="zh-CN"/>
                    </w:rPr>
                    <w:t>环境空气</w:t>
                  </w:r>
                </w:p>
              </w:tc>
              <w:tc>
                <w:tcPr>
                  <w:tcW w:w="1064" w:type="pct"/>
                  <w:noWrap w:val="0"/>
                  <w:vAlign w:val="center"/>
                </w:tcPr>
                <w:p>
                  <w:pPr>
                    <w:pStyle w:val="6"/>
                    <w:bidi w:val="0"/>
                    <w:ind w:firstLine="0" w:firstLineChars="0"/>
                    <w:rPr>
                      <w:rFonts w:hint="default"/>
                      <w:highlight w:val="yellow"/>
                      <w:lang w:val="en-US" w:eastAsia="zh-CN"/>
                    </w:rPr>
                  </w:pPr>
                  <w:r>
                    <w:rPr>
                      <w:rFonts w:hint="eastAsia"/>
                      <w:lang w:val="en-US" w:eastAsia="zh-CN"/>
                    </w:rPr>
                    <w:t>英阿瓦提村</w:t>
                  </w:r>
                </w:p>
              </w:tc>
              <w:tc>
                <w:tcPr>
                  <w:tcW w:w="424"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300</w:t>
                  </w:r>
                </w:p>
              </w:tc>
              <w:tc>
                <w:tcPr>
                  <w:tcW w:w="1557"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英阿瓦提1号条田1号渠</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3</w:t>
                  </w:r>
                </w:p>
              </w:tc>
              <w:tc>
                <w:tcPr>
                  <w:tcW w:w="710" w:type="pct"/>
                  <w:vMerge w:val="restart"/>
                  <w:noWrap w:val="0"/>
                  <w:vAlign w:val="center"/>
                </w:tcPr>
                <w:p>
                  <w:pPr>
                    <w:pStyle w:val="6"/>
                    <w:bidi w:val="0"/>
                    <w:rPr>
                      <w:rFonts w:hint="default"/>
                      <w:highlight w:val="none"/>
                      <w:lang w:val="en-US" w:eastAsia="zh-CN"/>
                    </w:rPr>
                  </w:pPr>
                  <w:r>
                    <w:rPr>
                      <w:rFonts w:hint="eastAsia"/>
                      <w:highlight w:val="none"/>
                      <w:lang w:val="en-US" w:eastAsia="zh-CN"/>
                    </w:rPr>
                    <w:t>二类</w:t>
                  </w:r>
                  <w:r>
                    <w:rPr>
                      <w:rFonts w:hint="default"/>
                      <w:highlight w:val="none"/>
                      <w:lang w:val="en-US" w:eastAsia="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pct"/>
                  <w:vMerge w:val="continue"/>
                  <w:noWrap w:val="0"/>
                  <w:vAlign w:val="center"/>
                </w:tcPr>
                <w:p>
                  <w:pPr>
                    <w:pStyle w:val="6"/>
                    <w:bidi w:val="0"/>
                    <w:rPr>
                      <w:rFonts w:hint="default"/>
                      <w:highlight w:val="none"/>
                      <w:lang w:val="en-US" w:eastAsia="zh-CN"/>
                    </w:rPr>
                  </w:pPr>
                </w:p>
              </w:tc>
              <w:tc>
                <w:tcPr>
                  <w:tcW w:w="1064" w:type="pct"/>
                  <w:noWrap w:val="0"/>
                  <w:vAlign w:val="center"/>
                </w:tcPr>
                <w:p>
                  <w:pPr>
                    <w:pStyle w:val="6"/>
                    <w:bidi w:val="0"/>
                    <w:ind w:firstLine="0" w:firstLineChars="0"/>
                    <w:rPr>
                      <w:rFonts w:hint="default"/>
                      <w:highlight w:val="yellow"/>
                      <w:lang w:val="en-US" w:eastAsia="zh-CN"/>
                    </w:rPr>
                  </w:pPr>
                  <w:r>
                    <w:rPr>
                      <w:rFonts w:hint="eastAsia"/>
                      <w:lang w:val="en-US" w:eastAsia="zh-CN"/>
                    </w:rPr>
                    <w:t>亚喀吾斯塘村</w:t>
                  </w:r>
                </w:p>
              </w:tc>
              <w:tc>
                <w:tcPr>
                  <w:tcW w:w="424"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100</w:t>
                  </w:r>
                </w:p>
              </w:tc>
              <w:tc>
                <w:tcPr>
                  <w:tcW w:w="1557"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娜孜艾日克1-1号渠北侧</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3</w:t>
                  </w:r>
                </w:p>
              </w:tc>
              <w:tc>
                <w:tcPr>
                  <w:tcW w:w="710" w:type="pct"/>
                  <w:vMerge w:val="continue"/>
                  <w:noWrap w:val="0"/>
                  <w:vAlign w:val="center"/>
                </w:tcPr>
                <w:p>
                  <w:pPr>
                    <w:pStyle w:val="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bidi w:val="0"/>
                    <w:rPr>
                      <w:rFonts w:hint="default"/>
                      <w:highlight w:val="none"/>
                      <w:lang w:val="en-US" w:eastAsia="zh-CN"/>
                    </w:rPr>
                  </w:pPr>
                </w:p>
              </w:tc>
              <w:tc>
                <w:tcPr>
                  <w:tcW w:w="1064" w:type="pct"/>
                  <w:noWrap w:val="0"/>
                  <w:vAlign w:val="center"/>
                </w:tcPr>
                <w:p>
                  <w:pPr>
                    <w:pStyle w:val="6"/>
                    <w:bidi w:val="0"/>
                    <w:ind w:firstLine="0" w:firstLineChars="0"/>
                    <w:rPr>
                      <w:rFonts w:hint="default"/>
                      <w:highlight w:val="yellow"/>
                      <w:lang w:val="en-US" w:eastAsia="zh-CN"/>
                    </w:rPr>
                  </w:pPr>
                  <w:r>
                    <w:rPr>
                      <w:rFonts w:hint="eastAsia"/>
                      <w:lang w:val="en-US" w:eastAsia="zh-CN"/>
                    </w:rPr>
                    <w:t>努尔巴格村</w:t>
                  </w:r>
                </w:p>
              </w:tc>
              <w:tc>
                <w:tcPr>
                  <w:tcW w:w="424"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300</w:t>
                  </w:r>
                </w:p>
              </w:tc>
              <w:tc>
                <w:tcPr>
                  <w:tcW w:w="1557"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亚克吾斯塘1号渠东侧</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3</w:t>
                  </w:r>
                </w:p>
              </w:tc>
              <w:tc>
                <w:tcPr>
                  <w:tcW w:w="710" w:type="pct"/>
                  <w:vMerge w:val="continue"/>
                  <w:noWrap w:val="0"/>
                  <w:vAlign w:val="center"/>
                </w:tcPr>
                <w:p>
                  <w:pPr>
                    <w:pStyle w:val="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bidi w:val="0"/>
                    <w:rPr>
                      <w:rFonts w:hint="default"/>
                      <w:highlight w:val="none"/>
                      <w:lang w:val="en-US" w:eastAsia="zh-CN"/>
                    </w:rPr>
                  </w:pPr>
                </w:p>
              </w:tc>
              <w:tc>
                <w:tcPr>
                  <w:tcW w:w="1064" w:type="pct"/>
                  <w:noWrap w:val="0"/>
                  <w:vAlign w:val="center"/>
                </w:tcPr>
                <w:p>
                  <w:pPr>
                    <w:pStyle w:val="6"/>
                    <w:bidi w:val="0"/>
                    <w:rPr>
                      <w:rFonts w:hint="default"/>
                      <w:highlight w:val="yellow"/>
                      <w:lang w:val="en-US" w:eastAsia="zh-CN"/>
                    </w:rPr>
                  </w:pPr>
                  <w:r>
                    <w:rPr>
                      <w:rFonts w:hint="default"/>
                      <w:highlight w:val="none"/>
                      <w:lang w:val="en-US" w:eastAsia="zh-CN"/>
                    </w:rPr>
                    <w:t>托格拉克勒克村</w:t>
                  </w:r>
                </w:p>
              </w:tc>
              <w:tc>
                <w:tcPr>
                  <w:tcW w:w="424"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1500</w:t>
                  </w:r>
                </w:p>
              </w:tc>
              <w:tc>
                <w:tcPr>
                  <w:tcW w:w="1557" w:type="pct"/>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鲁学书1号渠南侧</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200</w:t>
                  </w:r>
                </w:p>
              </w:tc>
              <w:tc>
                <w:tcPr>
                  <w:tcW w:w="710" w:type="pct"/>
                  <w:vMerge w:val="continue"/>
                  <w:noWrap w:val="0"/>
                  <w:vAlign w:val="center"/>
                </w:tcPr>
                <w:p>
                  <w:pPr>
                    <w:pStyle w:val="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bidi w:val="0"/>
                    <w:rPr>
                      <w:rFonts w:hint="default"/>
                      <w:highlight w:val="none"/>
                      <w:lang w:val="en-US" w:eastAsia="zh-CN"/>
                    </w:rPr>
                  </w:pPr>
                </w:p>
              </w:tc>
              <w:tc>
                <w:tcPr>
                  <w:tcW w:w="1064" w:type="pct"/>
                  <w:noWrap w:val="0"/>
                  <w:vAlign w:val="center"/>
                </w:tcPr>
                <w:p>
                  <w:pPr>
                    <w:pStyle w:val="6"/>
                    <w:bidi w:val="0"/>
                    <w:rPr>
                      <w:rFonts w:hint="default"/>
                      <w:highlight w:val="none"/>
                      <w:lang w:val="en-US" w:eastAsia="zh-CN"/>
                    </w:rPr>
                  </w:pPr>
                  <w:r>
                    <w:rPr>
                      <w:rFonts w:hint="eastAsia"/>
                      <w:highlight w:val="none"/>
                      <w:lang w:val="en-US" w:eastAsia="zh-CN"/>
                    </w:rPr>
                    <w:t>库尔干村</w:t>
                  </w:r>
                </w:p>
              </w:tc>
              <w:tc>
                <w:tcPr>
                  <w:tcW w:w="424" w:type="pct"/>
                  <w:noWrap w:val="0"/>
                  <w:vAlign w:val="center"/>
                </w:tcPr>
                <w:p>
                  <w:pPr>
                    <w:pStyle w:val="6"/>
                    <w:bidi w:val="0"/>
                    <w:ind w:firstLine="0" w:firstLineChars="0"/>
                    <w:rPr>
                      <w:rFonts w:hint="default"/>
                      <w:highlight w:val="none"/>
                      <w:lang w:val="en-US" w:eastAsia="zh-CN"/>
                    </w:rPr>
                  </w:pPr>
                  <w:r>
                    <w:rPr>
                      <w:rFonts w:hint="eastAsia"/>
                      <w:highlight w:val="none"/>
                      <w:lang w:val="en-US" w:eastAsia="zh-CN"/>
                    </w:rPr>
                    <w:t>500</w:t>
                  </w:r>
                </w:p>
              </w:tc>
              <w:tc>
                <w:tcPr>
                  <w:tcW w:w="1557" w:type="pct"/>
                  <w:noWrap w:val="0"/>
                  <w:vAlign w:val="center"/>
                </w:tcPr>
                <w:p>
                  <w:pPr>
                    <w:pStyle w:val="6"/>
                    <w:bidi w:val="0"/>
                    <w:ind w:firstLine="0" w:firstLineChars="0"/>
                    <w:rPr>
                      <w:rFonts w:hint="default"/>
                      <w:highlight w:val="none"/>
                      <w:lang w:val="en-US" w:eastAsia="zh-CN"/>
                    </w:rPr>
                  </w:pPr>
                  <w:r>
                    <w:rPr>
                      <w:rFonts w:hint="eastAsia"/>
                      <w:highlight w:val="none"/>
                      <w:lang w:val="en-US" w:eastAsia="zh-CN"/>
                    </w:rPr>
                    <w:t>王玉唐1号渠</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102</w:t>
                  </w:r>
                </w:p>
              </w:tc>
              <w:tc>
                <w:tcPr>
                  <w:tcW w:w="710" w:type="pct"/>
                  <w:vMerge w:val="continue"/>
                  <w:noWrap w:val="0"/>
                  <w:vAlign w:val="center"/>
                </w:tcPr>
                <w:p>
                  <w:pPr>
                    <w:pStyle w:val="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pct"/>
                  <w:vMerge w:val="continue"/>
                  <w:noWrap w:val="0"/>
                  <w:vAlign w:val="center"/>
                </w:tcPr>
                <w:p>
                  <w:pPr>
                    <w:pStyle w:val="6"/>
                    <w:bidi w:val="0"/>
                    <w:rPr>
                      <w:rFonts w:hint="default"/>
                      <w:highlight w:val="none"/>
                      <w:lang w:val="en-US" w:eastAsia="zh-CN"/>
                    </w:rPr>
                  </w:pPr>
                </w:p>
              </w:tc>
              <w:tc>
                <w:tcPr>
                  <w:tcW w:w="1064" w:type="pct"/>
                  <w:noWrap w:val="0"/>
                  <w:vAlign w:val="center"/>
                </w:tcPr>
                <w:p>
                  <w:pPr>
                    <w:pStyle w:val="6"/>
                    <w:bidi w:val="0"/>
                    <w:rPr>
                      <w:rFonts w:hint="default"/>
                      <w:highlight w:val="none"/>
                      <w:lang w:val="en-US" w:eastAsia="zh-CN"/>
                    </w:rPr>
                  </w:pPr>
                  <w:r>
                    <w:rPr>
                      <w:rFonts w:hint="eastAsia"/>
                      <w:highlight w:val="none"/>
                      <w:lang w:val="en-US" w:eastAsia="zh-CN"/>
                    </w:rPr>
                    <w:t>兰干村</w:t>
                  </w:r>
                </w:p>
              </w:tc>
              <w:tc>
                <w:tcPr>
                  <w:tcW w:w="424" w:type="pct"/>
                  <w:shd w:val="clear" w:color="auto" w:fill="auto"/>
                  <w:noWrap w:val="0"/>
                  <w:vAlign w:val="center"/>
                </w:tcPr>
                <w:p>
                  <w:pPr>
                    <w:pStyle w:val="6"/>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500</w:t>
                  </w:r>
                </w:p>
              </w:tc>
              <w:tc>
                <w:tcPr>
                  <w:tcW w:w="1557" w:type="pct"/>
                  <w:shd w:val="clear" w:color="auto" w:fill="auto"/>
                  <w:noWrap w:val="0"/>
                  <w:vAlign w:val="center"/>
                </w:tcPr>
                <w:p>
                  <w:pPr>
                    <w:pStyle w:val="6"/>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兰干村1条田渠</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102</w:t>
                  </w:r>
                </w:p>
              </w:tc>
              <w:tc>
                <w:tcPr>
                  <w:tcW w:w="710" w:type="pct"/>
                  <w:vMerge w:val="continue"/>
                  <w:noWrap w:val="0"/>
                  <w:vAlign w:val="center"/>
                </w:tcPr>
                <w:p>
                  <w:pPr>
                    <w:pStyle w:val="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bidi w:val="0"/>
                    <w:rPr>
                      <w:rFonts w:hint="default"/>
                      <w:highlight w:val="none"/>
                      <w:lang w:val="en-US" w:eastAsia="zh-CN"/>
                    </w:rPr>
                  </w:pPr>
                </w:p>
              </w:tc>
              <w:tc>
                <w:tcPr>
                  <w:tcW w:w="1064" w:type="pct"/>
                  <w:noWrap w:val="0"/>
                  <w:vAlign w:val="center"/>
                </w:tcPr>
                <w:p>
                  <w:pPr>
                    <w:pStyle w:val="6"/>
                    <w:bidi w:val="0"/>
                    <w:rPr>
                      <w:rFonts w:hint="default"/>
                      <w:highlight w:val="none"/>
                      <w:lang w:val="en-US" w:eastAsia="zh-CN"/>
                    </w:rPr>
                  </w:pPr>
                  <w:r>
                    <w:rPr>
                      <w:rFonts w:hint="eastAsia"/>
                      <w:highlight w:val="none"/>
                      <w:lang w:val="en-US" w:eastAsia="zh-CN"/>
                    </w:rPr>
                    <w:t>铁干里克镇</w:t>
                  </w:r>
                </w:p>
              </w:tc>
              <w:tc>
                <w:tcPr>
                  <w:tcW w:w="42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3000</w:t>
                  </w:r>
                </w:p>
              </w:tc>
              <w:tc>
                <w:tcPr>
                  <w:tcW w:w="1557"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气象路土渠2号渠西北侧</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97</w:t>
                  </w:r>
                </w:p>
              </w:tc>
              <w:tc>
                <w:tcPr>
                  <w:tcW w:w="710" w:type="pct"/>
                  <w:vMerge w:val="continue"/>
                  <w:noWrap w:val="0"/>
                  <w:vAlign w:val="center"/>
                </w:tcPr>
                <w:p>
                  <w:pPr>
                    <w:pStyle w:val="6"/>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bidi w:val="0"/>
                    <w:rPr>
                      <w:rFonts w:hint="default"/>
                      <w:highlight w:val="none"/>
                      <w:lang w:val="en-US" w:eastAsia="zh-CN"/>
                    </w:rPr>
                  </w:pPr>
                  <w:r>
                    <w:rPr>
                      <w:rFonts w:hint="default"/>
                      <w:highlight w:val="none"/>
                      <w:lang w:val="en-US" w:eastAsia="zh-CN"/>
                    </w:rPr>
                    <w:t>土壤</w:t>
                  </w:r>
                </w:p>
              </w:tc>
              <w:tc>
                <w:tcPr>
                  <w:tcW w:w="1064" w:type="pct"/>
                  <w:noWrap w:val="0"/>
                  <w:vAlign w:val="center"/>
                </w:tcPr>
                <w:p>
                  <w:pPr>
                    <w:pStyle w:val="6"/>
                    <w:bidi w:val="0"/>
                    <w:rPr>
                      <w:rFonts w:hint="default"/>
                      <w:highlight w:val="none"/>
                    </w:rPr>
                  </w:pPr>
                  <w:r>
                    <w:rPr>
                      <w:rFonts w:hint="default"/>
                      <w:highlight w:val="none"/>
                    </w:rPr>
                    <w:t>土壤环境质量</w:t>
                  </w:r>
                </w:p>
              </w:tc>
              <w:tc>
                <w:tcPr>
                  <w:tcW w:w="424" w:type="pct"/>
                  <w:noWrap w:val="0"/>
                  <w:vAlign w:val="center"/>
                </w:tcPr>
                <w:p>
                  <w:pPr>
                    <w:pStyle w:val="6"/>
                    <w:bidi w:val="0"/>
                    <w:rPr>
                      <w:rFonts w:hint="default"/>
                      <w:highlight w:val="none"/>
                      <w:lang w:val="en-US" w:eastAsia="zh-CN"/>
                    </w:rPr>
                  </w:pPr>
                  <w:r>
                    <w:rPr>
                      <w:rFonts w:hint="default"/>
                      <w:highlight w:val="none"/>
                      <w:lang w:val="en-US" w:eastAsia="zh-CN"/>
                    </w:rPr>
                    <w:t>/</w:t>
                  </w:r>
                </w:p>
              </w:tc>
              <w:tc>
                <w:tcPr>
                  <w:tcW w:w="1557" w:type="pct"/>
                  <w:noWrap w:val="0"/>
                  <w:vAlign w:val="center"/>
                </w:tcPr>
                <w:p>
                  <w:pPr>
                    <w:pStyle w:val="6"/>
                    <w:bidi w:val="0"/>
                    <w:rPr>
                      <w:rFonts w:hint="default"/>
                      <w:highlight w:val="none"/>
                      <w:lang w:val="en-US" w:eastAsia="zh-CN"/>
                    </w:rPr>
                  </w:pPr>
                  <w:r>
                    <w:rPr>
                      <w:rFonts w:hint="default"/>
                      <w:highlight w:val="none"/>
                      <w:lang w:val="en-US" w:eastAsia="zh-CN"/>
                    </w:rPr>
                    <w:t>渠道沿线</w:t>
                  </w:r>
                </w:p>
              </w:tc>
              <w:tc>
                <w:tcPr>
                  <w:tcW w:w="604" w:type="pct"/>
                  <w:noWrap w:val="0"/>
                  <w:vAlign w:val="center"/>
                </w:tcPr>
                <w:p>
                  <w:pPr>
                    <w:pStyle w:val="6"/>
                    <w:bidi w:val="0"/>
                    <w:rPr>
                      <w:rFonts w:hint="default"/>
                      <w:highlight w:val="none"/>
                      <w:lang w:val="en-US" w:eastAsia="zh-CN"/>
                    </w:rPr>
                  </w:pPr>
                  <w:r>
                    <w:rPr>
                      <w:rFonts w:hint="eastAsia"/>
                      <w:highlight w:val="none"/>
                      <w:lang w:val="en-US" w:eastAsia="zh-CN"/>
                    </w:rPr>
                    <w:t>/</w:t>
                  </w:r>
                </w:p>
              </w:tc>
              <w:tc>
                <w:tcPr>
                  <w:tcW w:w="710" w:type="pct"/>
                  <w:noWrap w:val="0"/>
                  <w:vAlign w:val="center"/>
                </w:tcPr>
                <w:p>
                  <w:pPr>
                    <w:pStyle w:val="6"/>
                    <w:bidi w:val="0"/>
                    <w:rPr>
                      <w:rFonts w:hint="default"/>
                      <w:highlight w:val="none"/>
                      <w:lang w:val="en-US" w:eastAsia="zh-CN"/>
                    </w:rPr>
                  </w:pPr>
                  <w:r>
                    <w:rPr>
                      <w:rFonts w:hint="eastAsia"/>
                      <w:highlight w:val="none"/>
                      <w:lang w:val="en-US" w:eastAsia="zh-CN"/>
                    </w:rPr>
                    <w:t>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restart"/>
                  <w:noWrap w:val="0"/>
                  <w:vAlign w:val="center"/>
                </w:tcPr>
                <w:p>
                  <w:pPr>
                    <w:pStyle w:val="6"/>
                    <w:bidi w:val="0"/>
                    <w:rPr>
                      <w:rFonts w:hint="default"/>
                      <w:highlight w:val="none"/>
                      <w:lang w:val="en-US" w:eastAsia="zh-CN"/>
                    </w:rPr>
                  </w:pPr>
                  <w:r>
                    <w:rPr>
                      <w:rFonts w:hint="eastAsia"/>
                      <w:highlight w:val="none"/>
                      <w:lang w:val="en-US" w:eastAsia="zh-CN"/>
                    </w:rPr>
                    <w:t>声环境</w:t>
                  </w:r>
                </w:p>
              </w:tc>
              <w:tc>
                <w:tcPr>
                  <w:tcW w:w="1064" w:type="pct"/>
                  <w:shd w:val="clear" w:color="auto" w:fill="auto"/>
                  <w:noWrap w:val="0"/>
                  <w:vAlign w:val="center"/>
                </w:tcPr>
                <w:p>
                  <w:pPr>
                    <w:pStyle w:val="6"/>
                    <w:bidi w:val="0"/>
                    <w:ind w:firstLine="0" w:firstLineChars="0"/>
                    <w:rPr>
                      <w:rFonts w:hint="default"/>
                      <w:highlight w:val="yellow"/>
                      <w:lang w:val="en-US" w:eastAsia="zh-CN"/>
                    </w:rPr>
                  </w:pPr>
                  <w:r>
                    <w:rPr>
                      <w:rFonts w:hint="eastAsia"/>
                      <w:lang w:val="en-US" w:eastAsia="zh-CN"/>
                    </w:rPr>
                    <w:t>英阿瓦提村</w:t>
                  </w:r>
                </w:p>
              </w:tc>
              <w:tc>
                <w:tcPr>
                  <w:tcW w:w="42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300</w:t>
                  </w:r>
                </w:p>
              </w:tc>
              <w:tc>
                <w:tcPr>
                  <w:tcW w:w="1557"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英阿瓦提1号条田1号渠</w:t>
                  </w:r>
                </w:p>
              </w:tc>
              <w:tc>
                <w:tcPr>
                  <w:tcW w:w="60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3</w:t>
                  </w:r>
                </w:p>
              </w:tc>
              <w:tc>
                <w:tcPr>
                  <w:tcW w:w="710" w:type="pct"/>
                  <w:shd w:val="clear" w:color="auto" w:fill="auto"/>
                  <w:noWrap w:val="0"/>
                  <w:vAlign w:val="center"/>
                </w:tcPr>
                <w:p>
                  <w:pPr>
                    <w:pStyle w:val="6"/>
                    <w:bidi w:val="0"/>
                    <w:rPr>
                      <w:rFonts w:hint="default"/>
                      <w:highlight w:val="none"/>
                      <w:lang w:val="en-US" w:eastAsia="zh-CN"/>
                    </w:rPr>
                  </w:pPr>
                  <w:r>
                    <w:rPr>
                      <w:rFonts w:hint="eastAsia"/>
                      <w:highlight w:val="none"/>
                      <w:lang w:val="en-US" w:eastAsia="zh-CN"/>
                    </w:rPr>
                    <w:t>一</w:t>
                  </w:r>
                  <w:r>
                    <w:rPr>
                      <w:rFonts w:hint="default"/>
                      <w:highlight w:val="none"/>
                      <w:lang w:val="en-US" w:eastAsia="zh-CN"/>
                    </w:rPr>
                    <w:t>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8" w:type="pct"/>
                  <w:vMerge w:val="continue"/>
                  <w:noWrap w:val="0"/>
                  <w:vAlign w:val="center"/>
                </w:tcPr>
                <w:p>
                  <w:pPr>
                    <w:pStyle w:val="6"/>
                    <w:bidi w:val="0"/>
                    <w:rPr>
                      <w:rFonts w:hint="eastAsia"/>
                      <w:highlight w:val="none"/>
                      <w:lang w:val="en-US" w:eastAsia="zh-CN"/>
                    </w:rPr>
                  </w:pPr>
                </w:p>
              </w:tc>
              <w:tc>
                <w:tcPr>
                  <w:tcW w:w="1064" w:type="pct"/>
                  <w:shd w:val="clear" w:color="auto" w:fill="auto"/>
                  <w:noWrap w:val="0"/>
                  <w:vAlign w:val="center"/>
                </w:tcPr>
                <w:p>
                  <w:pPr>
                    <w:pStyle w:val="6"/>
                    <w:bidi w:val="0"/>
                    <w:ind w:firstLine="0" w:firstLineChars="0"/>
                    <w:rPr>
                      <w:rFonts w:hint="eastAsia"/>
                      <w:highlight w:val="yellow"/>
                      <w:lang w:val="en-US" w:eastAsia="zh-CN"/>
                    </w:rPr>
                  </w:pPr>
                  <w:r>
                    <w:rPr>
                      <w:rFonts w:hint="eastAsia"/>
                      <w:lang w:val="en-US" w:eastAsia="zh-CN"/>
                    </w:rPr>
                    <w:t>亚喀吾斯塘村</w:t>
                  </w:r>
                </w:p>
              </w:tc>
              <w:tc>
                <w:tcPr>
                  <w:tcW w:w="42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100</w:t>
                  </w:r>
                </w:p>
              </w:tc>
              <w:tc>
                <w:tcPr>
                  <w:tcW w:w="1557"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娜孜艾日克1-1号渠北侧</w:t>
                  </w:r>
                </w:p>
              </w:tc>
              <w:tc>
                <w:tcPr>
                  <w:tcW w:w="60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3</w:t>
                  </w:r>
                </w:p>
              </w:tc>
              <w:tc>
                <w:tcPr>
                  <w:tcW w:w="710" w:type="pct"/>
                  <w:shd w:val="clear" w:color="auto" w:fill="auto"/>
                  <w:noWrap w:val="0"/>
                  <w:vAlign w:val="center"/>
                </w:tcPr>
                <w:p>
                  <w:pPr>
                    <w:pStyle w:val="6"/>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一</w:t>
                  </w:r>
                  <w:r>
                    <w:rPr>
                      <w:rFonts w:hint="default"/>
                      <w:highlight w:val="none"/>
                      <w:lang w:val="en-US" w:eastAsia="zh-CN"/>
                    </w:rPr>
                    <w:t>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bidi w:val="0"/>
                    <w:rPr>
                      <w:rFonts w:hint="eastAsia"/>
                      <w:highlight w:val="none"/>
                      <w:lang w:val="en-US" w:eastAsia="zh-CN"/>
                    </w:rPr>
                  </w:pPr>
                </w:p>
              </w:tc>
              <w:tc>
                <w:tcPr>
                  <w:tcW w:w="1064" w:type="pct"/>
                  <w:shd w:val="clear" w:color="auto" w:fill="auto"/>
                  <w:noWrap w:val="0"/>
                  <w:vAlign w:val="center"/>
                </w:tcPr>
                <w:p>
                  <w:pPr>
                    <w:pStyle w:val="6"/>
                    <w:bidi w:val="0"/>
                    <w:ind w:firstLine="0" w:firstLineChars="0"/>
                    <w:rPr>
                      <w:rFonts w:hint="eastAsia"/>
                      <w:highlight w:val="yellow"/>
                      <w:lang w:val="en-US" w:eastAsia="zh-CN"/>
                    </w:rPr>
                  </w:pPr>
                  <w:r>
                    <w:rPr>
                      <w:rFonts w:hint="eastAsia"/>
                      <w:lang w:val="en-US" w:eastAsia="zh-CN"/>
                    </w:rPr>
                    <w:t>努尔巴格村</w:t>
                  </w:r>
                </w:p>
              </w:tc>
              <w:tc>
                <w:tcPr>
                  <w:tcW w:w="42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300</w:t>
                  </w:r>
                </w:p>
              </w:tc>
              <w:tc>
                <w:tcPr>
                  <w:tcW w:w="1557"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亚克吾斯塘1号渠东侧</w:t>
                  </w:r>
                </w:p>
              </w:tc>
              <w:tc>
                <w:tcPr>
                  <w:tcW w:w="60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3</w:t>
                  </w:r>
                </w:p>
              </w:tc>
              <w:tc>
                <w:tcPr>
                  <w:tcW w:w="710" w:type="pct"/>
                  <w:shd w:val="clear" w:color="auto" w:fill="auto"/>
                  <w:noWrap w:val="0"/>
                  <w:vAlign w:val="center"/>
                </w:tcPr>
                <w:p>
                  <w:pPr>
                    <w:pStyle w:val="6"/>
                    <w:bidi w:val="0"/>
                    <w:rPr>
                      <w:rFonts w:hint="eastAsia"/>
                      <w:highlight w:val="none"/>
                      <w:lang w:val="en-US" w:eastAsia="zh-CN"/>
                    </w:rPr>
                  </w:pPr>
                  <w:r>
                    <w:rPr>
                      <w:rFonts w:hint="eastAsia"/>
                      <w:highlight w:val="none"/>
                      <w:lang w:val="en-US" w:eastAsia="zh-CN"/>
                    </w:rPr>
                    <w:t>一</w:t>
                  </w:r>
                  <w:r>
                    <w:rPr>
                      <w:rFonts w:hint="default"/>
                      <w:highlight w:val="none"/>
                      <w:lang w:val="en-US" w:eastAsia="zh-CN"/>
                    </w:rPr>
                    <w:t>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bidi w:val="0"/>
                    <w:rPr>
                      <w:rFonts w:hint="default"/>
                      <w:highlight w:val="none"/>
                      <w:lang w:val="en-US" w:eastAsia="zh-CN"/>
                    </w:rPr>
                  </w:pPr>
                  <w:r>
                    <w:rPr>
                      <w:rFonts w:hint="eastAsia"/>
                      <w:highlight w:val="none"/>
                      <w:lang w:val="en-US" w:eastAsia="zh-CN"/>
                    </w:rPr>
                    <w:t>水环境</w:t>
                  </w:r>
                </w:p>
              </w:tc>
              <w:tc>
                <w:tcPr>
                  <w:tcW w:w="106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若羌河</w:t>
                  </w:r>
                </w:p>
              </w:tc>
              <w:tc>
                <w:tcPr>
                  <w:tcW w:w="424"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w:t>
                  </w:r>
                </w:p>
              </w:tc>
              <w:tc>
                <w:tcPr>
                  <w:tcW w:w="1557" w:type="pct"/>
                  <w:shd w:val="clear" w:color="auto" w:fill="auto"/>
                  <w:noWrap w:val="0"/>
                  <w:vAlign w:val="center"/>
                </w:tcPr>
                <w:p>
                  <w:pPr>
                    <w:pStyle w:val="6"/>
                    <w:bidi w:val="0"/>
                    <w:ind w:firstLine="0" w:firstLineChars="0"/>
                    <w:rPr>
                      <w:rFonts w:hint="default"/>
                      <w:highlight w:val="none"/>
                      <w:lang w:val="en-US" w:eastAsia="zh-CN"/>
                    </w:rPr>
                  </w:pPr>
                  <w:r>
                    <w:rPr>
                      <w:rFonts w:hint="eastAsia"/>
                      <w:highlight w:val="none"/>
                      <w:lang w:val="en-US" w:eastAsia="zh-CN"/>
                    </w:rPr>
                    <w:t>渠道西侧</w:t>
                  </w:r>
                </w:p>
              </w:tc>
              <w:tc>
                <w:tcPr>
                  <w:tcW w:w="604" w:type="pct"/>
                  <w:shd w:val="clear" w:color="auto" w:fill="auto"/>
                  <w:noWrap w:val="0"/>
                  <w:vAlign w:val="center"/>
                </w:tcPr>
                <w:p>
                  <w:pPr>
                    <w:pStyle w:val="6"/>
                    <w:bidi w:val="0"/>
                    <w:ind w:firstLine="0" w:firstLineChars="0"/>
                    <w:rPr>
                      <w:rFonts w:hint="default"/>
                      <w:highlight w:val="yellow"/>
                      <w:lang w:val="en-US" w:eastAsia="zh-CN"/>
                    </w:rPr>
                  </w:pPr>
                  <w:r>
                    <w:rPr>
                      <w:rFonts w:hint="eastAsia"/>
                      <w:highlight w:val="none"/>
                      <w:lang w:val="en-US" w:eastAsia="zh-CN"/>
                    </w:rPr>
                    <w:t>140</w:t>
                  </w:r>
                </w:p>
              </w:tc>
              <w:tc>
                <w:tcPr>
                  <w:tcW w:w="710" w:type="pct"/>
                  <w:shd w:val="clear" w:color="auto" w:fill="auto"/>
                  <w:noWrap w:val="0"/>
                  <w:vAlign w:val="center"/>
                </w:tcPr>
                <w:p>
                  <w:pPr>
                    <w:pStyle w:val="6"/>
                    <w:bidi w:val="0"/>
                    <w:rPr>
                      <w:rFonts w:hint="default"/>
                      <w:highlight w:val="yellow"/>
                      <w:lang w:val="en-US" w:eastAsia="zh-CN"/>
                    </w:rPr>
                  </w:pPr>
                  <w:r>
                    <w:rPr>
                      <w:rFonts w:hint="eastAsia"/>
                      <w:highlight w:val="none"/>
                      <w:lang w:val="en-US" w:eastAsia="zh-CN"/>
                    </w:rPr>
                    <w:t>Ⅲ类</w:t>
                  </w:r>
                </w:p>
              </w:tc>
            </w:tr>
          </w:tbl>
          <w:p>
            <w:pPr>
              <w:adjustRightInd w:val="0"/>
              <w:snapToGrid w:val="0"/>
              <w:rPr>
                <w:rFonts w:ascii="宋体" w:hAnsi="宋体"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color w:val="auto"/>
                <w:kern w:val="0"/>
                <w:sz w:val="21"/>
                <w:szCs w:val="21"/>
              </w:rPr>
            </w:pPr>
            <w:r>
              <w:rPr>
                <w:rFonts w:hint="eastAsia" w:ascii="宋体" w:hAnsi="宋体" w:cs="宋体"/>
                <w:color w:val="auto"/>
                <w:kern w:val="0"/>
                <w:sz w:val="21"/>
                <w:szCs w:val="21"/>
              </w:rPr>
              <w:t>评价</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0"/>
                <w:szCs w:val="21"/>
              </w:rPr>
            </w:pPr>
            <w:r>
              <w:rPr>
                <w:rFonts w:hint="eastAsia" w:ascii="宋体" w:hAnsi="宋体" w:cs="宋体"/>
                <w:color w:val="auto"/>
                <w:kern w:val="0"/>
                <w:sz w:val="21"/>
                <w:szCs w:val="21"/>
              </w:rPr>
              <w:t>标准</w:t>
            </w:r>
          </w:p>
        </w:tc>
        <w:tc>
          <w:tcPr>
            <w:tcW w:w="8253" w:type="dxa"/>
            <w:noWrap w:val="0"/>
            <w:vAlign w:val="center"/>
          </w:tcPr>
          <w:p>
            <w:pPr>
              <w:pStyle w:val="3"/>
              <w:bidi w:val="0"/>
              <w:rPr>
                <w:rFonts w:hint="default"/>
              </w:rPr>
            </w:pPr>
            <w:r>
              <w:rPr>
                <w:rFonts w:hint="default"/>
              </w:rPr>
              <w:t>1</w:t>
            </w:r>
            <w:r>
              <w:rPr>
                <w:rFonts w:hint="eastAsia"/>
                <w:lang w:val="en-US" w:eastAsia="zh-CN"/>
              </w:rPr>
              <w:t xml:space="preserve"> </w:t>
            </w:r>
            <w:r>
              <w:rPr>
                <w:rFonts w:hint="default"/>
              </w:rPr>
              <w:t>环境质量标准</w:t>
            </w:r>
          </w:p>
          <w:p>
            <w:pPr>
              <w:pStyle w:val="3"/>
              <w:bidi w:val="0"/>
              <w:rPr>
                <w:rFonts w:hint="default"/>
                <w:lang w:val="en-US" w:eastAsia="zh-CN"/>
              </w:rPr>
            </w:pPr>
            <w:r>
              <w:rPr>
                <w:rFonts w:hint="eastAsia"/>
                <w:lang w:val="en-US" w:eastAsia="zh-CN"/>
              </w:rPr>
              <w:t xml:space="preserve">1.1 </w:t>
            </w:r>
            <w:r>
              <w:rPr>
                <w:rFonts w:hint="default"/>
                <w:lang w:val="en-US" w:eastAsia="zh-CN"/>
              </w:rPr>
              <w:t>环境空气</w:t>
            </w:r>
          </w:p>
          <w:p>
            <w:pPr>
              <w:bidi w:val="0"/>
              <w:rPr>
                <w:rFonts w:hint="eastAsia" w:eastAsia="宋体"/>
                <w:lang w:eastAsia="zh-CN"/>
              </w:rPr>
            </w:pPr>
            <w:r>
              <w:rPr>
                <w:rFonts w:hint="default"/>
                <w:lang w:val="en-US" w:eastAsia="zh-CN"/>
              </w:rPr>
              <w:t>《环境空气质量标准》（GB3095-2026）过渡阶段的二级标准</w:t>
            </w:r>
            <w:r>
              <w:rPr>
                <w:rFonts w:hint="eastAsia"/>
                <w:lang w:val="en-US" w:eastAsia="zh-CN"/>
              </w:rPr>
              <w:t>。</w:t>
            </w:r>
          </w:p>
          <w:p>
            <w:pPr>
              <w:pStyle w:val="3"/>
              <w:bidi w:val="0"/>
              <w:rPr>
                <w:rFonts w:hint="default"/>
                <w:lang w:val="en-US" w:eastAsia="zh-CN"/>
              </w:rPr>
            </w:pPr>
            <w:r>
              <w:rPr>
                <w:rFonts w:hint="eastAsia"/>
                <w:lang w:val="en-US" w:eastAsia="zh-CN"/>
              </w:rPr>
              <w:t xml:space="preserve">1.2 </w:t>
            </w:r>
            <w:r>
              <w:rPr>
                <w:rFonts w:hint="default"/>
                <w:lang w:val="en-US" w:eastAsia="zh-CN"/>
              </w:rPr>
              <w:t>声环境</w:t>
            </w:r>
          </w:p>
          <w:p>
            <w:pPr>
              <w:bidi w:val="0"/>
              <w:rPr>
                <w:rFonts w:hint="default"/>
                <w:lang w:val="en-US" w:eastAsia="zh-CN"/>
              </w:rPr>
            </w:pPr>
            <w:r>
              <w:rPr>
                <w:rFonts w:hint="default"/>
                <w:lang w:eastAsia="zh-CN"/>
              </w:rPr>
              <w:t>《</w:t>
            </w:r>
            <w:r>
              <w:rPr>
                <w:rFonts w:hint="default"/>
              </w:rPr>
              <w:t>声环境质量标准</w:t>
            </w:r>
            <w:r>
              <w:rPr>
                <w:rFonts w:hint="default"/>
                <w:lang w:eastAsia="zh-CN"/>
              </w:rPr>
              <w:t>》</w:t>
            </w:r>
            <w:r>
              <w:rPr>
                <w:rFonts w:hint="default"/>
              </w:rPr>
              <w:t>（GB 3096－2008）</w:t>
            </w:r>
            <w:r>
              <w:rPr>
                <w:rFonts w:hint="default"/>
                <w:lang w:val="en-US" w:eastAsia="zh-CN"/>
              </w:rPr>
              <w:t>1类标准。</w:t>
            </w:r>
          </w:p>
          <w:p>
            <w:pPr>
              <w:pStyle w:val="3"/>
              <w:bidi w:val="0"/>
              <w:rPr>
                <w:rFonts w:hint="default"/>
                <w:lang w:val="en-US" w:eastAsia="zh-CN"/>
              </w:rPr>
            </w:pPr>
            <w:r>
              <w:rPr>
                <w:rFonts w:hint="eastAsia"/>
                <w:lang w:val="en-US" w:eastAsia="zh-CN"/>
              </w:rPr>
              <w:t xml:space="preserve">1.3 </w:t>
            </w:r>
            <w:r>
              <w:rPr>
                <w:rFonts w:hint="default"/>
                <w:lang w:val="en-US" w:eastAsia="zh-CN"/>
              </w:rPr>
              <w:t>水环境</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480" w:firstLineChars="200"/>
              <w:jc w:val="left"/>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若羌河</w:t>
            </w:r>
            <w:r>
              <w:rPr>
                <w:rFonts w:hint="default" w:ascii="Times New Roman" w:hAnsi="Times New Roman" w:eastAsia="宋体" w:cs="Times New Roman"/>
                <w:color w:val="auto"/>
                <w:sz w:val="24"/>
                <w:szCs w:val="24"/>
                <w:highlight w:val="none"/>
                <w:lang w:eastAsia="zh-CN"/>
              </w:rPr>
              <w:t>执行</w:t>
            </w:r>
            <w:r>
              <w:rPr>
                <w:rFonts w:hint="default" w:ascii="Times New Roman" w:hAnsi="Times New Roman" w:eastAsia="宋体" w:cs="Times New Roman"/>
                <w:color w:val="auto"/>
                <w:sz w:val="24"/>
                <w:szCs w:val="24"/>
                <w:highlight w:val="none"/>
              </w:rPr>
              <w:t>《地表水环境质量标准》（GB3838—2002）</w:t>
            </w:r>
            <w:r>
              <w:rPr>
                <w:rFonts w:hint="default" w:ascii="Times New Roman" w:hAnsi="Times New Roman" w:cs="Times New Roman"/>
                <w:color w:val="auto"/>
                <w:sz w:val="24"/>
                <w:szCs w:val="24"/>
                <w:highlight w:val="none"/>
                <w:lang w:val="en-US" w:eastAsia="zh-CN"/>
              </w:rPr>
              <w:t>Ⅲ</w:t>
            </w:r>
            <w:r>
              <w:rPr>
                <w:rFonts w:hint="default" w:ascii="Times New Roman" w:hAnsi="Times New Roman" w:eastAsia="宋体" w:cs="Times New Roman"/>
                <w:color w:val="auto"/>
                <w:sz w:val="24"/>
                <w:szCs w:val="24"/>
                <w:highlight w:val="none"/>
              </w:rPr>
              <w:t>类标准；</w:t>
            </w:r>
          </w:p>
          <w:p>
            <w:pPr>
              <w:pStyle w:val="3"/>
              <w:bidi w:val="0"/>
              <w:rPr>
                <w:rFonts w:hint="default"/>
              </w:rPr>
            </w:pPr>
            <w:r>
              <w:rPr>
                <w:rFonts w:hint="default"/>
              </w:rPr>
              <w:t>2</w:t>
            </w:r>
            <w:r>
              <w:rPr>
                <w:rFonts w:hint="eastAsia"/>
                <w:lang w:val="en-US" w:eastAsia="zh-CN"/>
              </w:rPr>
              <w:t xml:space="preserve"> </w:t>
            </w:r>
            <w:r>
              <w:rPr>
                <w:rFonts w:hint="default"/>
              </w:rPr>
              <w:t>污染物排放标准</w:t>
            </w:r>
          </w:p>
          <w:p>
            <w:pPr>
              <w:pStyle w:val="3"/>
              <w:bidi w:val="0"/>
              <w:rPr>
                <w:rFonts w:hint="default"/>
                <w:lang w:val="en-US" w:eastAsia="zh-CN"/>
              </w:rPr>
            </w:pPr>
            <w:r>
              <w:rPr>
                <w:rFonts w:hint="eastAsia"/>
                <w:lang w:val="en-US" w:eastAsia="zh-CN"/>
              </w:rPr>
              <w:t xml:space="preserve">2.1 </w:t>
            </w:r>
            <w:r>
              <w:rPr>
                <w:rFonts w:hint="default"/>
                <w:lang w:val="en-US" w:eastAsia="zh-CN"/>
              </w:rPr>
              <w:t>大气污染物排放标准</w:t>
            </w:r>
          </w:p>
          <w:p>
            <w:pPr>
              <w:bidi w:val="0"/>
              <w:rPr>
                <w:rFonts w:hint="eastAsia"/>
                <w:lang w:val="en-US" w:eastAsia="zh-CN"/>
              </w:rPr>
            </w:pPr>
            <w:r>
              <w:rPr>
                <w:rFonts w:hint="default"/>
                <w:lang w:val="en-US" w:eastAsia="zh-CN"/>
              </w:rPr>
              <w:t>施工期</w:t>
            </w:r>
            <w:r>
              <w:rPr>
                <w:rFonts w:hint="eastAsia"/>
                <w:lang w:val="en-US" w:eastAsia="zh-CN"/>
              </w:rPr>
              <w:t>颗粒物</w:t>
            </w:r>
            <w:r>
              <w:rPr>
                <w:rFonts w:hint="default"/>
              </w:rPr>
              <w:t>执行《大气污染物综合排放标准》</w:t>
            </w:r>
            <w:r>
              <w:rPr>
                <w:rFonts w:hint="eastAsia"/>
                <w:lang w:eastAsia="zh-CN"/>
              </w:rPr>
              <w:t>（</w:t>
            </w:r>
            <w:r>
              <w:rPr>
                <w:rFonts w:hint="default"/>
              </w:rPr>
              <w:t>GB16297-1996</w:t>
            </w:r>
            <w:r>
              <w:rPr>
                <w:rFonts w:hint="eastAsia"/>
                <w:lang w:eastAsia="zh-CN"/>
              </w:rPr>
              <w:t>）</w:t>
            </w:r>
            <w:r>
              <w:rPr>
                <w:rFonts w:hint="default"/>
              </w:rPr>
              <w:t>无组织排放监控浓度限值</w:t>
            </w:r>
            <w:r>
              <w:rPr>
                <w:rFonts w:hint="eastAsia"/>
                <w:lang w:eastAsia="zh-CN"/>
              </w:rPr>
              <w:t>，</w:t>
            </w:r>
            <w:r>
              <w:rPr>
                <w:rFonts w:hint="eastAsia"/>
                <w:lang w:val="en-US" w:eastAsia="zh-CN"/>
              </w:rPr>
              <w:t>施工机械烟气参照执行《非道路移动机械用柴油机排气污染物排放限值及测量方法（中国第三、四阶段）》（GB20891-2014）修改单以及《非道路柴油移动机械污染物排放控制技术要求》（HJ1014-2020）。</w:t>
            </w:r>
          </w:p>
          <w:p>
            <w:pPr>
              <w:pStyle w:val="5"/>
              <w:bidi w:val="0"/>
              <w:rPr>
                <w:rFonts w:hint="default"/>
              </w:rPr>
            </w:pPr>
            <w:r>
              <w:rPr>
                <w:rFonts w:hint="default"/>
              </w:rPr>
              <w:t>表3-</w:t>
            </w:r>
            <w:r>
              <w:rPr>
                <w:rFonts w:hint="eastAsia"/>
                <w:lang w:val="en-US" w:eastAsia="zh-CN"/>
              </w:rPr>
              <w:t>6</w:t>
            </w:r>
            <w:r>
              <w:rPr>
                <w:rFonts w:hint="default"/>
              </w:rPr>
              <w:t xml:space="preserve">  施工期无组织废气执行标准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32"/>
              <w:gridCol w:w="1371"/>
              <w:gridCol w:w="1013"/>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39" w:type="pct"/>
                  <w:noWrap w:val="0"/>
                  <w:vAlign w:val="center"/>
                </w:tcPr>
                <w:p>
                  <w:pPr>
                    <w:pStyle w:val="6"/>
                    <w:bidi w:val="0"/>
                    <w:rPr>
                      <w:rFonts w:hint="default"/>
                      <w:lang w:val="en-US" w:eastAsia="zh-CN"/>
                    </w:rPr>
                  </w:pPr>
                  <w:r>
                    <w:rPr>
                      <w:rFonts w:hint="eastAsia"/>
                      <w:lang w:val="en-US" w:eastAsia="zh-CN"/>
                    </w:rPr>
                    <w:t>污染源</w:t>
                  </w:r>
                </w:p>
              </w:tc>
              <w:tc>
                <w:tcPr>
                  <w:tcW w:w="643" w:type="pct"/>
                  <w:noWrap w:val="0"/>
                  <w:vAlign w:val="center"/>
                </w:tcPr>
                <w:p>
                  <w:pPr>
                    <w:pStyle w:val="6"/>
                    <w:bidi w:val="0"/>
                    <w:rPr>
                      <w:rFonts w:hint="default"/>
                      <w:lang w:val="en-US" w:eastAsia="zh-CN"/>
                    </w:rPr>
                  </w:pPr>
                  <w:r>
                    <w:rPr>
                      <w:rFonts w:hint="default"/>
                      <w:lang w:val="en-US" w:eastAsia="zh-CN"/>
                    </w:rPr>
                    <w:t>污染物</w:t>
                  </w:r>
                </w:p>
              </w:tc>
              <w:tc>
                <w:tcPr>
                  <w:tcW w:w="854" w:type="pct"/>
                  <w:noWrap w:val="0"/>
                  <w:vAlign w:val="center"/>
                </w:tcPr>
                <w:p>
                  <w:pPr>
                    <w:pStyle w:val="6"/>
                    <w:bidi w:val="0"/>
                    <w:rPr>
                      <w:rFonts w:hint="default"/>
                      <w:lang w:val="en-US" w:eastAsia="zh-CN"/>
                    </w:rPr>
                  </w:pPr>
                  <w:r>
                    <w:rPr>
                      <w:rFonts w:hint="eastAsia"/>
                      <w:lang w:val="en-US" w:eastAsia="zh-CN"/>
                    </w:rPr>
                    <w:t>浓度限值</w:t>
                  </w:r>
                </w:p>
              </w:tc>
              <w:tc>
                <w:tcPr>
                  <w:tcW w:w="631" w:type="pct"/>
                  <w:noWrap w:val="0"/>
                  <w:vAlign w:val="center"/>
                </w:tcPr>
                <w:p>
                  <w:pPr>
                    <w:pStyle w:val="6"/>
                    <w:bidi w:val="0"/>
                    <w:rPr>
                      <w:rFonts w:hint="default"/>
                      <w:lang w:val="en-US" w:eastAsia="zh-CN"/>
                    </w:rPr>
                  </w:pPr>
                  <w:r>
                    <w:rPr>
                      <w:rFonts w:hint="eastAsia"/>
                      <w:lang w:val="en-US" w:eastAsia="zh-CN"/>
                    </w:rPr>
                    <w:t>排放速率（kg/h）</w:t>
                  </w:r>
                </w:p>
              </w:tc>
              <w:tc>
                <w:tcPr>
                  <w:tcW w:w="2331" w:type="pct"/>
                  <w:noWrap w:val="0"/>
                  <w:vAlign w:val="center"/>
                </w:tcPr>
                <w:p>
                  <w:pPr>
                    <w:pStyle w:val="6"/>
                    <w:bidi w:val="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noWrap w:val="0"/>
                  <w:vAlign w:val="center"/>
                </w:tcPr>
                <w:p>
                  <w:pPr>
                    <w:pStyle w:val="6"/>
                    <w:bidi w:val="0"/>
                    <w:rPr>
                      <w:rFonts w:hint="default"/>
                      <w:lang w:val="en-US" w:eastAsia="zh-CN"/>
                    </w:rPr>
                  </w:pPr>
                  <w:r>
                    <w:rPr>
                      <w:rFonts w:hint="eastAsia"/>
                      <w:lang w:val="en-US" w:eastAsia="zh-CN"/>
                    </w:rPr>
                    <w:t>无组织</w:t>
                  </w:r>
                </w:p>
              </w:tc>
              <w:tc>
                <w:tcPr>
                  <w:tcW w:w="643" w:type="pct"/>
                  <w:noWrap w:val="0"/>
                  <w:vAlign w:val="center"/>
                </w:tcPr>
                <w:p>
                  <w:pPr>
                    <w:pStyle w:val="6"/>
                    <w:bidi w:val="0"/>
                    <w:rPr>
                      <w:rFonts w:hint="default"/>
                      <w:lang w:val="en-US" w:eastAsia="zh-CN"/>
                    </w:rPr>
                  </w:pPr>
                  <w:r>
                    <w:rPr>
                      <w:rFonts w:hint="default"/>
                      <w:lang w:val="en-US" w:eastAsia="zh-CN"/>
                    </w:rPr>
                    <w:t>颗粒物</w:t>
                  </w:r>
                </w:p>
              </w:tc>
              <w:tc>
                <w:tcPr>
                  <w:tcW w:w="854" w:type="pct"/>
                  <w:noWrap w:val="0"/>
                  <w:vAlign w:val="center"/>
                </w:tcPr>
                <w:p>
                  <w:pPr>
                    <w:pStyle w:val="6"/>
                    <w:bidi w:val="0"/>
                    <w:rPr>
                      <w:rFonts w:hint="default"/>
                      <w:lang w:val="en-US" w:eastAsia="zh-CN"/>
                    </w:rPr>
                  </w:pPr>
                  <w:r>
                    <w:rPr>
                      <w:rFonts w:hint="default"/>
                      <w:lang w:val="en-US" w:eastAsia="zh-CN"/>
                    </w:rPr>
                    <w:t>1mg/m</w:t>
                  </w:r>
                  <w:r>
                    <w:rPr>
                      <w:rFonts w:hint="default"/>
                      <w:vertAlign w:val="superscript"/>
                      <w:lang w:val="en-US" w:eastAsia="zh-CN"/>
                    </w:rPr>
                    <w:t>3</w:t>
                  </w:r>
                </w:p>
              </w:tc>
              <w:tc>
                <w:tcPr>
                  <w:tcW w:w="631" w:type="pct"/>
                  <w:noWrap w:val="0"/>
                  <w:vAlign w:val="center"/>
                </w:tcPr>
                <w:p>
                  <w:pPr>
                    <w:pStyle w:val="6"/>
                    <w:bidi w:val="0"/>
                    <w:rPr>
                      <w:rFonts w:hint="default"/>
                      <w:lang w:val="en-US" w:eastAsia="zh-CN"/>
                    </w:rPr>
                  </w:pPr>
                  <w:r>
                    <w:rPr>
                      <w:rFonts w:hint="eastAsia"/>
                      <w:lang w:val="en-US" w:eastAsia="zh-CN"/>
                    </w:rPr>
                    <w:t>/</w:t>
                  </w:r>
                </w:p>
              </w:tc>
              <w:tc>
                <w:tcPr>
                  <w:tcW w:w="2331" w:type="pct"/>
                  <w:noWrap w:val="0"/>
                  <w:vAlign w:val="center"/>
                </w:tcPr>
                <w:p>
                  <w:pPr>
                    <w:pStyle w:val="6"/>
                    <w:bidi w:val="0"/>
                    <w:rPr>
                      <w:rFonts w:hint="default"/>
                      <w:lang w:val="en-US" w:eastAsia="zh-CN"/>
                    </w:rPr>
                  </w:pPr>
                  <w:r>
                    <w:rPr>
                      <w:rFonts w:hint="default"/>
                      <w:lang w:val="en-US" w:eastAsia="zh-CN"/>
                    </w:rPr>
                    <w:t>《大气污染物综合排放标准》</w:t>
                  </w:r>
                </w:p>
                <w:p>
                  <w:pPr>
                    <w:pStyle w:val="6"/>
                    <w:bidi w:val="0"/>
                    <w:rPr>
                      <w:rFonts w:hint="default"/>
                      <w:lang w:val="en-US" w:eastAsia="zh-CN"/>
                    </w:rPr>
                  </w:pPr>
                  <w:r>
                    <w:rPr>
                      <w:rFonts w:hint="default"/>
                      <w:lang w:val="en-US" w:eastAsia="zh-CN"/>
                    </w:rPr>
                    <w:t>（GB16297-1996）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restart"/>
                  <w:noWrap w:val="0"/>
                  <w:vAlign w:val="center"/>
                </w:tcPr>
                <w:p>
                  <w:pPr>
                    <w:pStyle w:val="6"/>
                    <w:bidi w:val="0"/>
                    <w:rPr>
                      <w:rFonts w:hint="default"/>
                      <w:lang w:val="en-US" w:eastAsia="zh-CN"/>
                    </w:rPr>
                  </w:pPr>
                  <w:r>
                    <w:rPr>
                      <w:rFonts w:hint="eastAsia"/>
                      <w:lang w:val="en-US" w:eastAsia="zh-CN"/>
                    </w:rPr>
                    <w:t>非道路移动机械烟气</w:t>
                  </w:r>
                </w:p>
              </w:tc>
              <w:tc>
                <w:tcPr>
                  <w:tcW w:w="643" w:type="pct"/>
                  <w:noWrap w:val="0"/>
                  <w:vAlign w:val="center"/>
                </w:tcPr>
                <w:p>
                  <w:pPr>
                    <w:pStyle w:val="6"/>
                    <w:bidi w:val="0"/>
                    <w:rPr>
                      <w:rFonts w:hint="default"/>
                      <w:lang w:val="en-US" w:eastAsia="zh-CN"/>
                    </w:rPr>
                  </w:pPr>
                  <w:r>
                    <w:rPr>
                      <w:rFonts w:hint="eastAsia"/>
                    </w:rPr>
                    <w:t>CO</w:t>
                  </w:r>
                </w:p>
              </w:tc>
              <w:tc>
                <w:tcPr>
                  <w:tcW w:w="854" w:type="pct"/>
                  <w:noWrap w:val="0"/>
                  <w:vAlign w:val="center"/>
                </w:tcPr>
                <w:p>
                  <w:pPr>
                    <w:pStyle w:val="6"/>
                    <w:bidi w:val="0"/>
                    <w:rPr>
                      <w:rFonts w:hint="default"/>
                      <w:lang w:val="en-US" w:eastAsia="zh-CN"/>
                    </w:rPr>
                  </w:pPr>
                  <w:r>
                    <w:rPr>
                      <w:rFonts w:hint="eastAsia"/>
                    </w:rPr>
                    <w:t>3.5g/kW</w:t>
                  </w:r>
                  <w:r>
                    <w:rPr>
                      <w:rFonts w:hint="eastAsia"/>
                      <w:lang w:val="en-US" w:eastAsia="zh-CN"/>
                    </w:rPr>
                    <w:t>·</w:t>
                  </w:r>
                  <w:r>
                    <w:rPr>
                      <w:rFonts w:hint="eastAsia"/>
                    </w:rPr>
                    <w:t>h</w:t>
                  </w:r>
                </w:p>
              </w:tc>
              <w:tc>
                <w:tcPr>
                  <w:tcW w:w="631" w:type="pct"/>
                  <w:noWrap w:val="0"/>
                  <w:vAlign w:val="center"/>
                </w:tcPr>
                <w:p>
                  <w:pPr>
                    <w:pStyle w:val="6"/>
                    <w:bidi w:val="0"/>
                    <w:rPr>
                      <w:rFonts w:hint="eastAsia" w:eastAsia="宋体"/>
                      <w:lang w:val="en-US" w:eastAsia="zh-CN"/>
                    </w:rPr>
                  </w:pPr>
                  <w:r>
                    <w:rPr>
                      <w:rFonts w:hint="eastAsia"/>
                      <w:lang w:val="en-US" w:eastAsia="zh-CN"/>
                    </w:rPr>
                    <w:t>/</w:t>
                  </w:r>
                </w:p>
              </w:tc>
              <w:tc>
                <w:tcPr>
                  <w:tcW w:w="2331" w:type="pct"/>
                  <w:vMerge w:val="restart"/>
                  <w:noWrap w:val="0"/>
                  <w:vAlign w:val="center"/>
                </w:tcPr>
                <w:p>
                  <w:pPr>
                    <w:pStyle w:val="6"/>
                    <w:bidi w:val="0"/>
                    <w:rPr>
                      <w:rFonts w:hint="default"/>
                      <w:lang w:val="en-US" w:eastAsia="zh-CN"/>
                    </w:rPr>
                  </w:pPr>
                  <w:r>
                    <w:rPr>
                      <w:rFonts w:hint="eastAsia"/>
                    </w:rPr>
                    <w:t>《非道路移动机械用柴油机排气污染物排放限值及测量方法(中国第三、四阶段)》(GB20891-2014)修改单以及《非道路柴油移动机械污染物排放控制技术要求》（HJ1014-2020）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bidi w:val="0"/>
                    <w:rPr>
                      <w:rFonts w:hint="eastAsia"/>
                      <w:lang w:val="en-US" w:eastAsia="zh-CN"/>
                    </w:rPr>
                  </w:pPr>
                </w:p>
              </w:tc>
              <w:tc>
                <w:tcPr>
                  <w:tcW w:w="643" w:type="pct"/>
                  <w:noWrap w:val="0"/>
                  <w:vAlign w:val="center"/>
                </w:tcPr>
                <w:p>
                  <w:pPr>
                    <w:pStyle w:val="6"/>
                    <w:bidi w:val="0"/>
                    <w:rPr>
                      <w:rFonts w:hint="default"/>
                      <w:lang w:val="en-US" w:eastAsia="zh-CN"/>
                    </w:rPr>
                  </w:pPr>
                  <w:r>
                    <w:rPr>
                      <w:rFonts w:hint="eastAsia"/>
                    </w:rPr>
                    <w:t>HC</w:t>
                  </w:r>
                </w:p>
              </w:tc>
              <w:tc>
                <w:tcPr>
                  <w:tcW w:w="854" w:type="pct"/>
                  <w:noWrap w:val="0"/>
                  <w:vAlign w:val="center"/>
                </w:tcPr>
                <w:p>
                  <w:pPr>
                    <w:pStyle w:val="6"/>
                    <w:bidi w:val="0"/>
                    <w:rPr>
                      <w:rFonts w:hint="eastAsia"/>
                      <w:lang w:val="en-US" w:eastAsia="zh-CN"/>
                    </w:rPr>
                  </w:pPr>
                  <w:r>
                    <w:rPr>
                      <w:rFonts w:hint="eastAsia"/>
                    </w:rPr>
                    <w:t>--</w:t>
                  </w:r>
                </w:p>
              </w:tc>
              <w:tc>
                <w:tcPr>
                  <w:tcW w:w="631" w:type="pct"/>
                  <w:noWrap w:val="0"/>
                  <w:vAlign w:val="center"/>
                </w:tcPr>
                <w:p>
                  <w:pPr>
                    <w:pStyle w:val="6"/>
                    <w:bidi w:val="0"/>
                    <w:rPr>
                      <w:rFonts w:hint="eastAsia"/>
                      <w:lang w:val="en-US" w:eastAsia="zh-CN"/>
                    </w:rPr>
                  </w:pPr>
                  <w:r>
                    <w:rPr>
                      <w:rFonts w:hint="eastAsia"/>
                      <w:lang w:val="en-US" w:eastAsia="zh-CN"/>
                    </w:rPr>
                    <w:t>/</w:t>
                  </w:r>
                </w:p>
              </w:tc>
              <w:tc>
                <w:tcPr>
                  <w:tcW w:w="2331" w:type="pct"/>
                  <w:vMerge w:val="continue"/>
                  <w:noWrap w:val="0"/>
                  <w:vAlign w:val="center"/>
                </w:tcPr>
                <w:p>
                  <w:pPr>
                    <w:pStyle w:val="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bidi w:val="0"/>
                    <w:rPr>
                      <w:rFonts w:hint="eastAsia"/>
                      <w:lang w:val="en-US" w:eastAsia="zh-CN"/>
                    </w:rPr>
                  </w:pPr>
                </w:p>
              </w:tc>
              <w:tc>
                <w:tcPr>
                  <w:tcW w:w="643" w:type="pct"/>
                  <w:noWrap w:val="0"/>
                  <w:vAlign w:val="center"/>
                </w:tcPr>
                <w:p>
                  <w:pPr>
                    <w:pStyle w:val="6"/>
                    <w:bidi w:val="0"/>
                    <w:rPr>
                      <w:rFonts w:hint="default"/>
                      <w:lang w:val="en-US" w:eastAsia="zh-CN"/>
                    </w:rPr>
                  </w:pPr>
                  <w:r>
                    <w:rPr>
                      <w:rFonts w:hint="eastAsia"/>
                    </w:rPr>
                    <w:t>NO</w:t>
                  </w:r>
                  <w:r>
                    <w:rPr>
                      <w:rFonts w:hint="eastAsia"/>
                      <w:vertAlign w:val="subscript"/>
                    </w:rPr>
                    <w:t>X</w:t>
                  </w:r>
                </w:p>
              </w:tc>
              <w:tc>
                <w:tcPr>
                  <w:tcW w:w="854" w:type="pct"/>
                  <w:noWrap w:val="0"/>
                  <w:vAlign w:val="center"/>
                </w:tcPr>
                <w:p>
                  <w:pPr>
                    <w:pStyle w:val="6"/>
                    <w:bidi w:val="0"/>
                    <w:rPr>
                      <w:rFonts w:hint="eastAsia"/>
                      <w:lang w:val="en-US" w:eastAsia="zh-CN"/>
                    </w:rPr>
                  </w:pPr>
                  <w:r>
                    <w:rPr>
                      <w:rFonts w:hint="eastAsia"/>
                    </w:rPr>
                    <w:t>--</w:t>
                  </w:r>
                </w:p>
              </w:tc>
              <w:tc>
                <w:tcPr>
                  <w:tcW w:w="631" w:type="pct"/>
                  <w:noWrap w:val="0"/>
                  <w:vAlign w:val="center"/>
                </w:tcPr>
                <w:p>
                  <w:pPr>
                    <w:pStyle w:val="6"/>
                    <w:bidi w:val="0"/>
                    <w:rPr>
                      <w:rFonts w:hint="eastAsia"/>
                      <w:lang w:val="en-US" w:eastAsia="zh-CN"/>
                    </w:rPr>
                  </w:pPr>
                  <w:r>
                    <w:rPr>
                      <w:rFonts w:hint="eastAsia"/>
                      <w:lang w:val="en-US" w:eastAsia="zh-CN"/>
                    </w:rPr>
                    <w:t>/</w:t>
                  </w:r>
                </w:p>
              </w:tc>
              <w:tc>
                <w:tcPr>
                  <w:tcW w:w="2331" w:type="pct"/>
                  <w:vMerge w:val="continue"/>
                  <w:noWrap w:val="0"/>
                  <w:vAlign w:val="center"/>
                </w:tcPr>
                <w:p>
                  <w:pPr>
                    <w:pStyle w:val="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bidi w:val="0"/>
                    <w:rPr>
                      <w:rFonts w:hint="eastAsia"/>
                      <w:lang w:val="en-US" w:eastAsia="zh-CN"/>
                    </w:rPr>
                  </w:pPr>
                </w:p>
              </w:tc>
              <w:tc>
                <w:tcPr>
                  <w:tcW w:w="643" w:type="pct"/>
                  <w:noWrap w:val="0"/>
                  <w:vAlign w:val="center"/>
                </w:tcPr>
                <w:p>
                  <w:pPr>
                    <w:pStyle w:val="6"/>
                    <w:bidi w:val="0"/>
                    <w:rPr>
                      <w:rFonts w:hint="eastAsia"/>
                    </w:rPr>
                  </w:pPr>
                  <w:r>
                    <w:rPr>
                      <w:rFonts w:hint="eastAsia"/>
                    </w:rPr>
                    <w:t>HC+NO</w:t>
                  </w:r>
                  <w:r>
                    <w:rPr>
                      <w:rFonts w:hint="eastAsia"/>
                      <w:vertAlign w:val="subscript"/>
                    </w:rPr>
                    <w:t>X</w:t>
                  </w:r>
                </w:p>
              </w:tc>
              <w:tc>
                <w:tcPr>
                  <w:tcW w:w="854" w:type="pct"/>
                  <w:noWrap w:val="0"/>
                  <w:vAlign w:val="center"/>
                </w:tcPr>
                <w:p>
                  <w:pPr>
                    <w:pStyle w:val="6"/>
                    <w:bidi w:val="0"/>
                    <w:rPr>
                      <w:rFonts w:hint="eastAsia"/>
                      <w:lang w:val="en-US" w:eastAsia="zh-CN"/>
                    </w:rPr>
                  </w:pPr>
                  <w:r>
                    <w:rPr>
                      <w:rFonts w:hint="eastAsia"/>
                    </w:rPr>
                    <w:t>6.4g/kW</w:t>
                  </w:r>
                  <w:r>
                    <w:rPr>
                      <w:rFonts w:hint="eastAsia"/>
                      <w:lang w:val="en-US" w:eastAsia="zh-CN"/>
                    </w:rPr>
                    <w:t>·</w:t>
                  </w:r>
                  <w:r>
                    <w:rPr>
                      <w:rFonts w:hint="eastAsia"/>
                    </w:rPr>
                    <w:t>h</w:t>
                  </w:r>
                </w:p>
              </w:tc>
              <w:tc>
                <w:tcPr>
                  <w:tcW w:w="631" w:type="pct"/>
                  <w:noWrap w:val="0"/>
                  <w:vAlign w:val="center"/>
                </w:tcPr>
                <w:p>
                  <w:pPr>
                    <w:pStyle w:val="6"/>
                    <w:bidi w:val="0"/>
                    <w:rPr>
                      <w:rFonts w:hint="eastAsia"/>
                      <w:lang w:val="en-US" w:eastAsia="zh-CN"/>
                    </w:rPr>
                  </w:pPr>
                  <w:r>
                    <w:rPr>
                      <w:rFonts w:hint="eastAsia"/>
                      <w:lang w:val="en-US" w:eastAsia="zh-CN"/>
                    </w:rPr>
                    <w:t>/</w:t>
                  </w:r>
                </w:p>
              </w:tc>
              <w:tc>
                <w:tcPr>
                  <w:tcW w:w="2331" w:type="pct"/>
                  <w:vMerge w:val="continue"/>
                  <w:noWrap w:val="0"/>
                  <w:vAlign w:val="center"/>
                </w:tcPr>
                <w:p>
                  <w:pPr>
                    <w:pStyle w:val="6"/>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bidi w:val="0"/>
                    <w:rPr>
                      <w:rFonts w:hint="eastAsia"/>
                      <w:lang w:val="en-US" w:eastAsia="zh-CN"/>
                    </w:rPr>
                  </w:pPr>
                </w:p>
              </w:tc>
              <w:tc>
                <w:tcPr>
                  <w:tcW w:w="643" w:type="pct"/>
                  <w:noWrap w:val="0"/>
                  <w:vAlign w:val="center"/>
                </w:tcPr>
                <w:p>
                  <w:pPr>
                    <w:pStyle w:val="6"/>
                    <w:bidi w:val="0"/>
                    <w:rPr>
                      <w:rFonts w:hint="eastAsia"/>
                    </w:rPr>
                  </w:pPr>
                  <w:r>
                    <w:rPr>
                      <w:rFonts w:hint="eastAsia"/>
                    </w:rPr>
                    <w:t>PM</w:t>
                  </w:r>
                </w:p>
              </w:tc>
              <w:tc>
                <w:tcPr>
                  <w:tcW w:w="854" w:type="pct"/>
                  <w:noWrap w:val="0"/>
                  <w:vAlign w:val="center"/>
                </w:tcPr>
                <w:p>
                  <w:pPr>
                    <w:pStyle w:val="6"/>
                    <w:bidi w:val="0"/>
                    <w:rPr>
                      <w:rFonts w:hint="eastAsia"/>
                      <w:lang w:val="en-US" w:eastAsia="zh-CN"/>
                    </w:rPr>
                  </w:pPr>
                  <w:r>
                    <w:rPr>
                      <w:rFonts w:hint="eastAsia"/>
                    </w:rPr>
                    <w:t>0.20g/kW</w:t>
                  </w:r>
                  <w:r>
                    <w:rPr>
                      <w:rFonts w:hint="eastAsia"/>
                      <w:lang w:val="en-US" w:eastAsia="zh-CN"/>
                    </w:rPr>
                    <w:t>·</w:t>
                  </w:r>
                  <w:r>
                    <w:rPr>
                      <w:rFonts w:hint="eastAsia"/>
                    </w:rPr>
                    <w:t>h</w:t>
                  </w:r>
                </w:p>
              </w:tc>
              <w:tc>
                <w:tcPr>
                  <w:tcW w:w="631" w:type="pct"/>
                  <w:noWrap w:val="0"/>
                  <w:vAlign w:val="center"/>
                </w:tcPr>
                <w:p>
                  <w:pPr>
                    <w:pStyle w:val="6"/>
                    <w:bidi w:val="0"/>
                    <w:rPr>
                      <w:rFonts w:hint="eastAsia"/>
                      <w:lang w:val="en-US" w:eastAsia="zh-CN"/>
                    </w:rPr>
                  </w:pPr>
                  <w:r>
                    <w:rPr>
                      <w:rFonts w:hint="eastAsia"/>
                      <w:lang w:val="en-US" w:eastAsia="zh-CN"/>
                    </w:rPr>
                    <w:t>/</w:t>
                  </w:r>
                </w:p>
              </w:tc>
              <w:tc>
                <w:tcPr>
                  <w:tcW w:w="2331" w:type="pct"/>
                  <w:vMerge w:val="continue"/>
                  <w:noWrap w:val="0"/>
                  <w:vAlign w:val="center"/>
                </w:tcPr>
                <w:p>
                  <w:pPr>
                    <w:pStyle w:val="6"/>
                    <w:bidi w:val="0"/>
                    <w:rPr>
                      <w:rFonts w:hint="default"/>
                      <w:lang w:val="en-US" w:eastAsia="zh-CN"/>
                    </w:rPr>
                  </w:pPr>
                </w:p>
              </w:tc>
            </w:tr>
          </w:tbl>
          <w:p>
            <w:pPr>
              <w:pStyle w:val="3"/>
              <w:bidi w:val="0"/>
              <w:rPr>
                <w:rFonts w:hint="default"/>
                <w:lang w:val="en-US" w:eastAsia="zh-CN"/>
              </w:rPr>
            </w:pPr>
            <w:r>
              <w:rPr>
                <w:rFonts w:hint="eastAsia"/>
                <w:lang w:val="en-US" w:eastAsia="zh-CN"/>
              </w:rPr>
              <w:t xml:space="preserve">2.2 </w:t>
            </w:r>
            <w:r>
              <w:rPr>
                <w:rFonts w:hint="default"/>
                <w:lang w:val="en-US" w:eastAsia="zh-CN"/>
              </w:rPr>
              <w:t>噪声排放标准</w:t>
            </w:r>
          </w:p>
          <w:p>
            <w:pPr>
              <w:bidi w:val="0"/>
              <w:rPr>
                <w:rFonts w:hint="eastAsia"/>
                <w:lang w:val="en-US" w:eastAsia="zh-CN"/>
              </w:rPr>
            </w:pPr>
            <w:r>
              <w:rPr>
                <w:rFonts w:hint="eastAsia"/>
                <w:lang w:val="en-US" w:eastAsia="zh-CN"/>
              </w:rPr>
              <w:t>施工期噪声执行《建筑施工噪声排放标准》（GB12523-2025）。</w:t>
            </w:r>
          </w:p>
          <w:p>
            <w:pPr>
              <w:pStyle w:val="5"/>
              <w:bidi w:val="0"/>
              <w:rPr>
                <w:rFonts w:hint="default"/>
                <w:lang w:val="en-US" w:eastAsia="zh-CN"/>
              </w:rPr>
            </w:pPr>
            <w:r>
              <w:rPr>
                <w:rFonts w:hint="eastAsia"/>
                <w:lang w:val="en-US" w:eastAsia="zh-CN"/>
              </w:rPr>
              <w:t>表3-7  施工期噪声执行标准</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488"/>
              <w:gridCol w:w="1854"/>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shd w:val="clear" w:color="auto" w:fill="auto"/>
                  <w:vAlign w:val="center"/>
                </w:tcPr>
                <w:p>
                  <w:pPr>
                    <w:pStyle w:val="6"/>
                    <w:bidi w:val="0"/>
                    <w:jc w:val="center"/>
                    <w:rPr>
                      <w:rFonts w:hint="eastAsia"/>
                      <w:lang w:val="en-US" w:eastAsia="zh-CN"/>
                    </w:rPr>
                  </w:pPr>
                  <w:r>
                    <w:rPr>
                      <w:rFonts w:hint="eastAsia"/>
                      <w:lang w:val="en-US" w:eastAsia="zh-CN"/>
                    </w:rPr>
                    <w:t>污染源</w:t>
                  </w:r>
                </w:p>
              </w:tc>
              <w:tc>
                <w:tcPr>
                  <w:tcW w:w="2082" w:type="pct"/>
                  <w:gridSpan w:val="2"/>
                  <w:shd w:val="clear" w:color="auto" w:fill="auto"/>
                  <w:vAlign w:val="center"/>
                </w:tcPr>
                <w:p>
                  <w:pPr>
                    <w:pStyle w:val="6"/>
                    <w:bidi w:val="0"/>
                    <w:jc w:val="center"/>
                    <w:rPr>
                      <w:rFonts w:hint="eastAsia"/>
                      <w:lang w:val="en-US" w:eastAsia="zh-CN"/>
                    </w:rPr>
                  </w:pPr>
                  <w:r>
                    <w:rPr>
                      <w:rFonts w:hint="eastAsia"/>
                      <w:lang w:val="en-US" w:eastAsia="zh-CN"/>
                    </w:rPr>
                    <w:t>项目</w:t>
                  </w:r>
                </w:p>
              </w:tc>
              <w:tc>
                <w:tcPr>
                  <w:tcW w:w="1667" w:type="pct"/>
                  <w:vMerge w:val="restart"/>
                  <w:vAlign w:val="center"/>
                </w:tcPr>
                <w:p>
                  <w:pPr>
                    <w:pStyle w:val="6"/>
                    <w:bidi w:val="0"/>
                    <w:jc w:val="center"/>
                    <w:rPr>
                      <w:rFonts w:hint="default"/>
                      <w:lang w:val="en-US" w:eastAsia="zh-CN"/>
                    </w:rPr>
                  </w:pPr>
                  <w:r>
                    <w:rPr>
                      <w:rFonts w:hint="eastAsia"/>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pStyle w:val="6"/>
                    <w:bidi w:val="0"/>
                    <w:jc w:val="center"/>
                    <w:rPr>
                      <w:rFonts w:hint="eastAsia"/>
                      <w:lang w:val="en-US" w:eastAsia="zh-CN"/>
                    </w:rPr>
                  </w:pPr>
                </w:p>
              </w:tc>
              <w:tc>
                <w:tcPr>
                  <w:tcW w:w="927" w:type="pct"/>
                  <w:shd w:val="clear" w:color="auto" w:fill="auto"/>
                  <w:vAlign w:val="center"/>
                </w:tcPr>
                <w:p>
                  <w:pPr>
                    <w:pStyle w:val="6"/>
                    <w:bidi w:val="0"/>
                    <w:jc w:val="center"/>
                    <w:rPr>
                      <w:rFonts w:hint="eastAsia"/>
                      <w:lang w:val="en-US" w:eastAsia="zh-CN"/>
                    </w:rPr>
                  </w:pPr>
                  <w:r>
                    <w:rPr>
                      <w:rFonts w:hint="eastAsia"/>
                      <w:lang w:val="en-US" w:eastAsia="zh-CN"/>
                    </w:rPr>
                    <w:t>时段</w:t>
                  </w:r>
                </w:p>
              </w:tc>
              <w:tc>
                <w:tcPr>
                  <w:tcW w:w="1155" w:type="pct"/>
                  <w:shd w:val="clear" w:color="auto" w:fill="auto"/>
                  <w:vAlign w:val="center"/>
                </w:tcPr>
                <w:p>
                  <w:pPr>
                    <w:pStyle w:val="6"/>
                    <w:bidi w:val="0"/>
                    <w:jc w:val="center"/>
                    <w:rPr>
                      <w:rFonts w:hint="eastAsia"/>
                      <w:lang w:val="en-US" w:eastAsia="zh-CN"/>
                    </w:rPr>
                  </w:pPr>
                  <w:r>
                    <w:rPr>
                      <w:rFonts w:hint="eastAsia"/>
                      <w:lang w:val="en-US" w:eastAsia="zh-CN"/>
                    </w:rPr>
                    <w:t>标准值</w:t>
                  </w:r>
                </w:p>
              </w:tc>
              <w:tc>
                <w:tcPr>
                  <w:tcW w:w="1667" w:type="pct"/>
                  <w:vMerge w:val="continue"/>
                  <w:vAlign w:val="center"/>
                </w:tcPr>
                <w:p>
                  <w:pPr>
                    <w:pStyle w:val="6"/>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shd w:val="clear" w:color="auto" w:fill="auto"/>
                  <w:vAlign w:val="center"/>
                </w:tcPr>
                <w:p>
                  <w:pPr>
                    <w:pStyle w:val="6"/>
                    <w:bidi w:val="0"/>
                    <w:jc w:val="center"/>
                    <w:rPr>
                      <w:rFonts w:hint="eastAsia"/>
                      <w:lang w:val="en-US" w:eastAsia="zh-CN"/>
                    </w:rPr>
                  </w:pPr>
                  <w:r>
                    <w:rPr>
                      <w:rFonts w:hint="eastAsia"/>
                      <w:lang w:val="en-US" w:eastAsia="zh-CN"/>
                    </w:rPr>
                    <w:t>施工噪声</w:t>
                  </w:r>
                </w:p>
              </w:tc>
              <w:tc>
                <w:tcPr>
                  <w:tcW w:w="927" w:type="pct"/>
                  <w:shd w:val="clear" w:color="auto" w:fill="auto"/>
                  <w:vAlign w:val="center"/>
                </w:tcPr>
                <w:p>
                  <w:pPr>
                    <w:pStyle w:val="6"/>
                    <w:bidi w:val="0"/>
                    <w:jc w:val="center"/>
                    <w:rPr>
                      <w:rFonts w:hint="eastAsia"/>
                      <w:lang w:val="en-US" w:eastAsia="zh-CN"/>
                    </w:rPr>
                  </w:pPr>
                  <w:r>
                    <w:rPr>
                      <w:rFonts w:hint="eastAsia"/>
                      <w:lang w:val="en-US" w:eastAsia="zh-CN"/>
                    </w:rPr>
                    <w:t>昼间</w:t>
                  </w:r>
                </w:p>
              </w:tc>
              <w:tc>
                <w:tcPr>
                  <w:tcW w:w="1155" w:type="pct"/>
                  <w:shd w:val="clear" w:color="auto" w:fill="auto"/>
                  <w:vAlign w:val="center"/>
                </w:tcPr>
                <w:p>
                  <w:pPr>
                    <w:pStyle w:val="6"/>
                    <w:bidi w:val="0"/>
                    <w:jc w:val="center"/>
                    <w:rPr>
                      <w:rFonts w:hint="eastAsia"/>
                      <w:lang w:val="en-US" w:eastAsia="zh-CN"/>
                    </w:rPr>
                  </w:pPr>
                  <w:r>
                    <w:rPr>
                      <w:rFonts w:hint="eastAsia"/>
                      <w:lang w:val="en-US" w:eastAsia="zh-CN"/>
                    </w:rPr>
                    <w:t>70dB(A)</w:t>
                  </w:r>
                </w:p>
              </w:tc>
              <w:tc>
                <w:tcPr>
                  <w:tcW w:w="1667" w:type="pct"/>
                  <w:vMerge w:val="restart"/>
                  <w:vAlign w:val="center"/>
                </w:tcPr>
                <w:p>
                  <w:pPr>
                    <w:pStyle w:val="6"/>
                    <w:keepNext/>
                    <w:keepLines/>
                    <w:pageBreakBefore w:val="0"/>
                    <w:widowControl w:val="0"/>
                    <w:kinsoku/>
                    <w:wordWrap w:val="0"/>
                    <w:overflowPunct/>
                    <w:topLinePunct w:val="0"/>
                    <w:autoSpaceDE/>
                    <w:autoSpaceDN/>
                    <w:bidi w:val="0"/>
                    <w:adjustRightInd/>
                    <w:snapToGrid/>
                    <w:jc w:val="center"/>
                    <w:textAlignment w:val="auto"/>
                    <w:rPr>
                      <w:rFonts w:hint="eastAsia"/>
                      <w:lang w:val="en-US" w:eastAsia="zh-CN"/>
                    </w:rPr>
                  </w:pPr>
                  <w:r>
                    <w:rPr>
                      <w:rFonts w:hint="eastAsia"/>
                      <w:lang w:val="en-US" w:eastAsia="zh-CN"/>
                    </w:rPr>
                    <w:t>《建筑施工噪声排放标准》（GB12523-2025）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shd w:val="clear" w:color="auto" w:fill="auto"/>
                  <w:vAlign w:val="center"/>
                </w:tcPr>
                <w:p>
                  <w:pPr>
                    <w:pStyle w:val="6"/>
                    <w:bidi w:val="0"/>
                    <w:jc w:val="center"/>
                    <w:rPr>
                      <w:rFonts w:hint="eastAsia"/>
                      <w:lang w:val="en-US" w:eastAsia="zh-CN"/>
                    </w:rPr>
                  </w:pPr>
                </w:p>
              </w:tc>
              <w:tc>
                <w:tcPr>
                  <w:tcW w:w="927" w:type="pct"/>
                  <w:shd w:val="clear" w:color="auto" w:fill="auto"/>
                  <w:vAlign w:val="center"/>
                </w:tcPr>
                <w:p>
                  <w:pPr>
                    <w:pStyle w:val="6"/>
                    <w:bidi w:val="0"/>
                    <w:jc w:val="center"/>
                    <w:rPr>
                      <w:rFonts w:hint="eastAsia"/>
                      <w:lang w:val="en-US" w:eastAsia="zh-CN"/>
                    </w:rPr>
                  </w:pPr>
                  <w:r>
                    <w:rPr>
                      <w:rFonts w:hint="eastAsia"/>
                      <w:lang w:val="en-US" w:eastAsia="zh-CN"/>
                    </w:rPr>
                    <w:t>夜间</w:t>
                  </w:r>
                </w:p>
              </w:tc>
              <w:tc>
                <w:tcPr>
                  <w:tcW w:w="1155" w:type="pct"/>
                  <w:shd w:val="clear" w:color="auto" w:fill="auto"/>
                  <w:vAlign w:val="center"/>
                </w:tcPr>
                <w:p>
                  <w:pPr>
                    <w:pStyle w:val="6"/>
                    <w:bidi w:val="0"/>
                    <w:jc w:val="center"/>
                    <w:rPr>
                      <w:rFonts w:hint="eastAsia"/>
                      <w:lang w:val="en-US" w:eastAsia="zh-CN"/>
                    </w:rPr>
                  </w:pPr>
                  <w:r>
                    <w:rPr>
                      <w:rFonts w:hint="eastAsia"/>
                      <w:lang w:val="en-US" w:eastAsia="zh-CN"/>
                    </w:rPr>
                    <w:t>55dB(A)</w:t>
                  </w:r>
                </w:p>
              </w:tc>
              <w:tc>
                <w:tcPr>
                  <w:tcW w:w="1667" w:type="pct"/>
                  <w:vMerge w:val="continue"/>
                  <w:vAlign w:val="center"/>
                </w:tcPr>
                <w:p>
                  <w:pPr>
                    <w:pStyle w:val="6"/>
                    <w:bidi w:val="0"/>
                    <w:jc w:val="center"/>
                    <w:rPr>
                      <w:rFonts w:hint="eastAsia"/>
                      <w:lang w:val="en-US" w:eastAsia="zh-CN"/>
                    </w:rPr>
                  </w:pPr>
                </w:p>
              </w:tc>
            </w:tr>
          </w:tbl>
          <w:p>
            <w:pPr>
              <w:pStyle w:val="3"/>
              <w:bidi w:val="0"/>
              <w:rPr>
                <w:rFonts w:hint="default"/>
                <w:lang w:val="en-US" w:eastAsia="zh-CN"/>
              </w:rPr>
            </w:pPr>
            <w:r>
              <w:rPr>
                <w:rFonts w:hint="eastAsia"/>
                <w:lang w:val="en-US" w:eastAsia="zh-CN"/>
              </w:rPr>
              <w:t xml:space="preserve">2.3 </w:t>
            </w:r>
            <w:r>
              <w:rPr>
                <w:rFonts w:hint="default"/>
                <w:lang w:val="en-US" w:eastAsia="zh-CN"/>
              </w:rPr>
              <w:t>固体废弃物</w:t>
            </w:r>
          </w:p>
          <w:p>
            <w:pPr>
              <w:bidi w:val="0"/>
            </w:pPr>
            <w:r>
              <w:rPr>
                <w:rFonts w:hint="eastAsia"/>
                <w:lang w:eastAsia="zh-CN"/>
              </w:rPr>
              <w:t>一般固体废物按照《中华人民共和国固体废物污染环境防治法》要求处置，各类固体废物妥善处置，不得形成二次污染，一般工业固废暂存参照执行《一般工业固体废物贮存和填埋污染控制标准》（GB18599-2020）中的“其贮存过程应满足相应防渗漏、防雨淋、防扬尘等环境保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0"/>
                <w:szCs w:val="21"/>
              </w:rPr>
            </w:pPr>
            <w:r>
              <w:rPr>
                <w:rFonts w:hint="eastAsia" w:ascii="宋体" w:hAnsi="宋体" w:cs="宋体"/>
                <w:color w:val="auto"/>
                <w:kern w:val="0"/>
                <w:sz w:val="21"/>
                <w:szCs w:val="21"/>
              </w:rPr>
              <w:t>其他</w:t>
            </w:r>
          </w:p>
        </w:tc>
        <w:tc>
          <w:tcPr>
            <w:tcW w:w="8253" w:type="dxa"/>
            <w:noWrap w:val="0"/>
            <w:vAlign w:val="center"/>
          </w:tcPr>
          <w:p>
            <w:pPr>
              <w:adjustRightInd w:val="0"/>
              <w:snapToGrid w:val="0"/>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bl>
    <w:p>
      <w:pPr>
        <w:pStyle w:val="19"/>
        <w:adjustRightInd w:val="0"/>
        <w:snapToGrid w:val="0"/>
        <w:spacing w:before="0" w:beforeAutospacing="0" w:after="0" w:afterAutospacing="0" w:line="14" w:lineRule="auto"/>
        <w:jc w:val="center"/>
        <w:outlineLvl w:val="0"/>
        <w:rPr>
          <w:rFonts w:ascii="黑体" w:hAnsi="黑体" w:eastAsia="黑体"/>
          <w:snapToGrid w:val="0"/>
          <w:color w:val="auto"/>
          <w:kern w:val="2"/>
          <w:sz w:val="36"/>
          <w:szCs w:val="36"/>
        </w:rPr>
      </w:pPr>
    </w:p>
    <w:p>
      <w:pPr>
        <w:pStyle w:val="19"/>
        <w:jc w:val="center"/>
        <w:outlineLvl w:val="0"/>
        <w:rPr>
          <w:rFonts w:hint="eastAsia" w:ascii="黑体" w:hAnsi="黑体" w:eastAsia="黑体"/>
          <w:snapToGrid w:val="0"/>
          <w:color w:val="auto"/>
          <w:sz w:val="30"/>
          <w:szCs w:val="30"/>
        </w:rPr>
        <w:sectPr>
          <w:pgSz w:w="11906" w:h="16838"/>
          <w:pgMar w:top="1440" w:right="1800" w:bottom="1440" w:left="1800" w:header="851" w:footer="1077" w:gutter="0"/>
          <w:pgNumType w:fmt="decimal"/>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四、生态环境影响分析</w:t>
      </w:r>
    </w:p>
    <w:tbl>
      <w:tblPr>
        <w:tblStyle w:val="21"/>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79" w:type="dxa"/>
            <w:noWrap w:val="0"/>
            <w:tcMar>
              <w:left w:w="28" w:type="dxa"/>
              <w:right w:w="28" w:type="dxa"/>
            </w:tcMar>
            <w:vAlign w:val="center"/>
          </w:tcPr>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cs="宋体"/>
                <w:bCs/>
                <w:color w:val="auto"/>
                <w:kern w:val="2"/>
                <w:sz w:val="21"/>
                <w:szCs w:val="21"/>
              </w:rPr>
            </w:pPr>
            <w:bookmarkStart w:id="2" w:name="_Hlk49796138"/>
            <w:r>
              <w:rPr>
                <w:rFonts w:hint="eastAsia" w:cs="宋体"/>
                <w:bCs/>
                <w:color w:val="auto"/>
                <w:spacing w:val="10"/>
                <w:kern w:val="2"/>
                <w:sz w:val="21"/>
                <w:szCs w:val="21"/>
              </w:rPr>
              <w:t>施工期生态环境影响分析</w:t>
            </w:r>
            <w:bookmarkEnd w:id="2"/>
          </w:p>
        </w:tc>
        <w:tc>
          <w:tcPr>
            <w:tcW w:w="8363" w:type="dxa"/>
            <w:noWrap w:val="0"/>
            <w:vAlign w:val="top"/>
          </w:tcPr>
          <w:p>
            <w:pPr>
              <w:pStyle w:val="3"/>
              <w:bidi w:val="0"/>
              <w:rPr>
                <w:rFonts w:hint="eastAsia"/>
              </w:rPr>
            </w:pPr>
            <w:r>
              <w:rPr>
                <w:rFonts w:hint="eastAsia"/>
              </w:rPr>
              <w:t>1</w:t>
            </w:r>
            <w:r>
              <w:rPr>
                <w:rFonts w:hint="eastAsia"/>
                <w:lang w:val="en-US" w:eastAsia="zh-CN"/>
              </w:rPr>
              <w:t xml:space="preserve"> </w:t>
            </w:r>
            <w:r>
              <w:rPr>
                <w:rFonts w:hint="eastAsia"/>
              </w:rPr>
              <w:t>生态影响分析</w:t>
            </w:r>
          </w:p>
          <w:p>
            <w:pPr>
              <w:pStyle w:val="3"/>
              <w:bidi w:val="0"/>
              <w:rPr>
                <w:rFonts w:hint="eastAsia"/>
                <w:lang w:val="en-US" w:eastAsia="zh-CN"/>
              </w:rPr>
            </w:pPr>
            <w:r>
              <w:rPr>
                <w:rFonts w:hint="eastAsia"/>
                <w:lang w:val="en-US" w:eastAsia="zh-CN"/>
              </w:rPr>
              <w:t>1.1 占地</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本项目为渠道防渗改造工程，项目的建设及运营将不可避免地对区域生态环境产生一定影响。</w:t>
            </w:r>
          </w:p>
          <w:p>
            <w:pPr>
              <w:bidi w:val="0"/>
              <w:rPr>
                <w:rFonts w:hint="eastAsia"/>
                <w:highlight w:val="none"/>
                <w:lang w:val="en-US" w:eastAsia="zh-CN"/>
              </w:rPr>
            </w:pPr>
            <w:r>
              <w:rPr>
                <w:rFonts w:hint="eastAsia"/>
                <w:highlight w:val="none"/>
                <w:lang w:val="en-US" w:eastAsia="zh-CN"/>
              </w:rPr>
              <w:t>本项目永久占地面积为14847m</w:t>
            </w:r>
            <w:r>
              <w:rPr>
                <w:rFonts w:hint="eastAsia"/>
                <w:highlight w:val="none"/>
                <w:vertAlign w:val="superscript"/>
                <w:lang w:val="en-US" w:eastAsia="zh-CN"/>
              </w:rPr>
              <w:t>2</w:t>
            </w:r>
            <w:r>
              <w:rPr>
                <w:rFonts w:hint="eastAsia"/>
                <w:highlight w:val="none"/>
                <w:lang w:val="en-US" w:eastAsia="zh-CN"/>
              </w:rPr>
              <w:t>，占地类型为旱地；项目临时占地13000m</w:t>
            </w:r>
            <w:r>
              <w:rPr>
                <w:rFonts w:hint="eastAsia"/>
                <w:highlight w:val="none"/>
                <w:vertAlign w:val="superscript"/>
                <w:lang w:val="en-US" w:eastAsia="zh-CN"/>
              </w:rPr>
              <w:t>2</w:t>
            </w:r>
            <w:r>
              <w:rPr>
                <w:rFonts w:hint="eastAsia"/>
                <w:highlight w:val="none"/>
                <w:lang w:val="en-US" w:eastAsia="zh-CN"/>
              </w:rPr>
              <w:t>，主要为临时工业区、临时堆土区及临时堆渣区，占地类型为居住地和旱地。项目不改变临时用地的土地利用性质，但占用期间开挖、占压等活动将直接造成土壤肥力和植被的损失。项目通过严格控制施工占地面积，减少对渠道两侧旱地进行侵占、破坏。</w:t>
            </w:r>
          </w:p>
          <w:p>
            <w:pPr>
              <w:pStyle w:val="3"/>
              <w:bidi w:val="0"/>
              <w:rPr>
                <w:rFonts w:hint="eastAsia"/>
                <w:lang w:val="en-US" w:eastAsia="zh-CN"/>
              </w:rPr>
            </w:pPr>
            <w:r>
              <w:rPr>
                <w:rFonts w:hint="eastAsia"/>
                <w:lang w:val="en-US" w:eastAsia="zh-CN"/>
              </w:rPr>
              <w:t>1.2 对土壤的影响</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项目建设对土壤的影响主要是施工活动会造成土壤结构的改变和土壤养分的减少。对土壤结构的影响主要集中在土壤开挖、回填过程中。工程在施工时进行开挖、堆放、回填、人员踩踏、机械设备夯实或碾压等施工操作，这些物理过程对土壤的最大影响是破坏表层土壤结构，且短期内难以恢复。对土壤养分的影响主要表现在土壤开挖、回填过程中未将表土单独堆放，会造成回填后土壤养分降低。需采取措施对表层土进行保护。采取相应措施后，项目施工对土壤影响较小。</w:t>
            </w:r>
          </w:p>
          <w:p>
            <w:pPr>
              <w:pStyle w:val="3"/>
              <w:bidi w:val="0"/>
              <w:rPr>
                <w:rFonts w:hint="eastAsia"/>
                <w:lang w:val="en-US" w:eastAsia="zh-CN"/>
              </w:rPr>
            </w:pPr>
            <w:r>
              <w:rPr>
                <w:rFonts w:hint="eastAsia"/>
                <w:lang w:val="en-US" w:eastAsia="zh-CN"/>
              </w:rPr>
              <w:t>1.3 对植被的影响</w:t>
            </w:r>
          </w:p>
          <w:p>
            <w:pPr>
              <w:bidi w:val="0"/>
              <w:rPr>
                <w:rFonts w:hint="eastAsia"/>
                <w:lang w:val="en-US" w:eastAsia="zh-CN"/>
              </w:rPr>
            </w:pPr>
            <w:r>
              <w:rPr>
                <w:rFonts w:hint="eastAsia"/>
                <w:lang w:val="en-US" w:eastAsia="zh-CN"/>
              </w:rPr>
              <w:t>工程影响区内无珍稀植物，也不涉及成片天然林，因此不存在工程对珍稀植物和天然林保护区的影响。项目区表土较薄，不具备表土剥离条件，环评要求施工方严格控制施工范围，减少对植被的迫害。</w:t>
            </w:r>
          </w:p>
          <w:p>
            <w:pPr>
              <w:bidi w:val="0"/>
              <w:rPr>
                <w:rFonts w:hint="eastAsia"/>
                <w:lang w:val="en-US" w:eastAsia="zh-CN"/>
              </w:rPr>
            </w:pPr>
            <w:r>
              <w:rPr>
                <w:rFonts w:hint="eastAsia"/>
                <w:lang w:val="en-US" w:eastAsia="zh-CN"/>
              </w:rPr>
              <w:t>临时工程使用结束后恢复至原状，产生的建筑垃圾统一清运，清理平整后进行生态恢复，因此这类占地对环境的影响是暂时性的。建设单位和施工单位应重视临时施工用地在工程结束前的清理和植被恢复工作，减少临时占地对生态的影响。为减少堆料的二次搬运和防止临时堆料洒落在水流中，应对临时堆土区做好水土保持工作。</w:t>
            </w:r>
          </w:p>
          <w:p>
            <w:pPr>
              <w:bidi w:val="0"/>
              <w:rPr>
                <w:rFonts w:hint="eastAsia" w:ascii="宋体" w:hAnsi="宋体" w:eastAsia="宋体" w:cs="宋体"/>
                <w:b w:val="0"/>
                <w:bCs w:val="0"/>
                <w:color w:val="auto"/>
                <w:sz w:val="24"/>
                <w:szCs w:val="24"/>
                <w:highlight w:val="none"/>
                <w:lang w:val="en-US" w:eastAsia="zh-CN"/>
              </w:rPr>
            </w:pPr>
            <w:r>
              <w:rPr>
                <w:rFonts w:hint="eastAsia"/>
                <w:b w:val="0"/>
                <w:bCs w:val="0"/>
                <w:highlight w:val="none"/>
                <w:lang w:val="en-US" w:eastAsia="zh-CN"/>
              </w:rPr>
              <w:t>项目工程区以耕地为主，主要为人工植被，仅有少量荒漠植被。工程施工期会对植被产生一定的影</w:t>
            </w:r>
            <w:r>
              <w:rPr>
                <w:rFonts w:hint="eastAsia" w:ascii="宋体" w:hAnsi="宋体" w:eastAsia="宋体" w:cs="宋体"/>
                <w:b w:val="0"/>
                <w:bCs w:val="0"/>
                <w:color w:val="auto"/>
                <w:szCs w:val="24"/>
                <w:highlight w:val="none"/>
                <w:lang w:val="en-US" w:eastAsia="zh-CN"/>
              </w:rPr>
              <w:t>响，但随着施工活动结束，场地迹地恢复，区域</w:t>
            </w:r>
            <w:r>
              <w:rPr>
                <w:rFonts w:hint="eastAsia" w:ascii="宋体" w:hAnsi="宋体" w:eastAsia="宋体" w:cs="宋体"/>
                <w:b w:val="0"/>
                <w:bCs w:val="0"/>
                <w:color w:val="auto"/>
                <w:sz w:val="24"/>
                <w:szCs w:val="24"/>
                <w:highlight w:val="none"/>
                <w:lang w:val="en-US" w:eastAsia="zh-CN"/>
              </w:rPr>
              <w:t>植被通过自然恢复和人工恢复相结合的方式，使施工区域生态环境向有利的方向发展。因此，施工活动对评价区内陆生植物的直接影响较小，且可通过植物恢复措施将影响减小到最低程度。</w:t>
            </w:r>
          </w:p>
          <w:p>
            <w:pPr>
              <w:pStyle w:val="3"/>
              <w:bidi w:val="0"/>
              <w:rPr>
                <w:rFonts w:hint="eastAsia"/>
                <w:lang w:val="en-US" w:eastAsia="zh-CN"/>
              </w:rPr>
            </w:pPr>
            <w:r>
              <w:rPr>
                <w:rFonts w:hint="eastAsia"/>
                <w:lang w:val="en-US" w:eastAsia="zh-CN"/>
              </w:rPr>
              <w:t>1.4 对野生动物的影响分析</w:t>
            </w:r>
          </w:p>
          <w:p>
            <w:pPr>
              <w:pStyle w:val="3"/>
              <w:bidi w:val="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过收集资料及现场调查，工程所在区域内有少量常见的鸟类、爬行类和鼠类分布，无国家和自治区级保护野生植物分布。工程施工对野生动物的影响主要表现为工程占地、人员生活、施工活动等对野生动物栖息、觅食以及活动范围造成影响，其影响限于施工区及周边范围可能因施工噪声造成影响的区域。施工期受到影响的野生动物会自发迁移至周围适生环境，减少在施工区域的活动，项目占地面积较小，工程施工不会破坏野生动物生境的完整性和连通性，施工结束后，随着噪声的消失，土壤和植被的逐步恢复，野生动物可迁回项目区域。项目建设对工程区及周边活动的野生动物会产生一定影响，但影响程度及范围较小</w:t>
            </w:r>
            <w:r>
              <w:rPr>
                <w:rFonts w:hint="eastAsia" w:ascii="宋体" w:hAnsi="宋体" w:cs="宋体"/>
                <w:b w:val="0"/>
                <w:bCs w:val="0"/>
                <w:color w:val="auto"/>
                <w:sz w:val="24"/>
                <w:szCs w:val="24"/>
                <w:highlight w:val="none"/>
                <w:lang w:val="en-US" w:eastAsia="zh-CN"/>
              </w:rPr>
              <w:t>。</w:t>
            </w:r>
          </w:p>
          <w:p>
            <w:pPr>
              <w:pStyle w:val="3"/>
              <w:bidi w:val="0"/>
              <w:rPr>
                <w:rFonts w:hint="eastAsia"/>
                <w:lang w:val="en-US" w:eastAsia="zh-CN"/>
              </w:rPr>
            </w:pPr>
            <w:r>
              <w:rPr>
                <w:rFonts w:hint="eastAsia"/>
                <w:lang w:val="en-US" w:eastAsia="zh-CN"/>
              </w:rPr>
              <w:t>1.5 景观影响分析</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周边有少量人工绿洲景观，如种植农作物的农田、分布着防风固沙林的林带，以及村民居住的房屋聚落。整体上，区域景观生态系统较为脆弱，植被覆盖率较低，景观连通性差，受风沙等自然因素影响大。施工过程中，大型机械设备的进出、土方开挖与回填，转运过程采取洒水降尘措施。施工临时占地均为</w:t>
            </w:r>
            <w:r>
              <w:rPr>
                <w:rFonts w:hint="eastAsia" w:ascii="宋体" w:hAnsi="宋体" w:cs="宋体"/>
                <w:b w:val="0"/>
                <w:bCs w:val="0"/>
                <w:color w:val="auto"/>
                <w:sz w:val="24"/>
                <w:szCs w:val="24"/>
                <w:highlight w:val="none"/>
                <w:lang w:val="en-US" w:eastAsia="zh-CN"/>
              </w:rPr>
              <w:t>旱地和居住地</w:t>
            </w:r>
            <w:r>
              <w:rPr>
                <w:rFonts w:hint="eastAsia" w:ascii="宋体" w:hAnsi="宋体" w:eastAsia="宋体" w:cs="宋体"/>
                <w:b w:val="0"/>
                <w:bCs w:val="0"/>
                <w:color w:val="auto"/>
                <w:sz w:val="24"/>
                <w:szCs w:val="24"/>
                <w:highlight w:val="none"/>
                <w:lang w:val="en-US" w:eastAsia="zh-CN"/>
              </w:rPr>
              <w:t>，施工扬尘要求</w:t>
            </w:r>
            <w:r>
              <w:rPr>
                <w:rFonts w:hint="eastAsia" w:ascii="宋体" w:hAnsi="宋体" w:cs="宋体"/>
                <w:b w:val="0"/>
                <w:bCs w:val="0"/>
                <w:color w:val="auto"/>
                <w:sz w:val="24"/>
                <w:szCs w:val="24"/>
                <w:highlight w:val="none"/>
                <w:lang w:val="en-US" w:eastAsia="zh-CN"/>
              </w:rPr>
              <w:t>临时堆土区</w:t>
            </w:r>
            <w:r>
              <w:rPr>
                <w:rFonts w:hint="eastAsia" w:ascii="宋体" w:hAnsi="宋体" w:eastAsia="宋体" w:cs="宋体"/>
                <w:b w:val="0"/>
                <w:bCs w:val="0"/>
                <w:color w:val="auto"/>
                <w:sz w:val="24"/>
                <w:szCs w:val="24"/>
                <w:highlight w:val="none"/>
                <w:lang w:val="en-US" w:eastAsia="zh-CN"/>
              </w:rPr>
              <w:t>应用篷布遮盖，且在该段工程完成后及时压实堆放，稳固渠堤。</w:t>
            </w:r>
          </w:p>
          <w:p>
            <w:pPr>
              <w:pStyle w:val="3"/>
              <w:bidi w:val="0"/>
              <w:rPr>
                <w:rFonts w:hint="eastAsia"/>
                <w:lang w:val="en-US" w:eastAsia="zh-CN"/>
              </w:rPr>
            </w:pPr>
            <w:r>
              <w:rPr>
                <w:rFonts w:hint="eastAsia"/>
                <w:lang w:val="en-US" w:eastAsia="zh-CN"/>
              </w:rPr>
              <w:t>1.6 水土流失</w:t>
            </w:r>
          </w:p>
          <w:p>
            <w:pPr>
              <w:pStyle w:val="3"/>
              <w:bidi w:val="0"/>
              <w:rPr>
                <w:rFonts w:hint="eastAsia"/>
                <w:b w:val="0"/>
                <w:bCs w:val="0"/>
                <w:lang w:val="en-US" w:eastAsia="zh-CN"/>
              </w:rPr>
            </w:pPr>
            <w:r>
              <w:rPr>
                <w:rFonts w:hint="eastAsia"/>
                <w:b w:val="0"/>
                <w:bCs w:val="0"/>
                <w:lang w:val="en-US" w:eastAsia="zh-CN"/>
              </w:rPr>
              <w:t>本项目借方、砂石料等均从外部商业料场购入，不涉及取土场、料场水土流失。</w:t>
            </w:r>
          </w:p>
          <w:p>
            <w:pPr>
              <w:pStyle w:val="3"/>
              <w:bidi w:val="0"/>
              <w:rPr>
                <w:rFonts w:hint="eastAsia"/>
                <w:b w:val="0"/>
                <w:bCs w:val="0"/>
                <w:lang w:val="en-US" w:eastAsia="zh-CN"/>
              </w:rPr>
            </w:pPr>
            <w:r>
              <w:rPr>
                <w:rFonts w:hint="eastAsia"/>
                <w:b w:val="0"/>
                <w:bCs w:val="0"/>
                <w:lang w:val="en-US" w:eastAsia="zh-CN"/>
              </w:rPr>
              <w:t>根据《水利部办公厅关于印发〈全国水土保持规划国家级水土流失重点预防区和重点治理区复核划分成果〉的通知》，若羌县属于阿尔金山国家级水土流失重点预防区。</w:t>
            </w:r>
          </w:p>
          <w:p>
            <w:pPr>
              <w:pStyle w:val="3"/>
              <w:bidi w:val="0"/>
              <w:rPr>
                <w:rFonts w:hint="eastAsia"/>
                <w:b w:val="0"/>
                <w:bCs w:val="0"/>
                <w:lang w:val="en-US" w:eastAsia="zh-CN"/>
              </w:rPr>
            </w:pPr>
            <w:r>
              <w:rPr>
                <w:rFonts w:hint="eastAsia"/>
                <w:b w:val="0"/>
                <w:bCs w:val="0"/>
                <w:lang w:val="en-US" w:eastAsia="zh-CN"/>
              </w:rPr>
              <w:t>依照《土壤侵蚀分类分级标准》（SL190-2007）的规定，结合项目区所处的地理位置、地形地貌和气候环境特点，工程区为微度水力侵蚀区。原地貌土壤侵蚀模数背景值为1000t/km²·a，平均流失厚度0.74mm/a。</w:t>
            </w:r>
          </w:p>
          <w:p>
            <w:pPr>
              <w:pStyle w:val="3"/>
              <w:bidi w:val="0"/>
              <w:rPr>
                <w:rFonts w:hint="eastAsia"/>
                <w:b w:val="0"/>
                <w:bCs w:val="0"/>
                <w:lang w:val="en-US" w:eastAsia="zh-CN"/>
              </w:rPr>
            </w:pPr>
            <w:r>
              <w:rPr>
                <w:rFonts w:hint="eastAsia"/>
                <w:b w:val="0"/>
                <w:bCs w:val="0"/>
                <w:lang w:val="en-US" w:eastAsia="zh-CN"/>
              </w:rPr>
              <w:t>在小型水利设施建设过程中，因施工开挖、材料堆放等，破坏了原有地表植被与土壤结构，虽然工程规模较小，但在局部地段改变了微地形，降低了地表粗糙度，加大了风沙侵蚀强度。通过加强施工期的环境管理工作，严格执行技术设计和施工规范，施工期应尽可能减少临时占地，禁止随意破坏自然植被，减少水土流失。</w:t>
            </w:r>
          </w:p>
          <w:p>
            <w:pPr>
              <w:pStyle w:val="3"/>
              <w:bidi w:val="0"/>
              <w:rPr>
                <w:rFonts w:hint="eastAsia"/>
                <w:lang w:val="en-US" w:eastAsia="zh-CN"/>
              </w:rPr>
            </w:pPr>
            <w:r>
              <w:rPr>
                <w:rFonts w:hint="eastAsia"/>
                <w:lang w:val="en-US" w:eastAsia="zh-CN"/>
              </w:rPr>
              <w:t>1.8 土地沙化影响分析</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建设过程中对原地貌的扰动将降低项目占地范围内的土壤抗侵蚀能力，造成土地沙化；此外，由于项目地处内陆地区，风沙较大，空气干燥，若项目土石方堆存过程中未采取防尘网苫盖、洒水抑尘等措施，地表沙化的土壤及挖掘土方遇大风天气易产生严重的扬尘，形成沙尘天气。项目施工期基础开挖、场地平整等过程中，对原有地表土壤造成扰动，造成地表原有结构的破坏。此外，在施工过程中，各种车辆（尤其是重型卡车）行驶将使经过的土壤变紧实，严重的经过多次碾压后植物很难再生长，甚至退化为沙地。上述施工过程中，对原地貌的扰动大大降低了项目占地范围内的土壤抗侵蚀能力，若未采取相应的防护措施，遇大风天气，极易加重区域沙尘天气。因此施工期应采取相应防治措施减少对环境的影响。</w:t>
            </w:r>
          </w:p>
          <w:p>
            <w:pPr>
              <w:pStyle w:val="3"/>
              <w:bidi w:val="0"/>
              <w:rPr>
                <w:rFonts w:hint="default"/>
              </w:rPr>
            </w:pPr>
            <w:r>
              <w:rPr>
                <w:rFonts w:hint="default"/>
              </w:rPr>
              <w:t>2</w:t>
            </w:r>
            <w:r>
              <w:rPr>
                <w:rFonts w:hint="eastAsia"/>
                <w:lang w:val="en-US" w:eastAsia="zh-CN"/>
              </w:rPr>
              <w:t xml:space="preserve"> </w:t>
            </w:r>
            <w:r>
              <w:rPr>
                <w:rFonts w:hint="default"/>
              </w:rPr>
              <w:t>大气污染物影响分析</w:t>
            </w:r>
          </w:p>
          <w:p>
            <w:pPr>
              <w:bidi w:val="0"/>
              <w:rPr>
                <w:rFonts w:hint="default"/>
              </w:rPr>
            </w:pPr>
            <w:r>
              <w:rPr>
                <w:rFonts w:hint="default"/>
              </w:rPr>
              <w:t>项目施工期大气污染物主要包括施工扬尘和机械燃油废气。</w:t>
            </w:r>
          </w:p>
          <w:p>
            <w:pPr>
              <w:pStyle w:val="3"/>
              <w:bidi w:val="0"/>
              <w:rPr>
                <w:rFonts w:hint="default"/>
              </w:rPr>
            </w:pPr>
            <w:r>
              <w:rPr>
                <w:rFonts w:hint="default"/>
              </w:rPr>
              <w:t>2.1</w:t>
            </w:r>
            <w:r>
              <w:rPr>
                <w:rFonts w:hint="eastAsia"/>
                <w:lang w:val="en-US" w:eastAsia="zh-CN"/>
              </w:rPr>
              <w:t xml:space="preserve"> </w:t>
            </w:r>
            <w:r>
              <w:rPr>
                <w:rFonts w:hint="default"/>
              </w:rPr>
              <w:t>施工扬尘</w:t>
            </w:r>
          </w:p>
          <w:p>
            <w:pPr>
              <w:bidi w:val="0"/>
              <w:rPr>
                <w:rFonts w:hint="default"/>
              </w:rPr>
            </w:pPr>
            <w:r>
              <w:rPr>
                <w:rFonts w:hint="default"/>
              </w:rPr>
              <w:t>施工期产生的扬尘按起尘的原因可分为风力起尘和动力起尘。</w:t>
            </w:r>
          </w:p>
          <w:p>
            <w:pPr>
              <w:bidi w:val="0"/>
              <w:rPr>
                <w:rFonts w:hint="default"/>
              </w:rPr>
            </w:pPr>
            <w:r>
              <w:rPr>
                <w:rFonts w:hint="default"/>
              </w:rPr>
              <w:t>本项目风力起尘主要</w:t>
            </w:r>
            <w:r>
              <w:rPr>
                <w:rFonts w:hint="eastAsia"/>
                <w:lang w:val="en-US" w:eastAsia="zh-CN"/>
              </w:rPr>
              <w:t>为现有渠道构筑物拆除、</w:t>
            </w:r>
            <w:r>
              <w:rPr>
                <w:rFonts w:hint="default"/>
              </w:rPr>
              <w:t>场地平整、基础开挖、土方回填等土方作业过程中，在气候干燥又有风的情况下，会产生扬尘，其扬尘可按堆场起尘的经验公式计算：</w:t>
            </w:r>
          </w:p>
          <w:p>
            <w:pPr>
              <w:keepLines w:val="0"/>
              <w:pageBreakBefore w:val="0"/>
              <w:kinsoku/>
              <w:wordWrap/>
              <w:overflowPunct/>
              <w:topLinePunct w:val="0"/>
              <w:autoSpaceDE/>
              <w:autoSpaceDN/>
              <w:bidi w:val="0"/>
              <w:adjustRightInd w:val="0"/>
              <w:snapToGrid w:val="0"/>
              <w:spacing w:line="4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object>
                <v:shape id="_x0000_i1025" o:spt="75" type="#_x0000_t75" style="height:21.75pt;width:144pt;" o:ole="t" filled="f" o:preferrelative="t" stroked="f" coordsize="21600,21600">
                  <v:path/>
                  <v:fill on="f" focussize="0,0"/>
                  <v:stroke on="f"/>
                  <v:imagedata r:id="rId10" o:title=""/>
                  <o:lock v:ext="edit" grouping="f" rotation="f" text="f" aspectratio="t"/>
                  <w10:wrap type="none"/>
                  <w10:anchorlock/>
                </v:shape>
                <o:OLEObject Type="Embed" ProgID="Equation.3" ShapeID="_x0000_i1025" DrawAspect="Content" ObjectID="_1468075725" r:id="rId9">
                  <o:LockedField>false</o:LockedField>
                </o:OLEObject>
              </w:object>
            </w:r>
          </w:p>
          <w:p>
            <w:pPr>
              <w:bidi w:val="0"/>
              <w:rPr>
                <w:rFonts w:hint="default"/>
              </w:rPr>
            </w:pPr>
            <w:r>
              <w:rPr>
                <w:rFonts w:hint="default"/>
              </w:rPr>
              <w:t>式中，Q—起尘量，kg/t·a；</w:t>
            </w:r>
          </w:p>
          <w:p>
            <w:pPr>
              <w:bidi w:val="0"/>
              <w:rPr>
                <w:rFonts w:hint="default"/>
              </w:rPr>
            </w:pPr>
            <w:r>
              <w:rPr>
                <w:rFonts w:hint="default"/>
              </w:rPr>
              <w:t>V50—距地面50m处风速，m/s；</w:t>
            </w:r>
          </w:p>
          <w:p>
            <w:pPr>
              <w:bidi w:val="0"/>
              <w:rPr>
                <w:rFonts w:hint="default"/>
              </w:rPr>
            </w:pPr>
            <w:r>
              <w:rPr>
                <w:rFonts w:hint="default"/>
              </w:rPr>
              <w:t>V0—起尘风速，m/s；</w:t>
            </w:r>
          </w:p>
          <w:p>
            <w:pPr>
              <w:bidi w:val="0"/>
              <w:rPr>
                <w:rFonts w:hint="default"/>
              </w:rPr>
            </w:pPr>
            <w:r>
              <w:rPr>
                <w:rFonts w:hint="default"/>
              </w:rPr>
              <w:t>W—尘粒的含水率，%。</w:t>
            </w:r>
          </w:p>
          <w:p>
            <w:pPr>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V</w:t>
            </w:r>
            <w:r>
              <w:rPr>
                <w:rFonts w:hint="default" w:ascii="Times New Roman" w:hAnsi="Times New Roman" w:eastAsia="宋体" w:cs="Times New Roman"/>
                <w:color w:val="auto"/>
                <w:sz w:val="24"/>
                <w:szCs w:val="24"/>
                <w:highlight w:val="none"/>
                <w:vertAlign w:val="subscript"/>
              </w:rPr>
              <w:t>0</w:t>
            </w:r>
            <w:r>
              <w:rPr>
                <w:rFonts w:hint="default" w:ascii="Times New Roman" w:hAnsi="Times New Roman" w:eastAsia="宋体" w:cs="Times New Roman"/>
                <w:color w:val="auto"/>
                <w:sz w:val="24"/>
                <w:szCs w:val="24"/>
                <w:highlight w:val="none"/>
              </w:rPr>
              <w:t>与粒径和含水率有关，因此，减少露天堆放和保证一定的含水率及减少裸露地面是减少风力起尘的有效手段。</w:t>
            </w:r>
          </w:p>
          <w:p>
            <w:pPr>
              <w:pStyle w:val="5"/>
              <w:bidi w:val="0"/>
              <w:rPr>
                <w:rFonts w:hint="default"/>
              </w:rPr>
            </w:pPr>
            <w:r>
              <w:rPr>
                <w:rFonts w:hint="default"/>
              </w:rPr>
              <w:t>表</w:t>
            </w:r>
            <w:r>
              <w:rPr>
                <w:rFonts w:hint="default"/>
                <w:lang w:val="en-US" w:eastAsia="zh-CN"/>
              </w:rPr>
              <w:t>4-1</w:t>
            </w:r>
            <w:r>
              <w:rPr>
                <w:rFonts w:hint="default"/>
              </w:rPr>
              <w:t xml:space="preserve">     不同粒径尘粒的沉降速度</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912"/>
              <w:gridCol w:w="912"/>
              <w:gridCol w:w="913"/>
              <w:gridCol w:w="913"/>
              <w:gridCol w:w="913"/>
              <w:gridCol w:w="913"/>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粒径，μm</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5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沉降速度，m/s</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0.003</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0.012</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0.027</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0.048</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0.075</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0.108</w:t>
                  </w:r>
                </w:p>
              </w:tc>
              <w:tc>
                <w:tcPr>
                  <w:tcW w:w="5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粒径，μm</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250</w:t>
                  </w:r>
                </w:p>
              </w:tc>
              <w:tc>
                <w:tcPr>
                  <w:tcW w:w="5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沉降速度，m/s</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0.158</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0.170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0.182</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0.239</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0.804</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1.005</w:t>
                  </w:r>
                </w:p>
              </w:tc>
              <w:tc>
                <w:tcPr>
                  <w:tcW w:w="5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粒径，μm</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450</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950</w:t>
                  </w:r>
                </w:p>
              </w:tc>
              <w:tc>
                <w:tcPr>
                  <w:tcW w:w="5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沉降速度，m/s</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2.211</w:t>
                  </w:r>
                </w:p>
              </w:tc>
              <w:tc>
                <w:tcPr>
                  <w:tcW w:w="56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2.614</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3.01</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3.418</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3.820</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4.222</w:t>
                  </w:r>
                </w:p>
              </w:tc>
              <w:tc>
                <w:tcPr>
                  <w:tcW w:w="55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4.624</w:t>
                  </w:r>
                </w:p>
              </w:tc>
            </w:tr>
          </w:tbl>
          <w:p>
            <w:pPr>
              <w:bidi w:val="0"/>
              <w:rPr>
                <w:rFonts w:hint="default"/>
              </w:rPr>
            </w:pPr>
            <w:r>
              <w:rPr>
                <w:rFonts w:hint="default"/>
              </w:rPr>
              <w:t>据有关文献资料介绍，车辆行驶产生的扬尘占总扬尘的60%以上。车辆行驶产生的扬尘，在完全干燥情况下，可按下列经验公式计算：</w:t>
            </w:r>
          </w:p>
          <w:p>
            <w:pPr>
              <w:keepLines w:val="0"/>
              <w:pageBreakBefore w:val="0"/>
              <w:kinsoku/>
              <w:wordWrap/>
              <w:overflowPunct/>
              <w:topLinePunct w:val="0"/>
              <w:autoSpaceDE/>
              <w:autoSpaceDN/>
              <w:bidi w:val="0"/>
              <w:adjustRightInd w:val="0"/>
              <w:snapToGrid w:val="0"/>
              <w:spacing w:line="4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Q</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0.123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V/5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W/6.8</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vertAlign w:val="superscript"/>
              </w:rPr>
              <w:t>0.85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P/0.5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vertAlign w:val="superscript"/>
              </w:rPr>
              <w:t>0.75</w:t>
            </w:r>
          </w:p>
          <w:p>
            <w:pPr>
              <w:bidi w:val="0"/>
              <w:rPr>
                <w:rFonts w:hint="default"/>
              </w:rPr>
            </w:pPr>
            <w:r>
              <w:rPr>
                <w:rFonts w:hint="default"/>
              </w:rPr>
              <w:t>式中，Q—汽车行驶的扬尘，kg/km·辆；</w:t>
            </w:r>
          </w:p>
          <w:p>
            <w:pPr>
              <w:bidi w:val="0"/>
              <w:rPr>
                <w:rFonts w:hint="default"/>
              </w:rPr>
            </w:pPr>
            <w:r>
              <w:rPr>
                <w:rFonts w:hint="default"/>
              </w:rPr>
              <w:t>V—汽车速度，km/hr；</w:t>
            </w:r>
          </w:p>
          <w:p>
            <w:pPr>
              <w:bidi w:val="0"/>
              <w:rPr>
                <w:rFonts w:hint="default"/>
              </w:rPr>
            </w:pPr>
            <w:r>
              <w:rPr>
                <w:rFonts w:hint="default"/>
              </w:rPr>
              <w:t>W—汽车载重量，t；</w:t>
            </w:r>
          </w:p>
          <w:p>
            <w:pPr>
              <w:bidi w:val="0"/>
              <w:rPr>
                <w:rFonts w:hint="default"/>
              </w:rPr>
            </w:pPr>
            <w:r>
              <w:rPr>
                <w:rFonts w:hint="default"/>
              </w:rPr>
              <w:t>P—道路表面粉尘量，kg/m</w:t>
            </w:r>
            <w:r>
              <w:rPr>
                <w:rFonts w:hint="default"/>
                <w:vertAlign w:val="superscript"/>
              </w:rPr>
              <w:t>2</w:t>
            </w:r>
            <w:r>
              <w:rPr>
                <w:rFonts w:hint="default"/>
              </w:rPr>
              <w:t>。</w:t>
            </w:r>
          </w:p>
          <w:p>
            <w:pPr>
              <w:bidi w:val="0"/>
              <w:rPr>
                <w:rFonts w:hint="default"/>
              </w:rPr>
            </w:pPr>
            <w:r>
              <w:rPr>
                <w:rFonts w:hint="default"/>
              </w:rPr>
              <w:t>公式显示，车辆行驶产生的扬尘与道路路面及车辆行驶速度有关。下表为一辆10t卡车，通过一段长度为1km的路面时，不同路面清洁程度，不同行驶速度情况下的扬尘量。</w:t>
            </w:r>
          </w:p>
          <w:p>
            <w:pPr>
              <w:pStyle w:val="5"/>
              <w:bidi w:val="0"/>
              <w:jc w:val="center"/>
              <w:rPr>
                <w:rFonts w:hint="default"/>
              </w:rPr>
            </w:pPr>
            <w:r>
              <w:rPr>
                <w:rFonts w:hint="default"/>
              </w:rPr>
              <w:t>表</w:t>
            </w:r>
            <w:r>
              <w:rPr>
                <w:rFonts w:hint="default"/>
                <w:lang w:val="en-US" w:eastAsia="zh-CN"/>
              </w:rPr>
              <w:t>4-2</w:t>
            </w:r>
            <w:r>
              <w:rPr>
                <w:rFonts w:hint="default"/>
              </w:rPr>
              <w:t xml:space="preserve">  在不同车速和地面清洁程度的汽车扬尘   单位：kg/辆·km</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127"/>
              <w:gridCol w:w="1127"/>
              <w:gridCol w:w="1127"/>
              <w:gridCol w:w="1127"/>
              <w:gridCol w:w="1127"/>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tcBorders>
                    <w:tl2br w:val="single" w:color="auto" w:sz="4" w:space="0"/>
                  </w:tcBorders>
                  <w:noWrap w:val="0"/>
                  <w:vAlign w:val="center"/>
                </w:tcPr>
                <w:p>
                  <w:pPr>
                    <w:pStyle w:val="6"/>
                    <w:bidi w:val="0"/>
                    <w:jc w:val="right"/>
                    <w:rPr>
                      <w:rFonts w:hint="default"/>
                      <w:lang w:val="en-US" w:eastAsia="zh-CN"/>
                    </w:rPr>
                  </w:pPr>
                  <w:r>
                    <w:rPr>
                      <w:rFonts w:hint="default"/>
                    </w:rPr>
                    <w:t>P</w:t>
                  </w:r>
                </w:p>
                <w:p>
                  <w:pPr>
                    <w:pStyle w:val="6"/>
                    <w:bidi w:val="0"/>
                    <w:jc w:val="left"/>
                    <w:rPr>
                      <w:rFonts w:hint="default"/>
                    </w:rPr>
                  </w:pPr>
                  <w:r>
                    <w:rPr>
                      <w:rFonts w:hint="default"/>
                    </w:rPr>
                    <w:t>车速</w:t>
                  </w:r>
                </w:p>
              </w:tc>
              <w:tc>
                <w:tcPr>
                  <w:tcW w:w="692" w:type="pct"/>
                  <w:noWrap w:val="0"/>
                  <w:vAlign w:val="center"/>
                </w:tcPr>
                <w:p>
                  <w:pPr>
                    <w:pStyle w:val="6"/>
                    <w:bidi w:val="0"/>
                    <w:rPr>
                      <w:rFonts w:hint="default"/>
                    </w:rPr>
                  </w:pPr>
                  <w:r>
                    <w:rPr>
                      <w:rFonts w:hint="default"/>
                    </w:rPr>
                    <w:t>0.1</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bidi w:val="0"/>
                    <w:rPr>
                      <w:rFonts w:hint="default"/>
                    </w:rPr>
                  </w:pPr>
                  <w:r>
                    <w:rPr>
                      <w:rFonts w:hint="default"/>
                    </w:rPr>
                    <w:t>0.2</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bidi w:val="0"/>
                    <w:rPr>
                      <w:rFonts w:hint="default"/>
                    </w:rPr>
                  </w:pPr>
                  <w:r>
                    <w:rPr>
                      <w:rFonts w:hint="default"/>
                    </w:rPr>
                    <w:t>0.3</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bidi w:val="0"/>
                    <w:rPr>
                      <w:rFonts w:hint="default"/>
                    </w:rPr>
                  </w:pPr>
                  <w:r>
                    <w:rPr>
                      <w:rFonts w:hint="default"/>
                    </w:rPr>
                    <w:t>0.4</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bidi w:val="0"/>
                    <w:rPr>
                      <w:rFonts w:hint="default"/>
                    </w:rPr>
                  </w:pPr>
                  <w:r>
                    <w:rPr>
                      <w:rFonts w:hint="default"/>
                    </w:rPr>
                    <w:t>0.5</w:t>
                  </w:r>
                  <w:r>
                    <w:rPr>
                      <w:rFonts w:hint="eastAsia"/>
                      <w:lang w:eastAsia="zh-CN"/>
                    </w:rPr>
                    <w:t>(</w:t>
                  </w:r>
                  <w:r>
                    <w:rPr>
                      <w:rFonts w:hint="default"/>
                    </w:rPr>
                    <w:t>kg/m</w:t>
                  </w:r>
                  <w:r>
                    <w:rPr>
                      <w:rFonts w:hint="default"/>
                      <w:vertAlign w:val="superscript"/>
                    </w:rPr>
                    <w:t>2</w:t>
                  </w:r>
                  <w:r>
                    <w:rPr>
                      <w:rFonts w:hint="eastAsia"/>
                      <w:lang w:eastAsia="zh-CN"/>
                    </w:rPr>
                    <w:t>)</w:t>
                  </w:r>
                </w:p>
              </w:tc>
              <w:tc>
                <w:tcPr>
                  <w:tcW w:w="695" w:type="pct"/>
                  <w:noWrap w:val="0"/>
                  <w:vAlign w:val="center"/>
                </w:tcPr>
                <w:p>
                  <w:pPr>
                    <w:pStyle w:val="6"/>
                    <w:bidi w:val="0"/>
                    <w:rPr>
                      <w:rFonts w:hint="default"/>
                    </w:rPr>
                  </w:pPr>
                  <w:r>
                    <w:rPr>
                      <w:rFonts w:hint="default"/>
                    </w:rPr>
                    <w:t>1.0</w:t>
                  </w:r>
                  <w:r>
                    <w:rPr>
                      <w:rFonts w:hint="eastAsia"/>
                      <w:lang w:eastAsia="zh-CN"/>
                    </w:rPr>
                    <w:t>(</w:t>
                  </w:r>
                  <w:r>
                    <w:rPr>
                      <w:rFonts w:hint="default"/>
                    </w:rPr>
                    <w:t>kg/m</w:t>
                  </w:r>
                  <w:r>
                    <w:rPr>
                      <w:rFonts w:hint="default"/>
                      <w:vertAlign w:val="superscript"/>
                    </w:rPr>
                    <w:t>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bidi w:val="0"/>
                    <w:rPr>
                      <w:rFonts w:hint="default"/>
                    </w:rPr>
                  </w:pPr>
                  <w:r>
                    <w:rPr>
                      <w:rFonts w:hint="default"/>
                    </w:rPr>
                    <w:t>5</w:t>
                  </w:r>
                  <w:r>
                    <w:rPr>
                      <w:rFonts w:hint="eastAsia"/>
                      <w:lang w:eastAsia="zh-CN"/>
                    </w:rPr>
                    <w:t>(</w:t>
                  </w:r>
                  <w:r>
                    <w:rPr>
                      <w:rFonts w:hint="default"/>
                    </w:rPr>
                    <w:t>km/hr</w:t>
                  </w:r>
                  <w:r>
                    <w:rPr>
                      <w:rFonts w:hint="eastAsia"/>
                      <w:lang w:eastAsia="zh-CN"/>
                    </w:rPr>
                    <w:t>)</w:t>
                  </w:r>
                </w:p>
              </w:tc>
              <w:tc>
                <w:tcPr>
                  <w:tcW w:w="692" w:type="pct"/>
                  <w:noWrap w:val="0"/>
                  <w:vAlign w:val="center"/>
                </w:tcPr>
                <w:p>
                  <w:pPr>
                    <w:pStyle w:val="6"/>
                    <w:bidi w:val="0"/>
                    <w:rPr>
                      <w:rFonts w:hint="default"/>
                    </w:rPr>
                  </w:pPr>
                  <w:r>
                    <w:rPr>
                      <w:rFonts w:hint="default"/>
                    </w:rPr>
                    <w:t>0.051056</w:t>
                  </w:r>
                </w:p>
              </w:tc>
              <w:tc>
                <w:tcPr>
                  <w:tcW w:w="692" w:type="pct"/>
                  <w:noWrap w:val="0"/>
                  <w:vAlign w:val="center"/>
                </w:tcPr>
                <w:p>
                  <w:pPr>
                    <w:pStyle w:val="6"/>
                    <w:bidi w:val="0"/>
                    <w:rPr>
                      <w:rFonts w:hint="default"/>
                    </w:rPr>
                  </w:pPr>
                  <w:r>
                    <w:rPr>
                      <w:rFonts w:hint="default"/>
                    </w:rPr>
                    <w:t>0.085865</w:t>
                  </w:r>
                </w:p>
              </w:tc>
              <w:tc>
                <w:tcPr>
                  <w:tcW w:w="692" w:type="pct"/>
                  <w:noWrap w:val="0"/>
                  <w:vAlign w:val="center"/>
                </w:tcPr>
                <w:p>
                  <w:pPr>
                    <w:pStyle w:val="6"/>
                    <w:bidi w:val="0"/>
                    <w:rPr>
                      <w:rFonts w:hint="default"/>
                    </w:rPr>
                  </w:pPr>
                  <w:r>
                    <w:rPr>
                      <w:rFonts w:hint="default"/>
                    </w:rPr>
                    <w:t>0.116382</w:t>
                  </w:r>
                </w:p>
              </w:tc>
              <w:tc>
                <w:tcPr>
                  <w:tcW w:w="692" w:type="pct"/>
                  <w:noWrap w:val="0"/>
                  <w:vAlign w:val="center"/>
                </w:tcPr>
                <w:p>
                  <w:pPr>
                    <w:pStyle w:val="6"/>
                    <w:bidi w:val="0"/>
                    <w:rPr>
                      <w:rFonts w:hint="default"/>
                    </w:rPr>
                  </w:pPr>
                  <w:r>
                    <w:rPr>
                      <w:rFonts w:hint="default"/>
                    </w:rPr>
                    <w:t>0.144408</w:t>
                  </w:r>
                </w:p>
              </w:tc>
              <w:tc>
                <w:tcPr>
                  <w:tcW w:w="692" w:type="pct"/>
                  <w:noWrap w:val="0"/>
                  <w:vAlign w:val="center"/>
                </w:tcPr>
                <w:p>
                  <w:pPr>
                    <w:pStyle w:val="6"/>
                    <w:bidi w:val="0"/>
                    <w:rPr>
                      <w:rFonts w:hint="default"/>
                    </w:rPr>
                  </w:pPr>
                  <w:r>
                    <w:rPr>
                      <w:rFonts w:hint="default"/>
                    </w:rPr>
                    <w:t>0.170715</w:t>
                  </w:r>
                </w:p>
              </w:tc>
              <w:tc>
                <w:tcPr>
                  <w:tcW w:w="695" w:type="pct"/>
                  <w:noWrap w:val="0"/>
                  <w:vAlign w:val="center"/>
                </w:tcPr>
                <w:p>
                  <w:pPr>
                    <w:pStyle w:val="6"/>
                    <w:bidi w:val="0"/>
                    <w:rPr>
                      <w:rFonts w:hint="default"/>
                    </w:rPr>
                  </w:pPr>
                  <w:r>
                    <w:rPr>
                      <w:rFonts w:hint="default"/>
                    </w:rPr>
                    <w:t>0.287108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bidi w:val="0"/>
                    <w:rPr>
                      <w:rFonts w:hint="default"/>
                    </w:rPr>
                  </w:pPr>
                  <w:r>
                    <w:rPr>
                      <w:rFonts w:hint="default"/>
                    </w:rPr>
                    <w:t>10</w:t>
                  </w:r>
                  <w:r>
                    <w:rPr>
                      <w:rFonts w:hint="eastAsia"/>
                      <w:lang w:eastAsia="zh-CN"/>
                    </w:rPr>
                    <w:t>(</w:t>
                  </w:r>
                  <w:r>
                    <w:rPr>
                      <w:rFonts w:hint="default"/>
                    </w:rPr>
                    <w:t>km/hr</w:t>
                  </w:r>
                  <w:r>
                    <w:rPr>
                      <w:rFonts w:hint="eastAsia"/>
                      <w:lang w:eastAsia="zh-CN"/>
                    </w:rPr>
                    <w:t>)</w:t>
                  </w:r>
                </w:p>
              </w:tc>
              <w:tc>
                <w:tcPr>
                  <w:tcW w:w="692" w:type="pct"/>
                  <w:noWrap w:val="0"/>
                  <w:vAlign w:val="center"/>
                </w:tcPr>
                <w:p>
                  <w:pPr>
                    <w:pStyle w:val="6"/>
                    <w:bidi w:val="0"/>
                    <w:rPr>
                      <w:rFonts w:hint="default"/>
                    </w:rPr>
                  </w:pPr>
                  <w:r>
                    <w:rPr>
                      <w:rFonts w:hint="default"/>
                    </w:rPr>
                    <w:t>0.102112</w:t>
                  </w:r>
                </w:p>
              </w:tc>
              <w:tc>
                <w:tcPr>
                  <w:tcW w:w="692" w:type="pct"/>
                  <w:noWrap w:val="0"/>
                  <w:vAlign w:val="center"/>
                </w:tcPr>
                <w:p>
                  <w:pPr>
                    <w:pStyle w:val="6"/>
                    <w:bidi w:val="0"/>
                    <w:rPr>
                      <w:rFonts w:hint="default"/>
                    </w:rPr>
                  </w:pPr>
                  <w:r>
                    <w:rPr>
                      <w:rFonts w:hint="default"/>
                    </w:rPr>
                    <w:t>0.171731</w:t>
                  </w:r>
                </w:p>
              </w:tc>
              <w:tc>
                <w:tcPr>
                  <w:tcW w:w="692" w:type="pct"/>
                  <w:noWrap w:val="0"/>
                  <w:vAlign w:val="center"/>
                </w:tcPr>
                <w:p>
                  <w:pPr>
                    <w:pStyle w:val="6"/>
                    <w:bidi w:val="0"/>
                    <w:rPr>
                      <w:rFonts w:hint="default"/>
                    </w:rPr>
                  </w:pPr>
                  <w:r>
                    <w:rPr>
                      <w:rFonts w:hint="default"/>
                    </w:rPr>
                    <w:t>0.232764</w:t>
                  </w:r>
                </w:p>
              </w:tc>
              <w:tc>
                <w:tcPr>
                  <w:tcW w:w="692" w:type="pct"/>
                  <w:noWrap w:val="0"/>
                  <w:vAlign w:val="center"/>
                </w:tcPr>
                <w:p>
                  <w:pPr>
                    <w:pStyle w:val="6"/>
                    <w:bidi w:val="0"/>
                    <w:rPr>
                      <w:rFonts w:hint="default"/>
                    </w:rPr>
                  </w:pPr>
                  <w:r>
                    <w:rPr>
                      <w:rFonts w:hint="default"/>
                    </w:rPr>
                    <w:t>0.288815</w:t>
                  </w:r>
                </w:p>
              </w:tc>
              <w:tc>
                <w:tcPr>
                  <w:tcW w:w="692" w:type="pct"/>
                  <w:noWrap w:val="0"/>
                  <w:vAlign w:val="center"/>
                </w:tcPr>
                <w:p>
                  <w:pPr>
                    <w:pStyle w:val="6"/>
                    <w:bidi w:val="0"/>
                    <w:rPr>
                      <w:rFonts w:hint="default"/>
                    </w:rPr>
                  </w:pPr>
                  <w:r>
                    <w:rPr>
                      <w:rFonts w:hint="default"/>
                    </w:rPr>
                    <w:t>0.341431</w:t>
                  </w:r>
                </w:p>
              </w:tc>
              <w:tc>
                <w:tcPr>
                  <w:tcW w:w="695" w:type="pct"/>
                  <w:noWrap w:val="0"/>
                  <w:vAlign w:val="center"/>
                </w:tcPr>
                <w:p>
                  <w:pPr>
                    <w:pStyle w:val="6"/>
                    <w:bidi w:val="0"/>
                    <w:rPr>
                      <w:rFonts w:hint="default"/>
                    </w:rPr>
                  </w:pPr>
                  <w:r>
                    <w:rPr>
                      <w:rFonts w:hint="default"/>
                    </w:rPr>
                    <w:t>0.574216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bidi w:val="0"/>
                    <w:rPr>
                      <w:rFonts w:hint="default"/>
                    </w:rPr>
                  </w:pPr>
                  <w:r>
                    <w:rPr>
                      <w:rFonts w:hint="default"/>
                    </w:rPr>
                    <w:t>15</w:t>
                  </w:r>
                  <w:r>
                    <w:rPr>
                      <w:rFonts w:hint="eastAsia"/>
                      <w:lang w:eastAsia="zh-CN"/>
                    </w:rPr>
                    <w:t>(</w:t>
                  </w:r>
                  <w:r>
                    <w:rPr>
                      <w:rFonts w:hint="default"/>
                    </w:rPr>
                    <w:t>km/hr</w:t>
                  </w:r>
                  <w:r>
                    <w:rPr>
                      <w:rFonts w:hint="eastAsia"/>
                      <w:lang w:eastAsia="zh-CN"/>
                    </w:rPr>
                    <w:t>)</w:t>
                  </w:r>
                </w:p>
              </w:tc>
              <w:tc>
                <w:tcPr>
                  <w:tcW w:w="692" w:type="pct"/>
                  <w:noWrap w:val="0"/>
                  <w:vAlign w:val="center"/>
                </w:tcPr>
                <w:p>
                  <w:pPr>
                    <w:pStyle w:val="6"/>
                    <w:bidi w:val="0"/>
                    <w:rPr>
                      <w:rFonts w:hint="default"/>
                    </w:rPr>
                  </w:pPr>
                  <w:r>
                    <w:rPr>
                      <w:rFonts w:hint="default"/>
                    </w:rPr>
                    <w:t>0.153167</w:t>
                  </w:r>
                </w:p>
              </w:tc>
              <w:tc>
                <w:tcPr>
                  <w:tcW w:w="692" w:type="pct"/>
                  <w:noWrap w:val="0"/>
                  <w:vAlign w:val="center"/>
                </w:tcPr>
                <w:p>
                  <w:pPr>
                    <w:pStyle w:val="6"/>
                    <w:bidi w:val="0"/>
                    <w:rPr>
                      <w:rFonts w:hint="default"/>
                    </w:rPr>
                  </w:pPr>
                  <w:r>
                    <w:rPr>
                      <w:rFonts w:hint="default"/>
                    </w:rPr>
                    <w:t>0.257596</w:t>
                  </w:r>
                </w:p>
              </w:tc>
              <w:tc>
                <w:tcPr>
                  <w:tcW w:w="692" w:type="pct"/>
                  <w:noWrap w:val="0"/>
                  <w:vAlign w:val="center"/>
                </w:tcPr>
                <w:p>
                  <w:pPr>
                    <w:pStyle w:val="6"/>
                    <w:bidi w:val="0"/>
                    <w:rPr>
                      <w:rFonts w:hint="default"/>
                    </w:rPr>
                  </w:pPr>
                  <w:r>
                    <w:rPr>
                      <w:rFonts w:hint="default"/>
                    </w:rPr>
                    <w:t>0.349146</w:t>
                  </w:r>
                </w:p>
              </w:tc>
              <w:tc>
                <w:tcPr>
                  <w:tcW w:w="692" w:type="pct"/>
                  <w:noWrap w:val="0"/>
                  <w:vAlign w:val="center"/>
                </w:tcPr>
                <w:p>
                  <w:pPr>
                    <w:pStyle w:val="6"/>
                    <w:bidi w:val="0"/>
                    <w:rPr>
                      <w:rFonts w:hint="default"/>
                    </w:rPr>
                  </w:pPr>
                  <w:r>
                    <w:rPr>
                      <w:rFonts w:hint="default"/>
                    </w:rPr>
                    <w:t>0.433223</w:t>
                  </w:r>
                </w:p>
              </w:tc>
              <w:tc>
                <w:tcPr>
                  <w:tcW w:w="692" w:type="pct"/>
                  <w:noWrap w:val="0"/>
                  <w:vAlign w:val="center"/>
                </w:tcPr>
                <w:p>
                  <w:pPr>
                    <w:pStyle w:val="6"/>
                    <w:bidi w:val="0"/>
                    <w:rPr>
                      <w:rFonts w:hint="default"/>
                    </w:rPr>
                  </w:pPr>
                  <w:r>
                    <w:rPr>
                      <w:rFonts w:hint="default"/>
                    </w:rPr>
                    <w:t>0.512146</w:t>
                  </w:r>
                </w:p>
              </w:tc>
              <w:tc>
                <w:tcPr>
                  <w:tcW w:w="695" w:type="pct"/>
                  <w:noWrap w:val="0"/>
                  <w:vAlign w:val="center"/>
                </w:tcPr>
                <w:p>
                  <w:pPr>
                    <w:pStyle w:val="6"/>
                    <w:bidi w:val="0"/>
                    <w:rPr>
                      <w:rFonts w:hint="default"/>
                    </w:rPr>
                  </w:pPr>
                  <w:r>
                    <w:rPr>
                      <w:rFonts w:hint="default"/>
                    </w:rPr>
                    <w:t>0.861323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bidi w:val="0"/>
                    <w:rPr>
                      <w:rFonts w:hint="default"/>
                    </w:rPr>
                  </w:pPr>
                  <w:r>
                    <w:rPr>
                      <w:rFonts w:hint="default"/>
                    </w:rPr>
                    <w:t>25</w:t>
                  </w:r>
                  <w:r>
                    <w:rPr>
                      <w:rFonts w:hint="eastAsia"/>
                      <w:lang w:eastAsia="zh-CN"/>
                    </w:rPr>
                    <w:t>(</w:t>
                  </w:r>
                  <w:r>
                    <w:rPr>
                      <w:rFonts w:hint="default"/>
                    </w:rPr>
                    <w:t>km/hr</w:t>
                  </w:r>
                  <w:r>
                    <w:rPr>
                      <w:rFonts w:hint="eastAsia"/>
                      <w:lang w:eastAsia="zh-CN"/>
                    </w:rPr>
                    <w:t>)</w:t>
                  </w:r>
                </w:p>
              </w:tc>
              <w:tc>
                <w:tcPr>
                  <w:tcW w:w="692" w:type="pct"/>
                  <w:noWrap w:val="0"/>
                  <w:vAlign w:val="center"/>
                </w:tcPr>
                <w:p>
                  <w:pPr>
                    <w:pStyle w:val="6"/>
                    <w:bidi w:val="0"/>
                    <w:rPr>
                      <w:rFonts w:hint="default"/>
                    </w:rPr>
                  </w:pPr>
                  <w:r>
                    <w:rPr>
                      <w:rFonts w:hint="default"/>
                    </w:rPr>
                    <w:t>0.255279</w:t>
                  </w:r>
                </w:p>
              </w:tc>
              <w:tc>
                <w:tcPr>
                  <w:tcW w:w="692" w:type="pct"/>
                  <w:noWrap w:val="0"/>
                  <w:vAlign w:val="center"/>
                </w:tcPr>
                <w:p>
                  <w:pPr>
                    <w:pStyle w:val="6"/>
                    <w:bidi w:val="0"/>
                    <w:rPr>
                      <w:rFonts w:hint="default"/>
                    </w:rPr>
                  </w:pPr>
                  <w:r>
                    <w:rPr>
                      <w:rFonts w:hint="default"/>
                    </w:rPr>
                    <w:t>0.429326</w:t>
                  </w:r>
                </w:p>
              </w:tc>
              <w:tc>
                <w:tcPr>
                  <w:tcW w:w="692" w:type="pct"/>
                  <w:noWrap w:val="0"/>
                  <w:vAlign w:val="center"/>
                </w:tcPr>
                <w:p>
                  <w:pPr>
                    <w:pStyle w:val="6"/>
                    <w:bidi w:val="0"/>
                    <w:rPr>
                      <w:rFonts w:hint="default"/>
                    </w:rPr>
                  </w:pPr>
                  <w:r>
                    <w:rPr>
                      <w:rFonts w:hint="default"/>
                    </w:rPr>
                    <w:t>0.58191</w:t>
                  </w:r>
                </w:p>
              </w:tc>
              <w:tc>
                <w:tcPr>
                  <w:tcW w:w="692" w:type="pct"/>
                  <w:noWrap w:val="0"/>
                  <w:vAlign w:val="center"/>
                </w:tcPr>
                <w:p>
                  <w:pPr>
                    <w:pStyle w:val="6"/>
                    <w:bidi w:val="0"/>
                    <w:rPr>
                      <w:rFonts w:hint="default"/>
                    </w:rPr>
                  </w:pPr>
                  <w:r>
                    <w:rPr>
                      <w:rFonts w:hint="default"/>
                    </w:rPr>
                    <w:t>0.722038</w:t>
                  </w:r>
                </w:p>
              </w:tc>
              <w:tc>
                <w:tcPr>
                  <w:tcW w:w="692" w:type="pct"/>
                  <w:noWrap w:val="0"/>
                  <w:vAlign w:val="center"/>
                </w:tcPr>
                <w:p>
                  <w:pPr>
                    <w:pStyle w:val="6"/>
                    <w:bidi w:val="0"/>
                    <w:rPr>
                      <w:rFonts w:hint="default"/>
                    </w:rPr>
                  </w:pPr>
                  <w:r>
                    <w:rPr>
                      <w:rFonts w:hint="default"/>
                    </w:rPr>
                    <w:t>0.853577</w:t>
                  </w:r>
                </w:p>
              </w:tc>
              <w:tc>
                <w:tcPr>
                  <w:tcW w:w="695" w:type="pct"/>
                  <w:noWrap w:val="0"/>
                  <w:vAlign w:val="center"/>
                </w:tcPr>
                <w:p>
                  <w:pPr>
                    <w:pStyle w:val="6"/>
                    <w:bidi w:val="0"/>
                    <w:rPr>
                      <w:rFonts w:hint="default"/>
                    </w:rPr>
                  </w:pPr>
                  <w:r>
                    <w:rPr>
                      <w:rFonts w:hint="default"/>
                    </w:rPr>
                    <w:t>1.435539</w:t>
                  </w:r>
                </w:p>
              </w:tc>
            </w:tr>
          </w:tbl>
          <w:p>
            <w:pPr>
              <w:bidi w:val="0"/>
              <w:rPr>
                <w:rFonts w:hint="default"/>
              </w:rPr>
            </w:pPr>
            <w:r>
              <w:rPr>
                <w:rFonts w:hint="default"/>
              </w:rPr>
              <w:t>由此可见，在同样路面清洁程度条件下，车速越快，扬尘量越大；而在同样车速情况下，路面越脏，则扬尘量越大。</w:t>
            </w:r>
          </w:p>
          <w:p>
            <w:pPr>
              <w:bidi w:val="0"/>
              <w:rPr>
                <w:rFonts w:hint="default"/>
              </w:rPr>
            </w:pPr>
            <w:r>
              <w:rPr>
                <w:rFonts w:hint="default"/>
              </w:rPr>
              <w:t>在工程施工作业过程中，施工场地扬尘较为严重，在不采取降尘措施的情况下，类比同类施工场地，当风速为2.4m/s时，施工场地下风向100m处的扬尘量可达19.7mg/m</w:t>
            </w:r>
            <w:r>
              <w:rPr>
                <w:rFonts w:hint="default"/>
                <w:vertAlign w:val="superscript"/>
              </w:rPr>
              <w:t>3</w:t>
            </w:r>
            <w:r>
              <w:rPr>
                <w:rFonts w:hint="default"/>
              </w:rPr>
              <w:t>，150m处可达5.0mg/m</w:t>
            </w:r>
            <w:r>
              <w:rPr>
                <w:rFonts w:hint="default"/>
                <w:vertAlign w:val="superscript"/>
              </w:rPr>
              <w:t>3</w:t>
            </w:r>
            <w:r>
              <w:rPr>
                <w:rFonts w:hint="default"/>
              </w:rPr>
              <w:t>。</w:t>
            </w:r>
          </w:p>
          <w:p>
            <w:pPr>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工地道路扬尘是施工工地扬尘的两项主要来源之一，占全部施工扬尘的60%以上，</w:t>
            </w:r>
            <w:r>
              <w:rPr>
                <w:rFonts w:hint="eastAsia" w:ascii="Times New Roman" w:hAnsi="Times New Roman" w:eastAsia="宋体" w:cs="Times New Roman"/>
                <w:color w:val="auto"/>
                <w:sz w:val="24"/>
                <w:szCs w:val="24"/>
                <w:highlight w:val="none"/>
                <w:lang w:eastAsia="zh-CN"/>
              </w:rPr>
              <w:t>其他为</w:t>
            </w:r>
            <w:r>
              <w:rPr>
                <w:rFonts w:hint="default" w:ascii="Times New Roman" w:hAnsi="Times New Roman" w:eastAsia="宋体" w:cs="Times New Roman"/>
                <w:color w:val="auto"/>
                <w:sz w:val="24"/>
                <w:szCs w:val="24"/>
                <w:highlight w:val="none"/>
              </w:rPr>
              <w:t>工地扬尘（材料的搬运和作业扬尘，土方和砂石的堆放扬尘，施工作业扬尘等）。由此可见，处理好道路扬尘是减少扬尘污染的关键。</w:t>
            </w:r>
            <w:r>
              <w:rPr>
                <w:rFonts w:hint="eastAsia" w:cs="Times New Roman"/>
                <w:color w:val="auto"/>
                <w:sz w:val="24"/>
                <w:szCs w:val="24"/>
                <w:highlight w:val="none"/>
                <w:lang w:val="en-US" w:eastAsia="zh-CN"/>
              </w:rPr>
              <w:t>施工场地</w:t>
            </w:r>
            <w:r>
              <w:rPr>
                <w:rFonts w:hint="default" w:ascii="Times New Roman" w:hAnsi="Times New Roman" w:eastAsia="宋体" w:cs="Times New Roman"/>
                <w:color w:val="auto"/>
                <w:sz w:val="24"/>
                <w:szCs w:val="24"/>
                <w:highlight w:val="none"/>
              </w:rPr>
              <w:t>扬尘对环境TSP浓度的影响范围主要集中在项目作业区100m以内。即：下风向一侧0～50m为重污染带、50～100m为较重污染带、大于100m为轻污染带。被影响地区TSP浓度平均值为12.35mg/m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pPr>
              <w:bidi w:val="0"/>
              <w:rPr>
                <w:rFonts w:hint="default"/>
              </w:rPr>
            </w:pPr>
            <w:r>
              <w:rPr>
                <w:rFonts w:hint="default"/>
              </w:rPr>
              <w:t>本项目施工作业工程中</w:t>
            </w:r>
            <w:r>
              <w:rPr>
                <w:rFonts w:hint="default"/>
                <w:lang w:val="en-US" w:eastAsia="zh-CN"/>
              </w:rPr>
              <w:t>应</w:t>
            </w:r>
            <w:r>
              <w:rPr>
                <w:rFonts w:hint="default"/>
              </w:rPr>
              <w:t>采取洒水降尘措施以减少对周边环境和环境敏感目标的影响。</w:t>
            </w:r>
          </w:p>
          <w:p>
            <w:pPr>
              <w:pStyle w:val="3"/>
              <w:bidi w:val="0"/>
              <w:rPr>
                <w:rFonts w:hint="default"/>
              </w:rPr>
            </w:pPr>
            <w:r>
              <w:rPr>
                <w:rFonts w:hint="default"/>
              </w:rPr>
              <w:t>2.2</w:t>
            </w:r>
            <w:r>
              <w:rPr>
                <w:rFonts w:hint="eastAsia"/>
                <w:lang w:val="en-US" w:eastAsia="zh-CN"/>
              </w:rPr>
              <w:t xml:space="preserve"> </w:t>
            </w:r>
            <w:r>
              <w:rPr>
                <w:rFonts w:hint="default"/>
              </w:rPr>
              <w:t>施工机械废气</w:t>
            </w:r>
          </w:p>
          <w:p>
            <w:pPr>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施工机械设备燃烧燃油过程中将产生CO、NO</w:t>
            </w:r>
            <w:r>
              <w:rPr>
                <w:rFonts w:hint="eastAsia"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、碳氢化合</w:t>
            </w:r>
            <w:r>
              <w:rPr>
                <w:rFonts w:hint="eastAsia" w:cs="Times New Roman"/>
                <w:color w:val="auto"/>
                <w:sz w:val="24"/>
                <w:szCs w:val="24"/>
                <w:highlight w:val="none"/>
                <w:lang w:eastAsia="zh-CN"/>
              </w:rPr>
              <w:t>物等</w:t>
            </w:r>
            <w:r>
              <w:rPr>
                <w:rFonts w:hint="default" w:ascii="Times New Roman" w:hAnsi="Times New Roman" w:eastAsia="宋体" w:cs="Times New Roman"/>
                <w:color w:val="auto"/>
                <w:sz w:val="24"/>
                <w:szCs w:val="24"/>
                <w:highlight w:val="none"/>
              </w:rPr>
              <w:t>污染物。每吨柴油燃烧排放有害气体量详见下表。</w:t>
            </w:r>
          </w:p>
          <w:p>
            <w:pPr>
              <w:pStyle w:val="5"/>
              <w:bidi w:val="0"/>
              <w:rPr>
                <w:rFonts w:hint="default"/>
              </w:rPr>
            </w:pPr>
            <w:r>
              <w:rPr>
                <w:rFonts w:hint="default"/>
              </w:rPr>
              <w:t>表</w:t>
            </w:r>
            <w:r>
              <w:rPr>
                <w:rFonts w:hint="default"/>
                <w:lang w:val="en-US" w:eastAsia="zh-CN"/>
              </w:rPr>
              <w:t>4-3</w:t>
            </w:r>
            <w:r>
              <w:rPr>
                <w:rFonts w:hint="default"/>
              </w:rPr>
              <w:t xml:space="preserve">   燃烧1t柴油排放的有害物质表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69"/>
              <w:gridCol w:w="1606"/>
              <w:gridCol w:w="1342"/>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45" w:type="pct"/>
                  <w:noWrap w:val="0"/>
                  <w:vAlign w:val="center"/>
                </w:tcPr>
                <w:p>
                  <w:pPr>
                    <w:pStyle w:val="6"/>
                    <w:bidi w:val="0"/>
                    <w:rPr>
                      <w:rFonts w:hint="eastAsia"/>
                    </w:rPr>
                  </w:pPr>
                  <w:r>
                    <w:rPr>
                      <w:rFonts w:hint="eastAsia"/>
                    </w:rPr>
                    <w:t>有害物质</w:t>
                  </w:r>
                </w:p>
              </w:tc>
              <w:tc>
                <w:tcPr>
                  <w:tcW w:w="903" w:type="pct"/>
                  <w:noWrap w:val="0"/>
                  <w:vAlign w:val="center"/>
                </w:tcPr>
                <w:p>
                  <w:pPr>
                    <w:pStyle w:val="6"/>
                    <w:bidi w:val="0"/>
                    <w:rPr>
                      <w:rFonts w:hint="eastAsia"/>
                    </w:rPr>
                  </w:pPr>
                  <w:r>
                    <w:rPr>
                      <w:rFonts w:hint="eastAsia"/>
                    </w:rPr>
                    <w:t>SO</w:t>
                  </w:r>
                  <w:r>
                    <w:rPr>
                      <w:rFonts w:hint="eastAsia"/>
                      <w:vertAlign w:val="subscript"/>
                    </w:rPr>
                    <w:t>2</w:t>
                  </w:r>
                </w:p>
              </w:tc>
              <w:tc>
                <w:tcPr>
                  <w:tcW w:w="987" w:type="pct"/>
                  <w:noWrap w:val="0"/>
                  <w:vAlign w:val="center"/>
                </w:tcPr>
                <w:p>
                  <w:pPr>
                    <w:pStyle w:val="6"/>
                    <w:bidi w:val="0"/>
                    <w:rPr>
                      <w:rFonts w:hint="eastAsia"/>
                    </w:rPr>
                  </w:pPr>
                  <w:r>
                    <w:rPr>
                      <w:rFonts w:hint="eastAsia"/>
                    </w:rPr>
                    <w:t>CO</w:t>
                  </w:r>
                </w:p>
              </w:tc>
              <w:tc>
                <w:tcPr>
                  <w:tcW w:w="825" w:type="pct"/>
                  <w:noWrap w:val="0"/>
                  <w:vAlign w:val="center"/>
                </w:tcPr>
                <w:p>
                  <w:pPr>
                    <w:pStyle w:val="6"/>
                    <w:bidi w:val="0"/>
                    <w:rPr>
                      <w:rFonts w:hint="eastAsia" w:eastAsia="宋体"/>
                      <w:lang w:eastAsia="zh-CN"/>
                    </w:rPr>
                  </w:pPr>
                  <w:r>
                    <w:rPr>
                      <w:rFonts w:hint="eastAsia"/>
                    </w:rPr>
                    <w:t>NO</w:t>
                  </w:r>
                  <w:r>
                    <w:rPr>
                      <w:rFonts w:hint="eastAsia"/>
                      <w:vertAlign w:val="subscript"/>
                      <w:lang w:val="en-US" w:eastAsia="zh-CN"/>
                    </w:rPr>
                    <w:t>X</w:t>
                  </w:r>
                </w:p>
              </w:tc>
              <w:tc>
                <w:tcPr>
                  <w:tcW w:w="1138" w:type="pct"/>
                  <w:noWrap w:val="0"/>
                  <w:vAlign w:val="center"/>
                </w:tcPr>
                <w:p>
                  <w:pPr>
                    <w:pStyle w:val="6"/>
                    <w:bidi w:val="0"/>
                    <w:rPr>
                      <w:rFonts w:hint="eastAsia"/>
                    </w:rPr>
                  </w:pPr>
                  <w:r>
                    <w:rPr>
                      <w:rFonts w:hint="eastAsia"/>
                    </w:rPr>
                    <w:t>碳氢化合物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145" w:type="pct"/>
                  <w:noWrap w:val="0"/>
                  <w:vAlign w:val="center"/>
                </w:tcPr>
                <w:p>
                  <w:pPr>
                    <w:pStyle w:val="6"/>
                    <w:bidi w:val="0"/>
                    <w:rPr>
                      <w:rFonts w:hint="eastAsia"/>
                    </w:rPr>
                  </w:pPr>
                  <w:r>
                    <w:rPr>
                      <w:rFonts w:hint="eastAsia"/>
                    </w:rPr>
                    <w:t>排放量（kg）</w:t>
                  </w:r>
                </w:p>
              </w:tc>
              <w:tc>
                <w:tcPr>
                  <w:tcW w:w="903" w:type="pct"/>
                  <w:noWrap w:val="0"/>
                  <w:vAlign w:val="center"/>
                </w:tcPr>
                <w:p>
                  <w:pPr>
                    <w:pStyle w:val="6"/>
                    <w:bidi w:val="0"/>
                    <w:rPr>
                      <w:rFonts w:hint="eastAsia"/>
                    </w:rPr>
                  </w:pPr>
                  <w:r>
                    <w:rPr>
                      <w:rFonts w:hint="eastAsia"/>
                    </w:rPr>
                    <w:t>3.522</w:t>
                  </w:r>
                </w:p>
              </w:tc>
              <w:tc>
                <w:tcPr>
                  <w:tcW w:w="987" w:type="pct"/>
                  <w:noWrap w:val="0"/>
                  <w:vAlign w:val="center"/>
                </w:tcPr>
                <w:p>
                  <w:pPr>
                    <w:pStyle w:val="6"/>
                    <w:bidi w:val="0"/>
                    <w:rPr>
                      <w:rFonts w:hint="eastAsia"/>
                    </w:rPr>
                  </w:pPr>
                  <w:r>
                    <w:rPr>
                      <w:rFonts w:hint="eastAsia"/>
                    </w:rPr>
                    <w:t>29.349</w:t>
                  </w:r>
                </w:p>
              </w:tc>
              <w:tc>
                <w:tcPr>
                  <w:tcW w:w="825" w:type="pct"/>
                  <w:noWrap w:val="0"/>
                  <w:vAlign w:val="center"/>
                </w:tcPr>
                <w:p>
                  <w:pPr>
                    <w:pStyle w:val="6"/>
                    <w:bidi w:val="0"/>
                    <w:rPr>
                      <w:rFonts w:hint="eastAsia"/>
                    </w:rPr>
                  </w:pPr>
                  <w:r>
                    <w:rPr>
                      <w:rFonts w:hint="eastAsia"/>
                    </w:rPr>
                    <w:t>48.263</w:t>
                  </w:r>
                </w:p>
              </w:tc>
              <w:tc>
                <w:tcPr>
                  <w:tcW w:w="1138" w:type="pct"/>
                  <w:noWrap w:val="0"/>
                  <w:vAlign w:val="center"/>
                </w:tcPr>
                <w:p>
                  <w:pPr>
                    <w:pStyle w:val="6"/>
                    <w:bidi w:val="0"/>
                    <w:rPr>
                      <w:rFonts w:hint="eastAsia"/>
                    </w:rPr>
                  </w:pPr>
                  <w:r>
                    <w:rPr>
                      <w:rFonts w:hint="eastAsia"/>
                    </w:rPr>
                    <w:t>4.826</w:t>
                  </w:r>
                </w:p>
              </w:tc>
            </w:tr>
          </w:tbl>
          <w:p>
            <w:pPr>
              <w:bidi w:val="0"/>
              <w:rPr>
                <w:rFonts w:hint="default"/>
              </w:rPr>
            </w:pPr>
            <w:r>
              <w:rPr>
                <w:rFonts w:hint="default"/>
              </w:rPr>
              <w:t>由于此类污染源多为无组织排放，较为分散，受自然条件的影响容易扩散，本项目所在区域空气环境本底现状优良，具有较大的环境容量，且项目区场地开阔，施工作业也不存在短时间集中排放的情况，废气排放量较小，对周边环境影响较小。</w:t>
            </w:r>
          </w:p>
          <w:p>
            <w:pPr>
              <w:pStyle w:val="3"/>
              <w:bidi w:val="0"/>
              <w:rPr>
                <w:rFonts w:hint="default"/>
              </w:rPr>
            </w:pPr>
            <w:r>
              <w:rPr>
                <w:rFonts w:hint="default"/>
              </w:rPr>
              <w:t>3</w:t>
            </w:r>
            <w:r>
              <w:rPr>
                <w:rFonts w:hint="eastAsia"/>
                <w:lang w:val="en-US" w:eastAsia="zh-CN"/>
              </w:rPr>
              <w:t xml:space="preserve"> </w:t>
            </w:r>
            <w:r>
              <w:rPr>
                <w:rFonts w:hint="default"/>
              </w:rPr>
              <w:t>施工废水</w:t>
            </w:r>
          </w:p>
          <w:p>
            <w:pPr>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施工废水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rPr>
              <w:t>进出场车辆冲洗过程有冲洗废水产生</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施工场区设置车辆冲洗设施和沉淀池，对冲洗废水收集、</w:t>
            </w:r>
            <w:r>
              <w:rPr>
                <w:rFonts w:hint="default" w:ascii="Times New Roman" w:hAnsi="Times New Roman" w:eastAsia="宋体" w:cs="Times New Roman"/>
                <w:color w:val="auto"/>
                <w:sz w:val="24"/>
                <w:szCs w:val="24"/>
              </w:rPr>
              <w:t>沉淀处理后回用于车辆清洗，禁止随意排放。</w:t>
            </w:r>
            <w:r>
              <w:rPr>
                <w:rFonts w:hint="default" w:ascii="Times New Roman" w:hAnsi="Times New Roman" w:eastAsia="宋体" w:cs="Times New Roman"/>
                <w:color w:val="auto"/>
                <w:sz w:val="24"/>
                <w:szCs w:val="24"/>
                <w:lang w:val="en-US" w:eastAsia="zh-CN"/>
              </w:rPr>
              <w:t>按平均每天冲洗车辆60辆，每辆车冲洗用水40L计算，每天冲洗废水产生量为2.4m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，废水中主要污染物是泥沙和SS，通过沉淀池收集沉淀后循环使用。沉淀池容积应进行防渗，容积应满足沉淀水力停留时间的需求。施工期</w:t>
            </w:r>
            <w:r>
              <w:rPr>
                <w:rFonts w:hint="default" w:ascii="Times New Roman" w:hAnsi="Times New Roman" w:eastAsia="宋体" w:cs="Times New Roman"/>
                <w:color w:val="auto"/>
                <w:sz w:val="24"/>
                <w:szCs w:val="24"/>
              </w:rPr>
              <w:t>采取以上措施后，不会对环境产生不利影响。</w:t>
            </w:r>
          </w:p>
          <w:p>
            <w:pPr>
              <w:bidi w:val="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项目施工</w:t>
            </w:r>
            <w:r>
              <w:rPr>
                <w:rFonts w:hint="eastAsia" w:ascii="宋体" w:hAnsi="宋体" w:cs="宋体"/>
                <w:color w:val="auto"/>
                <w:sz w:val="24"/>
                <w:lang w:val="en-US" w:eastAsia="zh-CN"/>
              </w:rPr>
              <w:t>选择</w:t>
            </w:r>
            <w:r>
              <w:rPr>
                <w:rFonts w:hint="eastAsia" w:cs="Times New Roman"/>
                <w:color w:val="auto"/>
                <w:sz w:val="24"/>
                <w:szCs w:val="24"/>
                <w:highlight w:val="none"/>
                <w:lang w:val="en-US" w:eastAsia="zh-CN"/>
              </w:rPr>
              <w:t>灌溉停水期</w:t>
            </w:r>
            <w:r>
              <w:rPr>
                <w:rFonts w:hint="default" w:ascii="Times New Roman" w:hAnsi="Times New Roman" w:eastAsia="宋体" w:cs="Times New Roman"/>
                <w:color w:val="auto"/>
                <w:sz w:val="24"/>
                <w:szCs w:val="24"/>
                <w:highlight w:val="none"/>
              </w:rPr>
              <w:t>，施工渠道内无水流通过。施工期间车辆冲洗废水回用</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同时通过加强管理，严禁污水和固废排入渠道，</w:t>
            </w:r>
            <w:r>
              <w:rPr>
                <w:rFonts w:hint="default" w:ascii="Times New Roman" w:hAnsi="Times New Roman" w:eastAsia="宋体" w:cs="Times New Roman"/>
                <w:color w:val="auto"/>
                <w:sz w:val="24"/>
                <w:szCs w:val="24"/>
                <w:highlight w:val="none"/>
              </w:rPr>
              <w:t>不会对地表水产生不利影响。项目施工期产生的各类废水严禁排入周边任何地表水体。</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噪声环境影响分析</w:t>
            </w:r>
          </w:p>
          <w:p>
            <w:pPr>
              <w:bidi w:val="0"/>
              <w:rPr>
                <w:rFonts w:hint="default"/>
              </w:rPr>
            </w:pPr>
            <w:r>
              <w:rPr>
                <w:rFonts w:hint="default"/>
              </w:rPr>
              <w:t>施工期噪声来自机械设备作业施工，主要来源于运输车辆噪声和施工噪声，噪声源为运输车辆、挖掘机、装载机、推土机等机械设备，大部分是移动声源，没有明显的指向性，噪声特性见下表。</w:t>
            </w:r>
          </w:p>
          <w:p>
            <w:pPr>
              <w:pStyle w:val="5"/>
              <w:bidi w:val="0"/>
              <w:rPr>
                <w:rFonts w:hint="default"/>
              </w:rPr>
            </w:pPr>
            <w:r>
              <w:rPr>
                <w:rFonts w:hint="default"/>
              </w:rPr>
              <w:t>表</w:t>
            </w:r>
            <w:r>
              <w:rPr>
                <w:rFonts w:hint="default"/>
                <w:lang w:val="en-US" w:eastAsia="zh-CN"/>
              </w:rPr>
              <w:t>4-4</w:t>
            </w:r>
            <w:r>
              <w:rPr>
                <w:rFonts w:hint="default"/>
              </w:rPr>
              <w:t xml:space="preserve">   主要施工机械噪声特性</w:t>
            </w:r>
          </w:p>
          <w:tbl>
            <w:tblPr>
              <w:tblStyle w:val="21"/>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0"/>
              <w:gridCol w:w="3395"/>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bidi w:val="0"/>
                    <w:rPr>
                      <w:rFonts w:hint="default"/>
                    </w:rPr>
                  </w:pPr>
                  <w:r>
                    <w:rPr>
                      <w:rFonts w:hint="default"/>
                    </w:rPr>
                    <w:t>序号</w:t>
                  </w:r>
                </w:p>
              </w:tc>
              <w:tc>
                <w:tcPr>
                  <w:tcW w:w="3395" w:type="dxa"/>
                  <w:noWrap w:val="0"/>
                  <w:vAlign w:val="center"/>
                </w:tcPr>
                <w:p>
                  <w:pPr>
                    <w:pStyle w:val="6"/>
                    <w:bidi w:val="0"/>
                    <w:rPr>
                      <w:rFonts w:hint="default"/>
                    </w:rPr>
                  </w:pPr>
                  <w:r>
                    <w:rPr>
                      <w:rFonts w:hint="default"/>
                    </w:rPr>
                    <w:t>设备类型</w:t>
                  </w:r>
                </w:p>
              </w:tc>
              <w:tc>
                <w:tcPr>
                  <w:tcW w:w="3852" w:type="dxa"/>
                  <w:noWrap w:val="0"/>
                  <w:vAlign w:val="center"/>
                </w:tcPr>
                <w:p>
                  <w:pPr>
                    <w:pStyle w:val="6"/>
                    <w:bidi w:val="0"/>
                    <w:rPr>
                      <w:rFonts w:hint="default"/>
                    </w:rPr>
                  </w:pPr>
                  <w:r>
                    <w:rPr>
                      <w:rFonts w:hint="default"/>
                    </w:rPr>
                    <w:t>声功率级（dB）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bidi w:val="0"/>
                    <w:rPr>
                      <w:rFonts w:hint="default"/>
                    </w:rPr>
                  </w:pPr>
                  <w:r>
                    <w:rPr>
                      <w:rFonts w:hint="default"/>
                    </w:rPr>
                    <w:t>1</w:t>
                  </w:r>
                </w:p>
              </w:tc>
              <w:tc>
                <w:tcPr>
                  <w:tcW w:w="3395" w:type="dxa"/>
                  <w:noWrap w:val="0"/>
                  <w:vAlign w:val="center"/>
                </w:tcPr>
                <w:p>
                  <w:pPr>
                    <w:pStyle w:val="6"/>
                    <w:bidi w:val="0"/>
                    <w:rPr>
                      <w:rFonts w:hint="default"/>
                    </w:rPr>
                  </w:pPr>
                  <w:r>
                    <w:rPr>
                      <w:rFonts w:hint="default"/>
                    </w:rPr>
                    <w:t>挖掘机</w:t>
                  </w:r>
                </w:p>
              </w:tc>
              <w:tc>
                <w:tcPr>
                  <w:tcW w:w="3852" w:type="dxa"/>
                  <w:noWrap w:val="0"/>
                  <w:vAlign w:val="center"/>
                </w:tcPr>
                <w:p>
                  <w:pPr>
                    <w:pStyle w:val="6"/>
                    <w:bidi w:val="0"/>
                    <w:rPr>
                      <w:rFonts w:hint="default"/>
                    </w:rPr>
                  </w:pPr>
                  <w:r>
                    <w:rPr>
                      <w:rFonts w:hint="default"/>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bidi w:val="0"/>
                    <w:rPr>
                      <w:rFonts w:hint="default"/>
                    </w:rPr>
                  </w:pPr>
                  <w:r>
                    <w:rPr>
                      <w:rFonts w:hint="default"/>
                    </w:rPr>
                    <w:t>2</w:t>
                  </w:r>
                </w:p>
              </w:tc>
              <w:tc>
                <w:tcPr>
                  <w:tcW w:w="3395" w:type="dxa"/>
                  <w:noWrap w:val="0"/>
                  <w:vAlign w:val="center"/>
                </w:tcPr>
                <w:p>
                  <w:pPr>
                    <w:pStyle w:val="6"/>
                    <w:bidi w:val="0"/>
                    <w:rPr>
                      <w:rFonts w:hint="default"/>
                    </w:rPr>
                  </w:pPr>
                  <w:r>
                    <w:rPr>
                      <w:rFonts w:hint="default"/>
                    </w:rPr>
                    <w:t>装载机</w:t>
                  </w:r>
                </w:p>
              </w:tc>
              <w:tc>
                <w:tcPr>
                  <w:tcW w:w="3852" w:type="dxa"/>
                  <w:noWrap w:val="0"/>
                  <w:vAlign w:val="center"/>
                </w:tcPr>
                <w:p>
                  <w:pPr>
                    <w:pStyle w:val="6"/>
                    <w:bidi w:val="0"/>
                    <w:rPr>
                      <w:rFonts w:hint="default"/>
                    </w:rPr>
                  </w:pPr>
                  <w:r>
                    <w:rPr>
                      <w:rFonts w:hint="default"/>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bidi w:val="0"/>
                    <w:rPr>
                      <w:rFonts w:hint="default"/>
                    </w:rPr>
                  </w:pPr>
                  <w:r>
                    <w:rPr>
                      <w:rFonts w:hint="default"/>
                    </w:rPr>
                    <w:t>3</w:t>
                  </w:r>
                </w:p>
              </w:tc>
              <w:tc>
                <w:tcPr>
                  <w:tcW w:w="3395" w:type="dxa"/>
                  <w:noWrap w:val="0"/>
                  <w:vAlign w:val="center"/>
                </w:tcPr>
                <w:p>
                  <w:pPr>
                    <w:pStyle w:val="6"/>
                    <w:bidi w:val="0"/>
                    <w:rPr>
                      <w:rFonts w:hint="default"/>
                    </w:rPr>
                  </w:pPr>
                  <w:r>
                    <w:rPr>
                      <w:rFonts w:hint="default"/>
                    </w:rPr>
                    <w:t>推土机</w:t>
                  </w:r>
                </w:p>
              </w:tc>
              <w:tc>
                <w:tcPr>
                  <w:tcW w:w="3852" w:type="dxa"/>
                  <w:noWrap w:val="0"/>
                  <w:vAlign w:val="center"/>
                </w:tcPr>
                <w:p>
                  <w:pPr>
                    <w:pStyle w:val="6"/>
                    <w:bidi w:val="0"/>
                    <w:rPr>
                      <w:rFonts w:hint="default"/>
                    </w:rPr>
                  </w:pPr>
                  <w:r>
                    <w:rPr>
                      <w:rFonts w:hint="default"/>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bidi w:val="0"/>
                    <w:rPr>
                      <w:rFonts w:hint="default"/>
                    </w:rPr>
                  </w:pPr>
                  <w:r>
                    <w:rPr>
                      <w:rFonts w:hint="default"/>
                    </w:rPr>
                    <w:t>4</w:t>
                  </w:r>
                </w:p>
              </w:tc>
              <w:tc>
                <w:tcPr>
                  <w:tcW w:w="3395" w:type="dxa"/>
                  <w:noWrap w:val="0"/>
                  <w:vAlign w:val="center"/>
                </w:tcPr>
                <w:p>
                  <w:pPr>
                    <w:pStyle w:val="6"/>
                    <w:bidi w:val="0"/>
                    <w:rPr>
                      <w:rFonts w:hint="default"/>
                    </w:rPr>
                  </w:pPr>
                  <w:r>
                    <w:rPr>
                      <w:rFonts w:hint="default"/>
                      <w:lang w:val="en-US" w:eastAsia="zh-CN"/>
                    </w:rPr>
                    <w:t>轮胎碾</w:t>
                  </w:r>
                </w:p>
              </w:tc>
              <w:tc>
                <w:tcPr>
                  <w:tcW w:w="3852" w:type="dxa"/>
                  <w:noWrap w:val="0"/>
                  <w:vAlign w:val="center"/>
                </w:tcPr>
                <w:p>
                  <w:pPr>
                    <w:pStyle w:val="6"/>
                    <w:bidi w:val="0"/>
                    <w:rPr>
                      <w:rFonts w:hint="default"/>
                    </w:rPr>
                  </w:pPr>
                  <w:r>
                    <w:rPr>
                      <w:rFonts w:hint="default"/>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bidi w:val="0"/>
                    <w:rPr>
                      <w:rFonts w:hint="default"/>
                    </w:rPr>
                  </w:pPr>
                  <w:r>
                    <w:rPr>
                      <w:rFonts w:hint="default"/>
                    </w:rPr>
                    <w:t>5</w:t>
                  </w:r>
                </w:p>
              </w:tc>
              <w:tc>
                <w:tcPr>
                  <w:tcW w:w="3395" w:type="dxa"/>
                  <w:noWrap w:val="0"/>
                  <w:vAlign w:val="center"/>
                </w:tcPr>
                <w:p>
                  <w:pPr>
                    <w:pStyle w:val="6"/>
                    <w:bidi w:val="0"/>
                    <w:rPr>
                      <w:rFonts w:hint="default"/>
                    </w:rPr>
                  </w:pPr>
                  <w:r>
                    <w:rPr>
                      <w:rFonts w:hint="default"/>
                    </w:rPr>
                    <w:t>发电机</w:t>
                  </w:r>
                </w:p>
              </w:tc>
              <w:tc>
                <w:tcPr>
                  <w:tcW w:w="3852" w:type="dxa"/>
                  <w:noWrap w:val="0"/>
                  <w:vAlign w:val="center"/>
                </w:tcPr>
                <w:p>
                  <w:pPr>
                    <w:pStyle w:val="6"/>
                    <w:bidi w:val="0"/>
                    <w:rPr>
                      <w:rFonts w:hint="default"/>
                    </w:rPr>
                  </w:pPr>
                  <w:r>
                    <w:rPr>
                      <w:rFonts w:hint="default"/>
                    </w:rPr>
                    <w:t>105</w:t>
                  </w:r>
                </w:p>
              </w:tc>
            </w:tr>
          </w:tbl>
          <w:p>
            <w:pPr>
              <w:bidi w:val="0"/>
              <w:rPr>
                <w:rFonts w:hint="default"/>
              </w:rPr>
            </w:pPr>
            <w:r>
              <w:rPr>
                <w:rFonts w:hint="default"/>
              </w:rPr>
              <w:t>施工噪声具有阶段性、临时性和不确定性，施工期间多种机械噪声声源都处于露天状态。当声源尺寸大小与测试距离相比小得多时，可以将此声源视为点声源，声源噪声衰减的计算公式如下：</w:t>
            </w:r>
          </w:p>
          <w:p>
            <w:pPr>
              <w:keepLines w:val="0"/>
              <w:pageBreakBefore w:val="0"/>
              <w:kinsoku/>
              <w:wordWrap/>
              <w:overflowPunct/>
              <w:topLinePunct w:val="0"/>
              <w:autoSpaceDE/>
              <w:autoSpaceDN/>
              <w:bidi w:val="0"/>
              <w:adjustRightInd w:val="0"/>
              <w:snapToGrid w:val="0"/>
              <w:spacing w:line="4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object>
                <v:shape id="_x0000_i1026" o:spt="75" type="#_x0000_t75" style="height:21.75pt;width:168.75pt;" o:ole="t" filled="f" o:preferrelative="t" stroked="f" coordsize="21600,21600">
                  <v:path/>
                  <v:fill on="f" focussize="0,0"/>
                  <v:stroke on="f"/>
                  <v:imagedata r:id="rId12" embosscolor="#FFFFFF" o:title=""/>
                  <o:lock v:ext="edit" grouping="f" rotation="f" text="f" aspectratio="t"/>
                  <w10:wrap type="none"/>
                  <w10:anchorlock/>
                </v:shape>
                <o:OLEObject Type="Embed" ProgID="Equation.3" ShapeID="_x0000_i1026" DrawAspect="Content" ObjectID="_1468075726" r:id="rId11">
                  <o:LockedField>false</o:LockedField>
                </o:OLEObject>
              </w:object>
            </w:r>
          </w:p>
          <w:p>
            <w:pPr>
              <w:bidi w:val="0"/>
              <w:rPr>
                <w:rFonts w:hint="default"/>
              </w:rPr>
            </w:pPr>
            <w:r>
              <w:rPr>
                <w:rFonts w:hint="default"/>
              </w:rPr>
              <w:t>式中：</w:t>
            </w:r>
            <w:r>
              <w:rPr>
                <w:rFonts w:hint="default"/>
                <w:lang w:val="en-US" w:eastAsia="zh-CN"/>
              </w:rPr>
              <w:t>L</w:t>
            </w:r>
            <w:r>
              <w:rPr>
                <w:rFonts w:hint="default"/>
                <w:vertAlign w:val="subscript"/>
                <w:lang w:val="en-US" w:eastAsia="zh-CN"/>
              </w:rPr>
              <w:t>A</w:t>
            </w:r>
            <w:r>
              <w:rPr>
                <w:rFonts w:hint="default"/>
              </w:rPr>
              <w:t>—距离增加产生衰减值，dB（A）；</w:t>
            </w:r>
          </w:p>
          <w:p>
            <w:pPr>
              <w:bidi w:val="0"/>
              <w:ind w:firstLine="1200" w:firstLineChars="500"/>
              <w:rPr>
                <w:rFonts w:hint="default"/>
              </w:rPr>
            </w:pPr>
            <w:r>
              <w:rPr>
                <w:rFonts w:hint="default"/>
              </w:rPr>
              <w:t>r—点声源至受声点的距离，m。</w:t>
            </w:r>
          </w:p>
          <w:p>
            <w:pPr>
              <w:bidi w:val="0"/>
              <w:rPr>
                <w:rFonts w:hint="default"/>
              </w:rPr>
            </w:pPr>
            <w:r>
              <w:rPr>
                <w:rFonts w:hint="default"/>
              </w:rPr>
              <w:t>各种施工设备在施工时随距离的衰减列于下表：</w:t>
            </w:r>
          </w:p>
          <w:p>
            <w:pPr>
              <w:pStyle w:val="5"/>
              <w:bidi w:val="0"/>
              <w:rPr>
                <w:rFonts w:hint="default"/>
              </w:rPr>
            </w:pPr>
            <w:r>
              <w:rPr>
                <w:rFonts w:hint="default"/>
              </w:rPr>
              <w:t>表</w:t>
            </w:r>
            <w:r>
              <w:rPr>
                <w:rFonts w:hint="default"/>
                <w:lang w:val="en-US" w:eastAsia="zh-CN"/>
              </w:rPr>
              <w:t>4-5</w:t>
            </w:r>
            <w:r>
              <w:rPr>
                <w:rFonts w:hint="default"/>
              </w:rPr>
              <w:t xml:space="preserve">  施工机械噪声影响范围</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843"/>
              <w:gridCol w:w="843"/>
              <w:gridCol w:w="843"/>
              <w:gridCol w:w="843"/>
              <w:gridCol w:w="844"/>
              <w:gridCol w:w="843"/>
              <w:gridCol w:w="88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129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施工机械</w:t>
                  </w:r>
                </w:p>
              </w:tc>
              <w:tc>
                <w:tcPr>
                  <w:tcW w:w="50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X（m）处</w:t>
                  </w:r>
                  <w:r>
                    <w:rPr>
                      <w:rFonts w:hint="default" w:ascii="Times New Roman" w:hAnsi="Times New Roman" w:eastAsia="宋体" w:cs="Times New Roman"/>
                      <w:color w:val="auto"/>
                      <w:sz w:val="21"/>
                      <w:szCs w:val="21"/>
                      <w:highlight w:val="none"/>
                      <w:lang w:eastAsia="zh-CN"/>
                    </w:rPr>
                    <w:t>声压级</w:t>
                  </w:r>
                  <w:r>
                    <w:rPr>
                      <w:rFonts w:hint="default" w:ascii="Times New Roman" w:hAnsi="Times New Roman" w:eastAsia="宋体" w:cs="Times New Roman"/>
                      <w:color w:val="auto"/>
                      <w:sz w:val="21"/>
                      <w:szCs w:val="21"/>
                      <w:highlight w:val="none"/>
                    </w:rPr>
                    <w:t>dB（A）</w:t>
                  </w:r>
                </w:p>
              </w:tc>
              <w:tc>
                <w:tcPr>
                  <w:tcW w:w="17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129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9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2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挖掘机</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58.5</w:t>
                  </w:r>
                </w:p>
              </w:tc>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52.4</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12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装载机</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66.0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62.5</w:t>
                  </w:r>
                </w:p>
              </w:tc>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56.4</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12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推土机</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58.5</w:t>
                  </w:r>
                </w:p>
              </w:tc>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52.4</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12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b w:val="0"/>
                      <w:bCs w:val="0"/>
                      <w:color w:val="auto"/>
                      <w:sz w:val="21"/>
                      <w:szCs w:val="21"/>
                      <w:vertAlign w:val="baseline"/>
                      <w:lang w:val="en-US" w:eastAsia="zh-CN"/>
                    </w:rPr>
                    <w:t>轮胎碾</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66.0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62.5</w:t>
                  </w:r>
                </w:p>
              </w:tc>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56.4</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12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发电机</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68.0</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64.5</w:t>
                  </w:r>
                </w:p>
              </w:tc>
              <w:tc>
                <w:tcPr>
                  <w:tcW w:w="8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58.4</w:t>
                  </w:r>
                </w:p>
              </w:tc>
              <w:tc>
                <w:tcPr>
                  <w:tcW w:w="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54.0</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bl>
          <w:p>
            <w:pPr>
              <w:bidi w:val="0"/>
              <w:rPr>
                <w:rFonts w:hint="default"/>
              </w:rPr>
            </w:pPr>
            <w:r>
              <w:rPr>
                <w:rFonts w:hint="default"/>
              </w:rPr>
              <w:t>在施工期间，根据</w:t>
            </w:r>
            <w:r>
              <w:rPr>
                <w:rFonts w:hint="default"/>
                <w:lang w:val="en-US" w:eastAsia="zh-CN"/>
              </w:rPr>
              <w:t>《建筑施工噪声排放标准》（GB12523-2025）</w:t>
            </w:r>
            <w:r>
              <w:rPr>
                <w:rFonts w:hint="default"/>
              </w:rPr>
              <w:t>规定，昼间限值为70dB（A）夜间限值为55dB（A）。根据现场调查，</w:t>
            </w:r>
            <w:r>
              <w:rPr>
                <w:rFonts w:hint="default"/>
                <w:lang w:val="en-US" w:eastAsia="zh-CN"/>
              </w:rPr>
              <w:t>项目周边50m范围内</w:t>
            </w:r>
            <w:r>
              <w:rPr>
                <w:rFonts w:hint="eastAsia"/>
                <w:lang w:val="en-US" w:eastAsia="zh-CN"/>
              </w:rPr>
              <w:t>有村庄</w:t>
            </w:r>
            <w:r>
              <w:rPr>
                <w:rFonts w:hint="default"/>
                <w:lang w:val="en-US" w:eastAsia="zh-CN"/>
              </w:rPr>
              <w:t>，</w:t>
            </w:r>
            <w:r>
              <w:rPr>
                <w:rFonts w:hint="default"/>
                <w:lang w:eastAsia="zh-CN"/>
              </w:rPr>
              <w:t>建设单位在施工期间</w:t>
            </w:r>
            <w:r>
              <w:rPr>
                <w:rFonts w:hint="default"/>
                <w:lang w:val="en-US" w:eastAsia="zh-CN"/>
              </w:rPr>
              <w:t>应</w:t>
            </w:r>
            <w:r>
              <w:rPr>
                <w:rFonts w:hint="default"/>
                <w:lang w:eastAsia="zh-CN"/>
              </w:rPr>
              <w:t>合理安排好施工时间、</w:t>
            </w:r>
            <w:r>
              <w:rPr>
                <w:rFonts w:hint="eastAsia"/>
                <w:lang w:eastAsia="zh-CN"/>
              </w:rPr>
              <w:t>设备选型</w:t>
            </w:r>
            <w:r>
              <w:rPr>
                <w:rFonts w:hint="default"/>
                <w:lang w:eastAsia="zh-CN"/>
              </w:rPr>
              <w:t>尽量采用低噪声设备、做好施工场所设备维护管理，规范操作，合理进行施工场地平面布置，减少噪声对</w:t>
            </w:r>
            <w:r>
              <w:rPr>
                <w:rFonts w:hint="default"/>
                <w:lang w:val="en-US" w:eastAsia="zh-CN"/>
              </w:rPr>
              <w:t>环境</w:t>
            </w:r>
            <w:r>
              <w:rPr>
                <w:rFonts w:hint="default"/>
                <w:lang w:eastAsia="zh-CN"/>
              </w:rPr>
              <w:t>的影响。</w:t>
            </w:r>
          </w:p>
          <w:p>
            <w:pPr>
              <w:pStyle w:val="3"/>
              <w:bidi w:val="0"/>
              <w:rPr>
                <w:rFonts w:hint="default"/>
              </w:rPr>
            </w:pPr>
            <w:r>
              <w:rPr>
                <w:rFonts w:hint="default"/>
              </w:rPr>
              <w:t>5</w:t>
            </w:r>
            <w:r>
              <w:rPr>
                <w:rFonts w:hint="eastAsia"/>
                <w:lang w:val="en-US" w:eastAsia="zh-CN"/>
              </w:rPr>
              <w:t xml:space="preserve"> </w:t>
            </w:r>
            <w:r>
              <w:rPr>
                <w:rFonts w:hint="default"/>
              </w:rPr>
              <w:t>固体废物环境影响分析</w:t>
            </w:r>
          </w:p>
          <w:p>
            <w:pPr>
              <w:bidi w:val="0"/>
              <w:rPr>
                <w:rFonts w:hint="default"/>
              </w:rPr>
            </w:pPr>
            <w:r>
              <w:rPr>
                <w:rFonts w:hint="default"/>
              </w:rPr>
              <w:t>施工期产生的固体废弃物主要为工程施工产生的弃土等。</w:t>
            </w:r>
          </w:p>
          <w:p>
            <w:pPr>
              <w:bidi w:val="0"/>
              <w:rPr>
                <w:rFonts w:hint="default"/>
              </w:rPr>
            </w:pPr>
            <w:r>
              <w:rPr>
                <w:rFonts w:hint="default"/>
              </w:rPr>
              <w:t>（1）弃土</w:t>
            </w:r>
          </w:p>
          <w:p>
            <w:pPr>
              <w:bidi w:val="0"/>
              <w:rPr>
                <w:rFonts w:hint="default"/>
              </w:rPr>
            </w:pPr>
            <w:r>
              <w:rPr>
                <w:rFonts w:hint="default"/>
              </w:rPr>
              <w:t>本项目在</w:t>
            </w:r>
            <w:r>
              <w:rPr>
                <w:rFonts w:hint="default"/>
                <w:lang w:val="en-US" w:eastAsia="zh-CN"/>
              </w:rPr>
              <w:t>清基、</w:t>
            </w:r>
            <w:r>
              <w:rPr>
                <w:rFonts w:hint="default"/>
              </w:rPr>
              <w:t>开挖过程会产生开挖土石方，开挖土石方主要</w:t>
            </w:r>
            <w:r>
              <w:rPr>
                <w:rFonts w:hint="default"/>
                <w:lang w:val="en-US" w:eastAsia="zh-CN"/>
              </w:rPr>
              <w:t>1~2类土</w:t>
            </w:r>
            <w:r>
              <w:rPr>
                <w:rFonts w:hint="default"/>
              </w:rPr>
              <w:t>。</w:t>
            </w:r>
            <w:r>
              <w:rPr>
                <w:rFonts w:hint="default"/>
                <w:lang w:val="en-US" w:eastAsia="zh-CN"/>
              </w:rPr>
              <w:t>挖出的土方直接用于填筑渠堤</w:t>
            </w:r>
            <w:r>
              <w:rPr>
                <w:rFonts w:hint="eastAsia"/>
                <w:lang w:val="en-US" w:eastAsia="zh-CN"/>
              </w:rPr>
              <w:t>、沿渠道摊平压实</w:t>
            </w:r>
            <w:r>
              <w:rPr>
                <w:rFonts w:hint="default"/>
                <w:lang w:eastAsia="zh-CN"/>
              </w:rPr>
              <w:t>，</w:t>
            </w:r>
            <w:r>
              <w:rPr>
                <w:rFonts w:hint="default"/>
              </w:rPr>
              <w:t>对周边环境影响较小。</w:t>
            </w:r>
          </w:p>
          <w:p>
            <w:pPr>
              <w:bidi w:val="0"/>
              <w:rPr>
                <w:rFonts w:hint="default"/>
                <w:lang w:val="en-US" w:eastAsia="zh-CN"/>
              </w:rPr>
            </w:pPr>
            <w:r>
              <w:rPr>
                <w:rFonts w:hint="eastAsia"/>
                <w:lang w:val="en-US" w:eastAsia="zh-CN"/>
              </w:rPr>
              <w:t>（2）建筑垃圾</w:t>
            </w:r>
          </w:p>
          <w:p>
            <w:pPr>
              <w:bidi w:val="0"/>
              <w:rPr>
                <w:rFonts w:hint="default"/>
                <w:lang w:val="en-US" w:eastAsia="zh-CN"/>
              </w:rPr>
            </w:pPr>
            <w:r>
              <w:rPr>
                <w:rFonts w:hint="default"/>
                <w:lang w:val="en-US" w:eastAsia="zh-CN"/>
              </w:rPr>
              <w:t>工程完工后将施工中使用的临时沉淀池拆除，对所有施工作业面和施工活动区的废弃物彻底清理，其中废钢筋、废铁皮、废包装等收集外售可实现资源化利用，</w:t>
            </w:r>
            <w:r>
              <w:rPr>
                <w:rFonts w:hint="default"/>
                <w:highlight w:val="none"/>
                <w:lang w:val="en-US" w:eastAsia="zh-CN"/>
              </w:rPr>
              <w:t>拆除</w:t>
            </w:r>
            <w:r>
              <w:rPr>
                <w:rFonts w:hint="eastAsia"/>
                <w:highlight w:val="none"/>
                <w:lang w:val="en-US" w:eastAsia="zh-CN"/>
              </w:rPr>
              <w:t>的现有堤防</w:t>
            </w:r>
            <w:r>
              <w:rPr>
                <w:rFonts w:hint="default"/>
                <w:highlight w:val="none"/>
                <w:lang w:val="en-US" w:eastAsia="zh-CN"/>
              </w:rPr>
              <w:t>废混凝土、沉淀池底泥、混凝土废渣等建筑垃圾清运至</w:t>
            </w:r>
            <w:r>
              <w:rPr>
                <w:rFonts w:hint="default"/>
                <w:lang w:val="en-US" w:eastAsia="zh-CN"/>
              </w:rPr>
              <w:t>当地市政环卫主管部门指定地点填埋处置。</w:t>
            </w:r>
          </w:p>
          <w:p>
            <w:pPr>
              <w:bidi w:val="0"/>
              <w:rPr>
                <w:rFonts w:hint="default"/>
                <w:lang w:val="en-US" w:eastAsia="zh-CN"/>
              </w:rPr>
            </w:pPr>
            <w:r>
              <w:rPr>
                <w:rFonts w:hint="eastAsia"/>
                <w:lang w:val="en-US" w:eastAsia="zh-CN"/>
              </w:rPr>
              <w:t>（3）生活垃圾</w:t>
            </w:r>
          </w:p>
          <w:p>
            <w:pPr>
              <w:bidi w:val="0"/>
              <w:rPr>
                <w:rFonts w:hint="default"/>
                <w:lang w:val="en-US" w:eastAsia="zh-CN"/>
              </w:rPr>
            </w:pPr>
            <w:r>
              <w:rPr>
                <w:rFonts w:hint="eastAsia"/>
                <w:lang w:val="en-US" w:eastAsia="zh-CN"/>
              </w:rPr>
              <w:t>本项目施工人员均来自附近乡镇，不设置临时生活区，产生的生活垃圾由乡镇环卫部门统一收集。</w:t>
            </w:r>
          </w:p>
          <w:p>
            <w:pPr>
              <w:bidi w:val="0"/>
              <w:rPr>
                <w:rFonts w:ascii="宋体" w:hAnsi="宋体" w:cs="宋体"/>
                <w:bCs/>
                <w:color w:val="auto"/>
                <w:szCs w:val="21"/>
              </w:rPr>
            </w:pPr>
            <w:r>
              <w:rPr>
                <w:rFonts w:hint="default"/>
                <w:lang w:val="en-US" w:eastAsia="zh-CN"/>
              </w:rPr>
              <w:t>采取以上措施后，施工期</w:t>
            </w:r>
            <w:r>
              <w:rPr>
                <w:rFonts w:hint="eastAsia"/>
                <w:lang w:val="en-US" w:eastAsia="zh-CN"/>
              </w:rPr>
              <w:t>固体废物</w:t>
            </w:r>
            <w:r>
              <w:rPr>
                <w:rFonts w:hint="default"/>
                <w:lang w:val="en-US" w:eastAsia="zh-CN"/>
              </w:rPr>
              <w:t>对环境影响很小。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79" w:type="dxa"/>
            <w:noWrap w:val="0"/>
            <w:tcMar>
              <w:left w:w="28" w:type="dxa"/>
              <w:right w:w="28" w:type="dxa"/>
            </w:tcMar>
            <w:vAlign w:val="center"/>
          </w:tcPr>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cs="宋体"/>
                <w:bCs/>
                <w:color w:val="auto"/>
                <w:kern w:val="2"/>
                <w:sz w:val="21"/>
                <w:szCs w:val="21"/>
              </w:rPr>
            </w:pPr>
            <w:r>
              <w:rPr>
                <w:rFonts w:hint="eastAsia" w:cs="宋体"/>
                <w:bCs/>
                <w:color w:val="auto"/>
                <w:spacing w:val="10"/>
                <w:kern w:val="2"/>
                <w:sz w:val="21"/>
                <w:szCs w:val="21"/>
              </w:rPr>
              <w:t>运营期生态环境影响分析</w:t>
            </w:r>
          </w:p>
        </w:tc>
        <w:tc>
          <w:tcPr>
            <w:tcW w:w="8363" w:type="dxa"/>
            <w:noWrap w:val="0"/>
            <w:vAlign w:val="top"/>
          </w:tcPr>
          <w:p>
            <w:pPr>
              <w:bidi w:val="0"/>
              <w:rPr>
                <w:rFonts w:hint="default"/>
              </w:rPr>
            </w:pPr>
            <w:r>
              <w:rPr>
                <w:rFonts w:hint="default"/>
              </w:rPr>
              <w:t>本工程为灌区渠道工程及配套渠系</w:t>
            </w:r>
            <w:r>
              <w:rPr>
                <w:rFonts w:hint="eastAsia"/>
                <w:lang w:eastAsia="zh-CN"/>
              </w:rPr>
              <w:t>构筑物</w:t>
            </w:r>
            <w:r>
              <w:rPr>
                <w:rFonts w:hint="default"/>
              </w:rPr>
              <w:t>工程，运营期无废气、废水、固废等环境影响。</w:t>
            </w:r>
          </w:p>
          <w:p>
            <w:pPr>
              <w:bidi w:val="0"/>
              <w:rPr>
                <w:rFonts w:hint="default"/>
                <w:lang w:eastAsia="zh-CN"/>
              </w:rPr>
            </w:pPr>
            <w:r>
              <w:rPr>
                <w:rFonts w:hint="default"/>
                <w:lang w:eastAsia="zh-CN"/>
              </w:rPr>
              <w:t>本项目属于生态类项目，项目本身不会对环境产生不利影响。</w:t>
            </w:r>
            <w:r>
              <w:rPr>
                <w:rFonts w:hint="default"/>
              </w:rPr>
              <w:t>渠道防渗改建完成后，提高了灌区灌溉水利用率，减少项目区水资源无效损耗，对农业结构调整起到积极作用，灌区可基本利用地表水进行耕地灌溉，对区域生态植被恢复也将起到积极改善作用。通过节水改造的实施，可以调整项目区内种植业结构，改善项目区及周边地区的生态环境</w:t>
            </w:r>
            <w:r>
              <w:rPr>
                <w:rFonts w:hint="default"/>
                <w:lang w:eastAsia="zh-CN"/>
              </w:rPr>
              <w:t>，对生态环境、社会环境具有十分积极的正效益。</w:t>
            </w:r>
          </w:p>
          <w:p>
            <w:pPr>
              <w:bidi w:val="0"/>
              <w:rPr>
                <w:rFonts w:ascii="宋体" w:hAnsi="宋体" w:cs="宋体"/>
                <w:bCs/>
                <w:color w:val="auto"/>
                <w:szCs w:val="21"/>
              </w:rPr>
            </w:pPr>
            <w:r>
              <w:rPr>
                <w:rFonts w:hint="default"/>
                <w:lang w:eastAsia="zh-CN"/>
              </w:rPr>
              <w:t>本项目</w:t>
            </w:r>
            <w:r>
              <w:rPr>
                <w:rFonts w:hint="eastAsia"/>
                <w:lang w:eastAsia="zh-CN"/>
              </w:rPr>
              <w:t>运营</w:t>
            </w:r>
            <w:r>
              <w:rPr>
                <w:rFonts w:hint="default"/>
                <w:lang w:eastAsia="zh-CN"/>
              </w:rPr>
              <w:t>管理人员为</w:t>
            </w:r>
            <w:r>
              <w:rPr>
                <w:rFonts w:hint="default"/>
                <w:lang w:val="en-US" w:eastAsia="zh-CN"/>
              </w:rPr>
              <w:t>若羌县铁干里克镇人民政府</w:t>
            </w:r>
            <w:r>
              <w:rPr>
                <w:rFonts w:hint="eastAsia"/>
                <w:lang w:val="en-US" w:eastAsia="zh-CN"/>
              </w:rPr>
              <w:t>工作人员</w:t>
            </w:r>
            <w:r>
              <w:rPr>
                <w:rFonts w:hint="default"/>
                <w:lang w:eastAsia="zh-CN"/>
              </w:rPr>
              <w:t>，不在项目区另设办公区域，日常工作为定期</w:t>
            </w:r>
            <w:r>
              <w:rPr>
                <w:rFonts w:hint="default"/>
                <w:lang w:val="en-US" w:eastAsia="zh-CN"/>
              </w:rPr>
              <w:t>巡检</w:t>
            </w:r>
            <w:r>
              <w:rPr>
                <w:rFonts w:hint="default"/>
                <w:lang w:eastAsia="zh-CN"/>
              </w:rPr>
              <w:t>，</w:t>
            </w:r>
            <w:r>
              <w:rPr>
                <w:rFonts w:hint="default"/>
                <w:lang w:val="en-US" w:eastAsia="zh-CN"/>
              </w:rPr>
              <w:t>做好项目运营管理。因此，</w:t>
            </w:r>
            <w:r>
              <w:rPr>
                <w:rFonts w:hint="default"/>
                <w:lang w:eastAsia="zh-CN"/>
              </w:rPr>
              <w:t>运营期对生态环境的影响较小。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cs="宋体"/>
                <w:bCs/>
                <w:color w:val="auto"/>
                <w:kern w:val="2"/>
                <w:sz w:val="21"/>
                <w:szCs w:val="21"/>
              </w:rPr>
            </w:pPr>
            <w:r>
              <w:rPr>
                <w:rFonts w:hint="eastAsia" w:cs="宋体"/>
                <w:bCs/>
                <w:color w:val="auto"/>
                <w:kern w:val="2"/>
                <w:sz w:val="21"/>
                <w:szCs w:val="21"/>
              </w:rPr>
              <w:t>选址选线环境合理性分析</w:t>
            </w:r>
          </w:p>
        </w:tc>
        <w:tc>
          <w:tcPr>
            <w:tcW w:w="8363" w:type="dxa"/>
            <w:noWrap w:val="0"/>
            <w:vAlign w:val="top"/>
          </w:tcPr>
          <w:p>
            <w:pPr>
              <w:bidi w:val="0"/>
              <w:rPr>
                <w:rFonts w:hint="default"/>
                <w:lang w:eastAsia="zh-CN"/>
              </w:rPr>
            </w:pPr>
            <w:r>
              <w:rPr>
                <w:rFonts w:hint="default"/>
                <w:lang w:eastAsia="zh-CN"/>
              </w:rPr>
              <w:t>本项目属于防渗渠节水改造项目，是线性项目，项目选址灌区渠线沿用预留渠线进行配套建设，不另选渠线比选。</w:t>
            </w:r>
            <w:r>
              <w:rPr>
                <w:rFonts w:hint="default"/>
                <w:lang w:val="en-US" w:eastAsia="zh-CN"/>
              </w:rPr>
              <w:t>本项目改造渠道为老渠道，渠道两侧为耕地，渠线中心线按照现状渠道中心线布置，渠道边缘紧邻耕地，同时考虑与现状土路平行，采用较小的弯道半径沿耕地布置，渠线弯道较多，局部堤线裁弯取直，使工程占地较少的渠线布置方案。</w:t>
            </w:r>
            <w:r>
              <w:rPr>
                <w:rFonts w:hint="default"/>
                <w:lang w:eastAsia="zh-CN"/>
              </w:rPr>
              <w:t>本工程建成运行后，改善了渠道的输水条件，不仅提高了灌区现有灌溉保证率和水资源利用率，而且还可以利用节余的水量改善生态环境，实现规划水平年目标，同时提高了渠系水利用系数，有利于提高灌区灌溉水利用系数，减少渠道渗漏量，降低土壤盐渍化，使水资源得到充分利用，对促进灌区农业生产发展起到积极作用。</w:t>
            </w:r>
          </w:p>
          <w:p>
            <w:pPr>
              <w:bidi w:val="0"/>
              <w:rPr>
                <w:rFonts w:hint="default"/>
                <w:lang w:eastAsia="zh-CN"/>
              </w:rPr>
            </w:pPr>
            <w:r>
              <w:rPr>
                <w:rFonts w:hint="default"/>
                <w:lang w:eastAsia="zh-CN"/>
              </w:rPr>
              <w:t>本项目属于防渗渠节水改造项目，且临时占地时间较短。临时占地及永久占地均在</w:t>
            </w:r>
            <w:r>
              <w:rPr>
                <w:rFonts w:hint="eastAsia"/>
                <w:lang w:val="en-US" w:eastAsia="zh-CN"/>
              </w:rPr>
              <w:t>现有渠道</w:t>
            </w:r>
            <w:r>
              <w:rPr>
                <w:rFonts w:hint="default"/>
                <w:lang w:eastAsia="zh-CN"/>
              </w:rPr>
              <w:t>管理范围</w:t>
            </w:r>
            <w:r>
              <w:rPr>
                <w:rFonts w:hint="eastAsia"/>
                <w:lang w:val="en-US" w:eastAsia="zh-CN"/>
              </w:rPr>
              <w:t>内</w:t>
            </w:r>
            <w:r>
              <w:rPr>
                <w:rFonts w:hint="default"/>
                <w:lang w:eastAsia="zh-CN"/>
              </w:rPr>
              <w:t>，不涉及占地补偿，仅需施工结束后，对施工暂设扰动区域进行修复，恢复原地貌，对环境影响较小，选址较为合理。</w:t>
            </w:r>
          </w:p>
          <w:p>
            <w:pPr>
              <w:bidi w:val="0"/>
              <w:rPr>
                <w:rFonts w:hint="default"/>
                <w:lang w:eastAsia="zh-CN"/>
              </w:rPr>
            </w:pPr>
            <w:r>
              <w:rPr>
                <w:rFonts w:hint="default"/>
                <w:lang w:eastAsia="zh-CN"/>
              </w:rPr>
              <w:t>项目</w:t>
            </w:r>
            <w:r>
              <w:rPr>
                <w:rFonts w:hint="default"/>
              </w:rPr>
              <w:t>建设范围及周边区域无特殊保护文物古迹、自然保护区和特殊环境制约因素，</w:t>
            </w:r>
            <w:r>
              <w:rPr>
                <w:rFonts w:hint="eastAsia"/>
                <w:lang w:val="en-US" w:eastAsia="zh-CN"/>
              </w:rPr>
              <w:t>渠道</w:t>
            </w:r>
            <w:r>
              <w:rPr>
                <w:rFonts w:hint="default"/>
              </w:rPr>
              <w:t>走向与原</w:t>
            </w:r>
            <w:r>
              <w:rPr>
                <w:rFonts w:hint="eastAsia"/>
                <w:lang w:val="en-US" w:eastAsia="zh-CN"/>
              </w:rPr>
              <w:t>渠</w:t>
            </w:r>
            <w:r>
              <w:rPr>
                <w:rFonts w:hint="default"/>
              </w:rPr>
              <w:t>道一致，</w:t>
            </w:r>
            <w:r>
              <w:rPr>
                <w:rFonts w:hint="eastAsia"/>
                <w:lang w:val="en-US" w:eastAsia="zh-CN"/>
              </w:rPr>
              <w:t>项目</w:t>
            </w:r>
            <w:r>
              <w:rPr>
                <w:rFonts w:hint="default"/>
                <w:lang w:val="en-US" w:eastAsia="zh-CN"/>
              </w:rPr>
              <w:t>周边</w:t>
            </w:r>
            <w:r>
              <w:rPr>
                <w:rFonts w:hint="eastAsia"/>
                <w:lang w:val="en-US" w:eastAsia="zh-CN"/>
              </w:rPr>
              <w:t>有</w:t>
            </w:r>
            <w:r>
              <w:rPr>
                <w:rFonts w:hint="default"/>
                <w:lang w:val="en-US" w:eastAsia="zh-CN"/>
              </w:rPr>
              <w:t>村庄、居民点等敏感保护目标，</w:t>
            </w:r>
            <w:r>
              <w:rPr>
                <w:rFonts w:hint="eastAsia"/>
                <w:lang w:val="en-US" w:eastAsia="zh-CN"/>
              </w:rPr>
              <w:t>通过合理布局施工场地，加强工程管理并落实环评中提到的环保措施，</w:t>
            </w:r>
            <w:r>
              <w:rPr>
                <w:rFonts w:hint="default"/>
              </w:rPr>
              <w:t>从环境保护角度分析本项目选址、选线是合理可行的</w:t>
            </w:r>
            <w:r>
              <w:rPr>
                <w:rFonts w:hint="default"/>
                <w:lang w:eastAsia="zh-CN"/>
              </w:rPr>
              <w:t>。</w:t>
            </w:r>
          </w:p>
          <w:p>
            <w:pPr>
              <w:bidi w:val="0"/>
              <w:rPr>
                <w:rFonts w:hint="default"/>
                <w:lang w:eastAsia="zh-CN"/>
              </w:rPr>
            </w:pPr>
          </w:p>
          <w:p>
            <w:pPr>
              <w:bidi w:val="0"/>
              <w:ind w:left="0" w:leftChars="0" w:firstLine="0" w:firstLineChars="0"/>
              <w:rPr>
                <w:rFonts w:hint="default"/>
                <w:lang w:eastAsia="zh-CN"/>
              </w:rPr>
            </w:pPr>
          </w:p>
        </w:tc>
      </w:tr>
    </w:tbl>
    <w:p>
      <w:pPr>
        <w:pStyle w:val="19"/>
        <w:adjustRightInd w:val="0"/>
        <w:snapToGrid w:val="0"/>
        <w:spacing w:before="0" w:beforeAutospacing="0" w:after="0" w:afterAutospacing="0" w:line="14" w:lineRule="auto"/>
        <w:jc w:val="center"/>
        <w:outlineLvl w:val="0"/>
        <w:rPr>
          <w:rFonts w:hint="eastAsia" w:ascii="黑体" w:hAnsi="黑体" w:eastAsia="黑体"/>
          <w:snapToGrid w:val="0"/>
          <w:color w:val="auto"/>
          <w:sz w:val="30"/>
          <w:szCs w:val="30"/>
        </w:rPr>
      </w:pPr>
    </w:p>
    <w:p>
      <w:pPr>
        <w:pStyle w:val="19"/>
        <w:jc w:val="center"/>
        <w:outlineLvl w:val="0"/>
        <w:rPr>
          <w:rFonts w:hint="eastAsia" w:ascii="黑体" w:hAnsi="黑体" w:eastAsia="黑体"/>
          <w:snapToGrid w:val="0"/>
          <w:color w:val="auto"/>
          <w:sz w:val="30"/>
          <w:szCs w:val="30"/>
        </w:rPr>
        <w:sectPr>
          <w:pgSz w:w="11907" w:h="16840"/>
          <w:pgMar w:top="1440" w:right="1797" w:bottom="1440" w:left="1797" w:header="851" w:footer="1077" w:gutter="0"/>
          <w:pgNumType w:fmt="decimal"/>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五、主要生态环境保护措施</w:t>
      </w:r>
    </w:p>
    <w:tbl>
      <w:tblPr>
        <w:tblStyle w:val="21"/>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pacing w:val="10"/>
                <w:sz w:val="21"/>
                <w:szCs w:val="21"/>
              </w:rPr>
              <w:t>施工期生态环境保护措施</w:t>
            </w:r>
          </w:p>
        </w:tc>
        <w:tc>
          <w:tcPr>
            <w:tcW w:w="8457" w:type="dxa"/>
            <w:noWrap w:val="0"/>
            <w:vAlign w:val="top"/>
          </w:tcPr>
          <w:p>
            <w:pPr>
              <w:pStyle w:val="3"/>
              <w:bidi w:val="0"/>
              <w:rPr>
                <w:rFonts w:hint="eastAsia"/>
                <w:lang w:val="en-US"/>
              </w:rPr>
            </w:pPr>
            <w:r>
              <w:rPr>
                <w:rFonts w:hint="eastAsia"/>
                <w:lang w:val="en-US" w:eastAsia="zh-CN"/>
              </w:rPr>
              <w:t>1 生态环境保护措施及恢复情况</w:t>
            </w:r>
          </w:p>
          <w:p>
            <w:pPr>
              <w:pStyle w:val="3"/>
              <w:bidi w:val="0"/>
              <w:rPr>
                <w:rFonts w:hint="eastAsia"/>
                <w:lang w:val="en-US" w:eastAsia="zh-CN"/>
              </w:rPr>
            </w:pPr>
            <w:r>
              <w:rPr>
                <w:rFonts w:hint="eastAsia"/>
                <w:lang w:val="en-US" w:eastAsia="zh-CN"/>
              </w:rPr>
              <w:t>1.1土壤环境保护措施</w:t>
            </w:r>
          </w:p>
          <w:p>
            <w:pPr>
              <w:bidi w:val="0"/>
              <w:rPr>
                <w:rFonts w:hint="eastAsia"/>
                <w:lang w:val="en-US" w:eastAsia="zh-CN"/>
              </w:rPr>
            </w:pPr>
            <w:r>
              <w:rPr>
                <w:rFonts w:hint="eastAsia"/>
                <w:lang w:val="en-US" w:eastAsia="zh-CN"/>
              </w:rPr>
              <w:t>本项目通过合理规划施工场地，减少不必要的土壤扰动；对施工产生的建筑垃圾及时清运，分类处理，避免随意堆放；加强施工机械的维护与管理，防止燃油泄漏，一旦发生泄漏及时清理受污染土壤。对于居民保护措施，在施工前向居民普及土壤保护知识，告知施工可能对土壤环境产生的影响；施工过程中，若发现土壤污染情况，及时向周边居民公示，并采取措施降低对居民生活的影响，如对受污染土壤进行修复时，设置隔离带，避免扬尘等对居民造成二次污染。</w:t>
            </w:r>
          </w:p>
          <w:p>
            <w:pPr>
              <w:pStyle w:val="3"/>
              <w:bidi w:val="0"/>
              <w:rPr>
                <w:rFonts w:hint="eastAsia"/>
                <w:lang w:val="en-US" w:eastAsia="zh-CN"/>
              </w:rPr>
            </w:pPr>
            <w:r>
              <w:rPr>
                <w:rFonts w:hint="eastAsia"/>
                <w:lang w:val="en-US" w:eastAsia="zh-CN"/>
              </w:rPr>
              <w:t>1.2野生动植物保护措施</w:t>
            </w:r>
          </w:p>
          <w:p>
            <w:pPr>
              <w:bidi w:val="0"/>
              <w:rPr>
                <w:rFonts w:hint="eastAsia"/>
                <w:lang w:val="en-US" w:eastAsia="zh-CN"/>
              </w:rPr>
            </w:pPr>
            <w:r>
              <w:rPr>
                <w:rFonts w:hint="eastAsia"/>
                <w:lang w:val="en-US" w:eastAsia="zh-CN"/>
              </w:rPr>
              <w:t>（1）优化选择施工道路的选址，严格限定施工作业带范围，严格行车路线，运输车辆不得随意驶离道路或施工便道。优化施工组织，尽量减少施工过程中动用的土石方数量，减少植被破坏量。</w:t>
            </w:r>
          </w:p>
          <w:p>
            <w:pPr>
              <w:bidi w:val="0"/>
              <w:rPr>
                <w:rFonts w:hint="eastAsia"/>
                <w:lang w:val="en-US" w:eastAsia="zh-CN"/>
              </w:rPr>
            </w:pPr>
            <w:r>
              <w:rPr>
                <w:rFonts w:hint="eastAsia"/>
                <w:lang w:val="en-US" w:eastAsia="zh-CN"/>
              </w:rPr>
              <w:t>（2）在施工道路设置警示牌，加强对施工人员进行宣传教育，强化保护野生动物的观念，不得捕猎。车辆行驶过程中不得鸣笛惊吓野生动物。</w:t>
            </w:r>
          </w:p>
          <w:p>
            <w:pPr>
              <w:bidi w:val="0"/>
              <w:rPr>
                <w:rFonts w:hint="eastAsia"/>
                <w:lang w:val="en-US" w:eastAsia="zh-CN"/>
              </w:rPr>
            </w:pPr>
            <w:r>
              <w:rPr>
                <w:rFonts w:hint="eastAsia"/>
                <w:lang w:val="en-US" w:eastAsia="zh-CN"/>
              </w:rPr>
              <w:t>（3）施工时，尽量使用小型挖掘机械或人工作业，尽量缩短工期，减少因施工造成对动植物的影响。</w:t>
            </w:r>
          </w:p>
          <w:p>
            <w:pPr>
              <w:pStyle w:val="3"/>
              <w:bidi w:val="0"/>
              <w:rPr>
                <w:rFonts w:hint="eastAsia"/>
                <w:lang w:val="en-US" w:eastAsia="zh-CN"/>
              </w:rPr>
            </w:pPr>
            <w:r>
              <w:rPr>
                <w:rFonts w:hint="eastAsia"/>
                <w:lang w:val="en-US" w:eastAsia="zh-CN"/>
              </w:rPr>
              <w:t>1.3景观防治措施</w:t>
            </w:r>
          </w:p>
          <w:p>
            <w:pPr>
              <w:bidi w:val="0"/>
              <w:rPr>
                <w:rFonts w:hint="eastAsia"/>
                <w:lang w:val="en-US" w:eastAsia="zh-CN"/>
              </w:rPr>
            </w:pPr>
            <w:r>
              <w:rPr>
                <w:rFonts w:hint="eastAsia"/>
                <w:lang w:val="en-US" w:eastAsia="zh-CN"/>
              </w:rPr>
              <w:t>合理规划施工路线和施工场地，尽量减少对现有景观的破坏。定期对施工人员进行生态景观保护教育，提高其保护意识，避免随意踩踏、破坏周边景观。</w:t>
            </w:r>
          </w:p>
          <w:p>
            <w:pPr>
              <w:pStyle w:val="3"/>
              <w:bidi w:val="0"/>
              <w:rPr>
                <w:rFonts w:hint="default"/>
                <w:lang w:val="en-US" w:eastAsia="zh-CN"/>
              </w:rPr>
            </w:pPr>
            <w:r>
              <w:rPr>
                <w:rFonts w:hint="eastAsia"/>
                <w:lang w:val="en-US" w:eastAsia="zh-CN"/>
              </w:rPr>
              <w:t>1.4水土流失防治措施</w:t>
            </w:r>
          </w:p>
          <w:p>
            <w:pPr>
              <w:bidi w:val="0"/>
              <w:rPr>
                <w:rFonts w:hint="eastAsia"/>
              </w:rPr>
            </w:pPr>
            <w:r>
              <w:rPr>
                <w:rFonts w:hint="eastAsia"/>
                <w:lang w:val="en-US" w:eastAsia="zh-CN"/>
              </w:rPr>
              <w:t>（1）渠道工程</w:t>
            </w:r>
          </w:p>
          <w:p>
            <w:pPr>
              <w:bidi w:val="0"/>
              <w:rPr>
                <w:rFonts w:hint="eastAsia"/>
              </w:rPr>
            </w:pPr>
            <w:r>
              <w:rPr>
                <w:rFonts w:hint="eastAsia"/>
                <w:lang w:val="en-US" w:eastAsia="zh-CN"/>
              </w:rPr>
              <w:t>严格控制施工范围，减少对土壤的扰动；优化施工组织设计，减少施工时间。</w:t>
            </w:r>
            <w:r>
              <w:rPr>
                <w:rFonts w:hint="eastAsia"/>
              </w:rPr>
              <w:t>施工产生土方</w:t>
            </w:r>
            <w:r>
              <w:rPr>
                <w:rFonts w:hint="eastAsia"/>
                <w:lang w:val="en-US" w:eastAsia="zh-CN"/>
              </w:rPr>
              <w:t>量较大</w:t>
            </w:r>
            <w:r>
              <w:rPr>
                <w:rFonts w:hint="eastAsia"/>
              </w:rPr>
              <w:t>，应做好土方平衡及调运，尽量将开挖土方量用作填方</w:t>
            </w:r>
            <w:r>
              <w:rPr>
                <w:rFonts w:hint="eastAsia"/>
                <w:lang w:eastAsia="zh-CN"/>
              </w:rPr>
              <w:t>，</w:t>
            </w:r>
            <w:r>
              <w:rPr>
                <w:rFonts w:hint="eastAsia"/>
              </w:rPr>
              <w:t>弃方</w:t>
            </w:r>
            <w:r>
              <w:rPr>
                <w:rFonts w:hint="eastAsia"/>
                <w:lang w:val="en-US" w:eastAsia="zh-CN"/>
              </w:rPr>
              <w:t>沿渠道边铺平。</w:t>
            </w:r>
            <w:r>
              <w:rPr>
                <w:rFonts w:hint="eastAsia"/>
              </w:rPr>
              <w:t>对暂不继续施工的开挖裸露面和还未清运的弃土应进行苫盖并使用编织袋装土压脚，定时洒水以减少水土流失。</w:t>
            </w:r>
            <w:r>
              <w:rPr>
                <w:rFonts w:hint="eastAsia"/>
                <w:lang w:val="en-US" w:eastAsia="zh-CN"/>
              </w:rPr>
              <w:t>土方开挖、回填等易产生水土流失的工序应避开暴雨和大风天气。</w:t>
            </w:r>
            <w:r>
              <w:rPr>
                <w:rFonts w:hint="eastAsia"/>
              </w:rPr>
              <w:t>工程完工后，对临时设施拆除、清理，对用地进行平整</w:t>
            </w:r>
            <w:r>
              <w:rPr>
                <w:rFonts w:hint="eastAsia"/>
                <w:lang w:eastAsia="zh-CN"/>
              </w:rPr>
              <w:t>，</w:t>
            </w:r>
            <w:r>
              <w:rPr>
                <w:rFonts w:hint="eastAsia"/>
                <w:lang w:val="en-US" w:eastAsia="zh-CN"/>
              </w:rPr>
              <w:t>对土地进行复垦。</w:t>
            </w:r>
          </w:p>
          <w:p>
            <w:pPr>
              <w:bidi w:val="0"/>
              <w:rPr>
                <w:rFonts w:hint="eastAsia"/>
                <w:lang w:val="en-US" w:eastAsia="zh-CN"/>
              </w:rPr>
            </w:pPr>
            <w:r>
              <w:rPr>
                <w:rFonts w:hint="eastAsia"/>
                <w:lang w:val="en-US" w:eastAsia="zh-CN"/>
              </w:rPr>
              <w:t>（2）附属构筑物</w:t>
            </w:r>
          </w:p>
          <w:p>
            <w:pPr>
              <w:bidi w:val="0"/>
              <w:rPr>
                <w:rFonts w:hint="eastAsia"/>
                <w:highlight w:val="none"/>
                <w:lang w:val="en-US"/>
              </w:rPr>
            </w:pPr>
            <w:r>
              <w:rPr>
                <w:rFonts w:hint="eastAsia"/>
                <w:highlight w:val="none"/>
                <w:lang w:val="en-US" w:eastAsia="zh-CN"/>
              </w:rPr>
              <w:t>严格控制施工范围，减少对土壤的扰动；优化施工组织设计，减少施工时间。</w:t>
            </w:r>
            <w:r>
              <w:rPr>
                <w:rFonts w:hint="eastAsia"/>
                <w:highlight w:val="none"/>
              </w:rPr>
              <w:t>做好土方平衡及调运，尽量将开挖土方量用作填方</w:t>
            </w:r>
            <w:r>
              <w:rPr>
                <w:rFonts w:hint="eastAsia"/>
                <w:highlight w:val="none"/>
                <w:lang w:eastAsia="zh-CN"/>
              </w:rPr>
              <w:t>，</w:t>
            </w:r>
            <w:r>
              <w:rPr>
                <w:rFonts w:hint="eastAsia"/>
                <w:highlight w:val="none"/>
              </w:rPr>
              <w:t>弃方</w:t>
            </w:r>
            <w:r>
              <w:rPr>
                <w:rFonts w:hint="eastAsia"/>
                <w:highlight w:val="none"/>
                <w:lang w:val="en-US" w:eastAsia="zh-CN"/>
              </w:rPr>
              <w:t>沿渠道边铺平。</w:t>
            </w:r>
            <w:r>
              <w:rPr>
                <w:rFonts w:hint="eastAsia"/>
                <w:highlight w:val="none"/>
              </w:rPr>
              <w:t>对暂不继续施工的开挖裸露面和还未清运的弃土应进行苫盖并使用编织袋装土压脚，定时洒水以减少水土流失。</w:t>
            </w:r>
            <w:r>
              <w:rPr>
                <w:rFonts w:hint="eastAsia"/>
                <w:highlight w:val="none"/>
                <w:lang w:val="en-US" w:eastAsia="zh-CN"/>
              </w:rPr>
              <w:t>土方开挖、回填等易产生水土流失的工序应避开暴雨和大风天气。</w:t>
            </w:r>
            <w:r>
              <w:rPr>
                <w:rFonts w:hint="eastAsia"/>
                <w:highlight w:val="none"/>
              </w:rPr>
              <w:t>工程完工后，对临时设施拆除、清理，对用地进行平整</w:t>
            </w:r>
            <w:r>
              <w:rPr>
                <w:rFonts w:hint="eastAsia"/>
                <w:highlight w:val="none"/>
                <w:lang w:eastAsia="zh-CN"/>
              </w:rPr>
              <w:t>，</w:t>
            </w:r>
            <w:r>
              <w:rPr>
                <w:rFonts w:hint="eastAsia"/>
                <w:highlight w:val="none"/>
                <w:lang w:val="en-US" w:eastAsia="zh-CN"/>
              </w:rPr>
              <w:t>对土地进行复垦。</w:t>
            </w:r>
          </w:p>
          <w:p>
            <w:pPr>
              <w:bidi w:val="0"/>
              <w:rPr>
                <w:rFonts w:hint="default"/>
                <w:highlight w:val="none"/>
                <w:lang w:val="en-US"/>
              </w:rPr>
            </w:pPr>
            <w:r>
              <w:rPr>
                <w:rFonts w:hint="eastAsia"/>
                <w:highlight w:val="none"/>
                <w:lang w:val="en-US" w:eastAsia="zh-CN"/>
              </w:rPr>
              <w:t>（3）临时工业区</w:t>
            </w:r>
          </w:p>
          <w:p>
            <w:pPr>
              <w:keepLines w:val="0"/>
              <w:pageBreakBefore w:val="0"/>
              <w:kinsoku/>
              <w:wordWrap/>
              <w:overflowPunct/>
              <w:topLinePunct w:val="0"/>
              <w:autoSpaceDE/>
              <w:autoSpaceDN/>
              <w:bidi w:val="0"/>
              <w:spacing w:line="480" w:lineRule="exact"/>
              <w:ind w:left="0" w:firstLine="480" w:firstLineChars="200"/>
              <w:rPr>
                <w:rFonts w:hint="eastAsia" w:ascii="宋体" w:hAnsi="宋体" w:eastAsia="宋体" w:cs="宋体"/>
                <w:color w:val="auto"/>
                <w:sz w:val="24"/>
                <w:szCs w:val="24"/>
                <w:highlight w:val="none"/>
                <w:lang w:val="en-US" w:eastAsia="zh-CN"/>
              </w:rPr>
            </w:pPr>
            <w:bookmarkStart w:id="3" w:name="_Hlk173862193"/>
            <w:r>
              <w:rPr>
                <w:rFonts w:hint="eastAsia" w:ascii="宋体" w:hAnsi="宋体" w:eastAsia="宋体" w:cs="宋体"/>
                <w:color w:val="auto"/>
                <w:sz w:val="24"/>
                <w:szCs w:val="24"/>
                <w:highlight w:val="none"/>
                <w:lang w:val="en-US" w:eastAsia="zh-CN"/>
              </w:rPr>
              <w:t>依托库尔干村、亚喀吾斯塘村村民委员会，占地面积为</w:t>
            </w:r>
            <w:r>
              <w:rPr>
                <w:rFonts w:hint="default" w:ascii="Times New Roman" w:hAnsi="Times New Roman" w:eastAsia="宋体" w:cs="Times New Roman"/>
                <w:color w:val="auto"/>
                <w:sz w:val="24"/>
                <w:szCs w:val="24"/>
                <w:highlight w:val="none"/>
                <w:lang w:val="en-US" w:eastAsia="zh-CN"/>
              </w:rPr>
              <w:t>1000m</w:t>
            </w:r>
            <w:r>
              <w:rPr>
                <w:rFonts w:hint="default" w:ascii="Times New Roman" w:hAnsi="Times New Roman" w:eastAsia="宋体" w:cs="Times New Roman"/>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，用于堆放篷布、停放施工设备</w:t>
            </w:r>
            <w:bookmarkEnd w:id="3"/>
            <w:r>
              <w:rPr>
                <w:rFonts w:hint="eastAsia" w:ascii="宋体" w:hAnsi="宋体" w:eastAsia="宋体" w:cs="宋体"/>
                <w:color w:val="auto"/>
                <w:sz w:val="24"/>
                <w:szCs w:val="24"/>
                <w:highlight w:val="none"/>
              </w:rPr>
              <w:t>。工程完工后，</w:t>
            </w:r>
            <w:r>
              <w:rPr>
                <w:rFonts w:hint="eastAsia" w:ascii="宋体" w:hAnsi="宋体" w:cs="宋体"/>
                <w:color w:val="auto"/>
                <w:sz w:val="24"/>
                <w:szCs w:val="24"/>
                <w:highlight w:val="none"/>
                <w:lang w:val="en-US" w:eastAsia="zh-CN"/>
              </w:rPr>
              <w:t>对场地进行清扫恢复原状</w:t>
            </w:r>
            <w:r>
              <w:rPr>
                <w:rFonts w:hint="eastAsia" w:ascii="宋体" w:hAnsi="宋体" w:eastAsia="宋体" w:cs="宋体"/>
                <w:color w:val="auto"/>
                <w:sz w:val="24"/>
                <w:szCs w:val="24"/>
                <w:highlight w:val="none"/>
                <w:lang w:val="en-US" w:eastAsia="zh-CN"/>
              </w:rPr>
              <w:t>。</w:t>
            </w:r>
          </w:p>
          <w:p>
            <w:pPr>
              <w:bidi w:val="0"/>
              <w:rPr>
                <w:rFonts w:hint="default"/>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临时堆土区、临时堆渣区</w:t>
            </w:r>
          </w:p>
          <w:p>
            <w:pPr>
              <w:keepLines w:val="0"/>
              <w:pageBreakBefore w:val="0"/>
              <w:kinsoku/>
              <w:wordWrap/>
              <w:overflowPunct/>
              <w:topLinePunct w:val="0"/>
              <w:autoSpaceDE/>
              <w:autoSpaceDN/>
              <w:bidi w:val="0"/>
              <w:spacing w:line="480" w:lineRule="exact"/>
              <w:ind w:left="0" w:firstLine="480" w:firstLineChars="200"/>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严格控制</w:t>
            </w:r>
            <w:r>
              <w:rPr>
                <w:rFonts w:hint="eastAsia" w:cs="Times New Roman"/>
                <w:color w:val="auto"/>
                <w:sz w:val="24"/>
                <w:szCs w:val="24"/>
                <w:highlight w:val="none"/>
                <w:lang w:val="en-US" w:eastAsia="zh-CN"/>
              </w:rPr>
              <w:t>堆土区和堆渣区占地</w:t>
            </w:r>
            <w:r>
              <w:rPr>
                <w:rFonts w:hint="default" w:ascii="Times New Roman" w:hAnsi="Times New Roman" w:eastAsia="宋体" w:cs="Times New Roman"/>
                <w:color w:val="auto"/>
                <w:sz w:val="24"/>
                <w:szCs w:val="24"/>
                <w:highlight w:val="none"/>
                <w:lang w:val="en-US" w:eastAsia="zh-CN"/>
              </w:rPr>
              <w:t>范围，减少对土壤的扰动，使用彩条布覆盖；施工弃土</w:t>
            </w:r>
            <w:r>
              <w:rPr>
                <w:rFonts w:hint="eastAsia" w:cs="Times New Roman"/>
                <w:color w:val="auto"/>
                <w:sz w:val="24"/>
                <w:szCs w:val="24"/>
                <w:highlight w:val="none"/>
                <w:lang w:val="en-US" w:eastAsia="zh-CN"/>
              </w:rPr>
              <w:t>进行</w:t>
            </w:r>
            <w:r>
              <w:rPr>
                <w:rFonts w:hint="default" w:ascii="Times New Roman" w:hAnsi="Times New Roman" w:eastAsia="宋体" w:cs="Times New Roman"/>
                <w:color w:val="auto"/>
                <w:sz w:val="24"/>
                <w:szCs w:val="24"/>
                <w:highlight w:val="none"/>
                <w:lang w:val="en-US" w:eastAsia="zh-CN"/>
              </w:rPr>
              <w:t>沿线铺平、并分层压实，堆渣区使用结束后，整体进行平整，进行植被恢复</w:t>
            </w:r>
            <w:r>
              <w:rPr>
                <w:rFonts w:hint="eastAsia" w:cs="Times New Roman"/>
                <w:color w:val="auto"/>
                <w:sz w:val="24"/>
                <w:szCs w:val="24"/>
                <w:highlight w:val="none"/>
                <w:lang w:val="en-US" w:eastAsia="zh-CN"/>
              </w:rPr>
              <w:t>。</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（5）管理措施</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落实</w:t>
            </w:r>
            <w:r>
              <w:rPr>
                <w:rFonts w:hint="eastAsia" w:ascii="宋体" w:hAnsi="宋体" w:eastAsia="宋体" w:cs="宋体"/>
                <w:color w:val="auto"/>
                <w:sz w:val="24"/>
                <w:szCs w:val="24"/>
                <w:highlight w:val="none"/>
                <w:lang w:val="en-US" w:eastAsia="zh-CN"/>
              </w:rPr>
              <w:t>“水土保持”</w:t>
            </w:r>
            <w:r>
              <w:rPr>
                <w:rFonts w:hint="default" w:ascii="Times New Roman" w:hAnsi="Times New Roman" w:eastAsia="宋体" w:cs="Times New Roman"/>
                <w:color w:val="auto"/>
                <w:sz w:val="24"/>
                <w:szCs w:val="24"/>
                <w:highlight w:val="none"/>
                <w:lang w:val="en-US" w:eastAsia="zh-CN"/>
              </w:rPr>
              <w:t>三同时：水土保持设施应当与主体工程同时设计、同时施工、同时投产使用；生产建设项目竣工验收，应当验收水土保持设施；水土保持设施未经验收或者验收不合格的，生产建设项目不得投产使用。</w:t>
            </w:r>
          </w:p>
          <w:p>
            <w:pPr>
              <w:pStyle w:val="3"/>
              <w:bidi w:val="0"/>
              <w:rPr>
                <w:rFonts w:hint="default"/>
                <w:lang w:val="en-US" w:eastAsia="zh-CN"/>
              </w:rPr>
            </w:pPr>
            <w:r>
              <w:rPr>
                <w:rFonts w:hint="eastAsia"/>
                <w:lang w:val="en-US" w:eastAsia="zh-CN"/>
              </w:rPr>
              <w:t>1.5 防沙治沙措施</w:t>
            </w:r>
          </w:p>
          <w:p>
            <w:pPr>
              <w:bidi w:val="0"/>
              <w:rPr>
                <w:rFonts w:hint="default"/>
                <w:lang w:val="en-US" w:eastAsia="zh-CN"/>
              </w:rPr>
            </w:pPr>
            <w:r>
              <w:rPr>
                <w:rFonts w:hint="eastAsia"/>
                <w:lang w:val="en-US" w:eastAsia="zh-CN"/>
              </w:rPr>
              <w:t>施工单位合理安排施工计划，禁止大风天气进行产生扬尘的施工；对土石方挖填等方案进行周密论证，减少借方和弃方；施工中所用材料统一堆放管理，回填使用的易起尘物料随用随拉运，在现场临时存放过程中使用防尘网苫盖，洒水降尘并尽快回填。工区、道路平整后夯实、硬化；对施工现场、工区、道路等区域定期洒水降尘。</w:t>
            </w:r>
          </w:p>
          <w:p>
            <w:pPr>
              <w:pStyle w:val="3"/>
              <w:bidi w:val="0"/>
              <w:rPr>
                <w:rFonts w:hint="default"/>
                <w:lang w:val="en-US" w:eastAsia="zh-CN"/>
              </w:rPr>
            </w:pPr>
            <w:r>
              <w:rPr>
                <w:rFonts w:hint="eastAsia"/>
                <w:lang w:val="en-US" w:eastAsia="zh-CN"/>
              </w:rPr>
              <w:t>2 施工期大气环境保护措施</w:t>
            </w:r>
          </w:p>
          <w:p>
            <w:pPr>
              <w:bidi w:val="0"/>
              <w:rPr>
                <w:rFonts w:hint="default"/>
                <w:lang w:val="en-US" w:eastAsia="zh-CN"/>
              </w:rPr>
            </w:pPr>
            <w:r>
              <w:rPr>
                <w:rFonts w:hint="default"/>
                <w:lang w:val="en-US" w:eastAsia="zh-CN"/>
              </w:rPr>
              <w:t>施工期对大气产生影响的主要是施工扬尘和燃油废气。</w:t>
            </w:r>
          </w:p>
          <w:p>
            <w:pPr>
              <w:pStyle w:val="3"/>
              <w:bidi w:val="0"/>
              <w:rPr>
                <w:rFonts w:hint="eastAsia"/>
              </w:rPr>
            </w:pPr>
            <w:r>
              <w:rPr>
                <w:rFonts w:hint="eastAsia"/>
                <w:lang w:val="en-US" w:eastAsia="zh-CN"/>
              </w:rPr>
              <w:t>2.1</w:t>
            </w:r>
            <w:r>
              <w:rPr>
                <w:rFonts w:hint="eastAsia"/>
              </w:rPr>
              <w:t>扬尘</w:t>
            </w:r>
          </w:p>
          <w:p>
            <w:pPr>
              <w:bidi w:val="0"/>
              <w:rPr>
                <w:rFonts w:hint="eastAsia"/>
              </w:rPr>
            </w:pPr>
            <w:bookmarkStart w:id="4" w:name="_Hlk161139293"/>
            <w:r>
              <w:rPr>
                <w:rFonts w:hint="eastAsia"/>
              </w:rPr>
              <w:t>施工扬尘主要是现有</w:t>
            </w:r>
            <w:r>
              <w:rPr>
                <w:rFonts w:hint="eastAsia"/>
                <w:lang w:val="en-US" w:eastAsia="zh-CN"/>
              </w:rPr>
              <w:t>渠道</w:t>
            </w:r>
            <w:r>
              <w:rPr>
                <w:rFonts w:hint="eastAsia"/>
              </w:rPr>
              <w:t>构筑物</w:t>
            </w:r>
            <w:r>
              <w:rPr>
                <w:rFonts w:hint="eastAsia"/>
                <w:lang w:val="en-US" w:eastAsia="zh-CN"/>
              </w:rPr>
              <w:t>拆除、</w:t>
            </w:r>
            <w:r>
              <w:rPr>
                <w:rFonts w:hint="eastAsia"/>
              </w:rPr>
              <w:t>土方开挖回填、运输、车辆运行、材料堆放等过程产生的，主要污染物为TSP，应采取以下措施减少或避免扬尘的产生：</w:t>
            </w:r>
          </w:p>
          <w:p>
            <w:pPr>
              <w:bidi w:val="0"/>
              <w:rPr>
                <w:rFonts w:hint="eastAsia"/>
                <w:highlight w:val="none"/>
              </w:rPr>
            </w:pPr>
            <w:r>
              <w:rPr>
                <w:rFonts w:hint="eastAsia"/>
                <w:highlight w:val="none"/>
                <w:lang w:val="en-US" w:eastAsia="zh-CN"/>
              </w:rPr>
              <w:t>（1）</w:t>
            </w:r>
            <w:r>
              <w:rPr>
                <w:rFonts w:hint="eastAsia"/>
                <w:highlight w:val="none"/>
              </w:rPr>
              <w:t>施工前制定控制施工扬尘的方案，施工期间采取有效防尘措施并接受相关部门的监督检查。加强对施工人员的环保教育，增强全体施工人员的环保意识；认真做好施工场地管理工作，坚持文明施工、科学施工。</w:t>
            </w:r>
          </w:p>
          <w:p>
            <w:pPr>
              <w:bidi w:val="0"/>
              <w:rPr>
                <w:rFonts w:hint="eastAsia"/>
                <w:highlight w:val="none"/>
              </w:rPr>
            </w:pPr>
            <w:r>
              <w:rPr>
                <w:rFonts w:hint="eastAsia"/>
                <w:highlight w:val="none"/>
                <w:lang w:val="en-US" w:eastAsia="zh-CN"/>
              </w:rPr>
              <w:t>（2）</w:t>
            </w:r>
            <w:r>
              <w:rPr>
                <w:rFonts w:hint="eastAsia"/>
                <w:highlight w:val="none"/>
              </w:rPr>
              <w:t>在</w:t>
            </w:r>
            <w:r>
              <w:rPr>
                <w:rFonts w:hint="eastAsia"/>
                <w:highlight w:val="none"/>
                <w:lang w:val="en-US" w:eastAsia="zh-CN"/>
              </w:rPr>
              <w:t>工区</w:t>
            </w:r>
            <w:r>
              <w:rPr>
                <w:rFonts w:hint="eastAsia"/>
                <w:highlight w:val="none"/>
              </w:rPr>
              <w:t>四周设置围挡。</w:t>
            </w:r>
          </w:p>
          <w:p>
            <w:pPr>
              <w:bidi w:val="0"/>
              <w:rPr>
                <w:rFonts w:hint="eastAsia"/>
                <w:highlight w:val="none"/>
              </w:rPr>
            </w:pPr>
            <w:r>
              <w:rPr>
                <w:rFonts w:hint="eastAsia"/>
                <w:highlight w:val="none"/>
                <w:lang w:val="en-US" w:eastAsia="zh-CN"/>
              </w:rPr>
              <w:t>（3）</w:t>
            </w:r>
            <w:r>
              <w:rPr>
                <w:rFonts w:hint="eastAsia"/>
                <w:highlight w:val="none"/>
              </w:rPr>
              <w:t>施工期间配备洒水车</w:t>
            </w:r>
            <w:r>
              <w:rPr>
                <w:rFonts w:hint="eastAsia"/>
                <w:highlight w:val="none"/>
                <w:lang w:val="en-US" w:eastAsia="zh-CN"/>
              </w:rPr>
              <w:t>洒水降尘</w:t>
            </w:r>
            <w:r>
              <w:rPr>
                <w:rFonts w:hint="eastAsia"/>
                <w:highlight w:val="none"/>
              </w:rPr>
              <w:t>，4级以上大风天气禁止土方开挖、回填、装卸等作业</w:t>
            </w:r>
            <w:r>
              <w:rPr>
                <w:rFonts w:hint="eastAsia"/>
                <w:highlight w:val="none"/>
                <w:lang w:eastAsia="zh-CN"/>
              </w:rPr>
              <w:t>，</w:t>
            </w:r>
            <w:r>
              <w:rPr>
                <w:rFonts w:hint="eastAsia"/>
                <w:highlight w:val="none"/>
              </w:rPr>
              <w:t>大风天气增加洒水频率。</w:t>
            </w:r>
          </w:p>
          <w:p>
            <w:pPr>
              <w:bidi w:val="0"/>
              <w:rPr>
                <w:rFonts w:hint="eastAsia"/>
                <w:highlight w:val="none"/>
              </w:rPr>
            </w:pPr>
            <w:r>
              <w:rPr>
                <w:rFonts w:hint="eastAsia"/>
                <w:highlight w:val="none"/>
                <w:lang w:val="en-US" w:eastAsia="zh-CN"/>
              </w:rPr>
              <w:t>（4）</w:t>
            </w:r>
            <w:r>
              <w:rPr>
                <w:rFonts w:hint="eastAsia"/>
                <w:highlight w:val="none"/>
              </w:rPr>
              <w:t>拆除建（构）筑物过程中，应当配备防风抑尘设备，湿法作业。</w:t>
            </w:r>
          </w:p>
          <w:p>
            <w:pPr>
              <w:bidi w:val="0"/>
              <w:rPr>
                <w:rFonts w:hint="eastAsia"/>
                <w:highlight w:val="none"/>
              </w:rPr>
            </w:pPr>
            <w:r>
              <w:rPr>
                <w:rFonts w:hint="eastAsia"/>
                <w:highlight w:val="none"/>
                <w:lang w:val="en-US" w:eastAsia="zh-CN"/>
              </w:rPr>
              <w:t>（5）</w:t>
            </w:r>
            <w:r>
              <w:rPr>
                <w:rFonts w:hint="eastAsia"/>
                <w:highlight w:val="none"/>
              </w:rPr>
              <w:t>在场地内堆存</w:t>
            </w:r>
            <w:r>
              <w:rPr>
                <w:rFonts w:hint="eastAsia"/>
                <w:highlight w:val="none"/>
                <w:lang w:val="en-US" w:eastAsia="zh-CN"/>
              </w:rPr>
              <w:t>时</w:t>
            </w:r>
            <w:r>
              <w:rPr>
                <w:rFonts w:hint="eastAsia"/>
                <w:highlight w:val="none"/>
              </w:rPr>
              <w:t>，应当有效覆盖。</w:t>
            </w:r>
          </w:p>
          <w:p>
            <w:pPr>
              <w:bidi w:val="0"/>
              <w:rPr>
                <w:rFonts w:hint="eastAsia"/>
                <w:highlight w:val="none"/>
              </w:rPr>
            </w:pPr>
            <w:bookmarkStart w:id="5" w:name="_Hlk172046465"/>
            <w:r>
              <w:rPr>
                <w:rFonts w:hint="eastAsia"/>
                <w:highlight w:val="none"/>
                <w:lang w:val="en-US" w:eastAsia="zh-CN"/>
              </w:rPr>
              <w:t>（6）项目外购用于回填的砂石料如暂不回填，在现场临时堆存过程中</w:t>
            </w:r>
            <w:r>
              <w:rPr>
                <w:rFonts w:hint="eastAsia"/>
                <w:highlight w:val="none"/>
              </w:rPr>
              <w:t>应采取下列防尘措施：堆场的场坪、路面应当进行硬化处理，并保持路面整洁；堆场周边应当配备高于堆存物料的围挡、防风抑尘网等设施；按照物料类别采取相应的覆盖、喷淋和围挡等防风抑尘措施。</w:t>
            </w:r>
          </w:p>
          <w:p>
            <w:pPr>
              <w:bidi w:val="0"/>
              <w:rPr>
                <w:rFonts w:hint="eastAsia"/>
                <w:highlight w:val="none"/>
                <w:lang w:val="en-US" w:eastAsia="zh-CN"/>
              </w:rPr>
            </w:pPr>
            <w:r>
              <w:rPr>
                <w:rFonts w:hint="eastAsia"/>
                <w:highlight w:val="none"/>
                <w:lang w:val="en-US" w:eastAsia="zh-CN"/>
              </w:rPr>
              <w:t>（7）</w:t>
            </w:r>
            <w:r>
              <w:rPr>
                <w:rFonts w:hint="eastAsia"/>
                <w:highlight w:val="none"/>
              </w:rPr>
              <w:t>露天装卸物料应当采取密闭或者喷淋等抑尘措施；输送的物料应当在装料、卸料处配备喷淋等防尘设施。</w:t>
            </w:r>
          </w:p>
          <w:p>
            <w:pPr>
              <w:bidi w:val="0"/>
              <w:rPr>
                <w:rFonts w:hint="eastAsia"/>
                <w:highlight w:val="none"/>
                <w:lang w:val="en-US" w:eastAsia="zh-CN"/>
              </w:rPr>
            </w:pPr>
            <w:r>
              <w:rPr>
                <w:rFonts w:hint="eastAsia"/>
                <w:highlight w:val="none"/>
                <w:lang w:val="en-US" w:eastAsia="zh-CN"/>
              </w:rPr>
              <w:t>（8）项目施工场地及进场道路硬化，定期洒水抑尘；工区地面硬化，工区设置车辆冲洗装置对出场车辆冲洗；设置洒水车洒水降尘，大风天气增加洒水频次。</w:t>
            </w:r>
          </w:p>
          <w:p>
            <w:pPr>
              <w:bidi w:val="0"/>
              <w:rPr>
                <w:rFonts w:hint="eastAsia"/>
              </w:rPr>
            </w:pPr>
            <w:r>
              <w:rPr>
                <w:rFonts w:hint="eastAsia"/>
                <w:highlight w:val="none"/>
                <w:lang w:val="en-US" w:eastAsia="zh-CN"/>
              </w:rPr>
              <w:t>（9）渠道开挖过程应避开大风天气，开挖后的土方在渠道一侧临时堆放，堆放过程应采用防尘网进行覆盖；开挖过程及土方堆放过程应使用洒水车洒</w:t>
            </w:r>
            <w:r>
              <w:rPr>
                <w:rFonts w:hint="eastAsia"/>
                <w:lang w:val="en-US" w:eastAsia="zh-CN"/>
              </w:rPr>
              <w:t>水降尘。</w:t>
            </w:r>
          </w:p>
          <w:bookmarkEnd w:id="5"/>
          <w:p>
            <w:pPr>
              <w:bidi w:val="0"/>
              <w:rPr>
                <w:rFonts w:hint="eastAsia"/>
              </w:rPr>
            </w:pPr>
            <w:r>
              <w:rPr>
                <w:rFonts w:hint="eastAsia"/>
                <w:lang w:val="en-US" w:eastAsia="zh-CN"/>
              </w:rPr>
              <w:t>（10）</w:t>
            </w:r>
            <w:r>
              <w:rPr>
                <w:rFonts w:hint="eastAsia"/>
              </w:rPr>
              <w:t>车辆严格控制运输装载量，按照规定路线行驶，进入施工场地需减速或限速行驶。施工场地设置洗车装置，对运输车辆轮胎进行清洗。土方和材料拉运过程中，运输车辆应密闭或加盖篷布，减少洒落遗漏。</w:t>
            </w:r>
          </w:p>
          <w:p>
            <w:pPr>
              <w:bidi w:val="0"/>
              <w:rPr>
                <w:rFonts w:hint="eastAsia"/>
              </w:rPr>
            </w:pPr>
            <w:bookmarkStart w:id="6" w:name="_Hlk172046501"/>
            <w:r>
              <w:rPr>
                <w:rFonts w:hint="eastAsia"/>
                <w:lang w:val="en-US" w:eastAsia="zh-CN"/>
              </w:rPr>
              <w:t>（11）</w:t>
            </w:r>
            <w:r>
              <w:rPr>
                <w:rFonts w:hint="eastAsia"/>
              </w:rPr>
              <w:t>大风天气下避免进行挖填方及装运土方等易起尘的施工活动；对暂不继续施工的开挖面、堆放土方进行压实及苫盖，并适时适量洒水。</w:t>
            </w:r>
          </w:p>
          <w:bookmarkEnd w:id="6"/>
          <w:p>
            <w:pPr>
              <w:bidi w:val="0"/>
              <w:rPr>
                <w:rFonts w:hint="eastAsia"/>
              </w:rPr>
            </w:pPr>
            <w:r>
              <w:rPr>
                <w:rFonts w:hint="eastAsia"/>
              </w:rPr>
              <w:t>通过采取上述防尘、降尘措施，尽量将施工期间产生的扬尘对周围环境</w:t>
            </w:r>
            <w:r>
              <w:rPr>
                <w:rFonts w:hint="eastAsia"/>
                <w:lang w:val="en-US" w:eastAsia="zh-CN"/>
              </w:rPr>
              <w:t>敏感目标</w:t>
            </w:r>
            <w:r>
              <w:rPr>
                <w:rFonts w:hint="eastAsia"/>
              </w:rPr>
              <w:t>的影响降到最低限度。</w:t>
            </w:r>
          </w:p>
          <w:bookmarkEnd w:id="4"/>
          <w:p>
            <w:pPr>
              <w:pStyle w:val="3"/>
              <w:bidi w:val="0"/>
              <w:rPr>
                <w:rFonts w:hint="eastAsia"/>
              </w:rPr>
            </w:pPr>
            <w:r>
              <w:rPr>
                <w:rFonts w:hint="eastAsia"/>
                <w:lang w:val="en-US" w:eastAsia="zh-CN"/>
              </w:rPr>
              <w:t xml:space="preserve">2.2 </w:t>
            </w:r>
            <w:r>
              <w:rPr>
                <w:rFonts w:hint="eastAsia"/>
              </w:rPr>
              <w:t>燃油废气</w:t>
            </w:r>
          </w:p>
          <w:p>
            <w:pPr>
              <w:bidi w:val="0"/>
              <w:rPr>
                <w:rFonts w:hint="eastAsia"/>
                <w:lang w:val="en-US" w:eastAsia="zh-CN"/>
              </w:rPr>
            </w:pPr>
            <w:r>
              <w:rPr>
                <w:rFonts w:hint="eastAsia"/>
              </w:rPr>
              <w:t>选用符合国家有关标准</w:t>
            </w:r>
            <w:r>
              <w:rPr>
                <w:rFonts w:hint="eastAsia"/>
                <w:lang w:eastAsia="zh-CN"/>
              </w:rPr>
              <w:t>、</w:t>
            </w:r>
            <w:r>
              <w:rPr>
                <w:rFonts w:hint="eastAsia"/>
                <w:lang w:val="en-US" w:eastAsia="zh-CN"/>
              </w:rPr>
              <w:t>年检合格</w:t>
            </w:r>
            <w:r>
              <w:rPr>
                <w:rFonts w:hint="eastAsia"/>
              </w:rPr>
              <w:t>的施工机械、车辆及发电设备；加强机械、车辆和设备维护</w:t>
            </w:r>
            <w:r>
              <w:rPr>
                <w:rFonts w:hint="eastAsia"/>
                <w:lang w:eastAsia="zh-CN"/>
              </w:rPr>
              <w:t>，</w:t>
            </w:r>
            <w:r>
              <w:rPr>
                <w:rFonts w:hint="eastAsia"/>
                <w:lang w:val="en-US" w:eastAsia="zh-CN"/>
              </w:rPr>
              <w:t>确保正常运行</w:t>
            </w:r>
            <w:r>
              <w:rPr>
                <w:rFonts w:hint="eastAsia"/>
              </w:rPr>
              <w:t>；使用符合国家标准的油品。</w:t>
            </w:r>
            <w:r>
              <w:rPr>
                <w:rFonts w:hint="eastAsia"/>
                <w:lang w:val="en-US" w:eastAsia="zh-CN"/>
              </w:rPr>
              <w:t>采取以上措施后，燃油废气对环境的影响可接受。</w:t>
            </w:r>
          </w:p>
          <w:p>
            <w:pPr>
              <w:pStyle w:val="3"/>
              <w:bidi w:val="0"/>
              <w:rPr>
                <w:rFonts w:hint="eastAsia"/>
                <w:lang w:val="en-US" w:eastAsia="zh-CN"/>
              </w:rPr>
            </w:pPr>
            <w:r>
              <w:rPr>
                <w:rFonts w:hint="eastAsia"/>
                <w:lang w:val="en-US" w:eastAsia="zh-CN"/>
              </w:rPr>
              <w:t>3 施工期</w:t>
            </w:r>
            <w:bookmarkStart w:id="7" w:name="_Hlk161139370"/>
            <w:r>
              <w:rPr>
                <w:rFonts w:hint="eastAsia"/>
                <w:lang w:val="en-US" w:eastAsia="zh-CN"/>
              </w:rPr>
              <w:t>水环境保护措施</w:t>
            </w:r>
            <w:bookmarkEnd w:id="7"/>
          </w:p>
          <w:p>
            <w:pPr>
              <w:bidi w:val="0"/>
              <w:rPr>
                <w:rFonts w:hint="default"/>
                <w:lang w:val="en-US" w:eastAsia="zh-CN"/>
              </w:rPr>
            </w:pPr>
            <w:r>
              <w:rPr>
                <w:rFonts w:hint="eastAsia"/>
                <w:lang w:val="en-US" w:eastAsia="zh-CN"/>
              </w:rPr>
              <w:t>（1）</w:t>
            </w:r>
            <w:r>
              <w:rPr>
                <w:rFonts w:hint="default"/>
                <w:lang w:val="en-US" w:eastAsia="zh-CN"/>
              </w:rPr>
              <w:t>严禁施工废水、车辆冲洗废水、固体废弃物等污染物排入渠道内；做好</w:t>
            </w:r>
            <w:r>
              <w:rPr>
                <w:rFonts w:hint="eastAsia"/>
                <w:lang w:val="en-US" w:eastAsia="zh-CN"/>
              </w:rPr>
              <w:t>沉淀池</w:t>
            </w:r>
            <w:r>
              <w:rPr>
                <w:rFonts w:hint="default"/>
                <w:lang w:val="en-US" w:eastAsia="zh-CN"/>
              </w:rPr>
              <w:t>的防渗，并定期进行检查维护。</w:t>
            </w:r>
          </w:p>
          <w:p>
            <w:pPr>
              <w:bidi w:val="0"/>
              <w:rPr>
                <w:rFonts w:hint="default"/>
                <w:lang w:val="en-US" w:eastAsia="zh-CN"/>
              </w:rPr>
            </w:pPr>
            <w:r>
              <w:rPr>
                <w:rFonts w:hint="eastAsia"/>
                <w:lang w:val="en-US" w:eastAsia="zh-CN"/>
              </w:rPr>
              <w:t>（2）</w:t>
            </w:r>
            <w:r>
              <w:rPr>
                <w:rFonts w:hint="default"/>
                <w:lang w:val="en-US" w:eastAsia="zh-CN"/>
              </w:rPr>
              <w:t>施工过程中应严格加强对机械设备的检修和维护力度与频次，发现问题，及时解决，严格禁止运输车辆和施工机械满身油污进行施工，杜绝施工机械和运输车辆在施工过程中的跑、冒、滴、漏现象的发生。施工机械和车辆一旦出现漏油现象，应立即停止运行并进行机械维修或更换设备。</w:t>
            </w:r>
          </w:p>
          <w:p>
            <w:pPr>
              <w:bidi w:val="0"/>
              <w:rPr>
                <w:rFonts w:hint="default"/>
                <w:lang w:val="en-US" w:eastAsia="zh-CN"/>
              </w:rPr>
            </w:pPr>
            <w:r>
              <w:rPr>
                <w:rFonts w:hint="default"/>
                <w:lang w:val="en-US" w:eastAsia="zh-CN"/>
              </w:rPr>
              <w:t>通过采取上述措施，本项目对水环境影响可接受。</w:t>
            </w:r>
          </w:p>
          <w:p>
            <w:pPr>
              <w:pStyle w:val="3"/>
              <w:keepNext/>
              <w:keepLines w:val="0"/>
              <w:pageBreakBefore w:val="0"/>
              <w:widowControl w:val="0"/>
              <w:kinsoku/>
              <w:wordWrap/>
              <w:overflowPunct/>
              <w:topLinePunct w:val="0"/>
              <w:autoSpaceDE/>
              <w:autoSpaceDN/>
              <w:bidi w:val="0"/>
              <w:adjustRightInd/>
              <w:snapToGrid w:val="0"/>
              <w:spacing w:before="0" w:after="0" w:line="520" w:lineRule="exact"/>
              <w:ind w:left="0"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声环境保护措施</w:t>
            </w:r>
          </w:p>
          <w:p>
            <w:pPr>
              <w:keepNext w:val="0"/>
              <w:keepLines w:val="0"/>
              <w:pageBreakBefore w:val="0"/>
              <w:shd w:val="clear" w:color="auto" w:fill="auto"/>
              <w:kinsoku/>
              <w:overflowPunct/>
              <w:autoSpaceDE/>
              <w:autoSpaceDN/>
              <w:bidi w:val="0"/>
              <w:snapToGrid w:val="0"/>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（1）加强施工管理，合理安排施工作业时间，禁止夜间施工；</w:t>
            </w:r>
          </w:p>
          <w:p>
            <w:pPr>
              <w:keepNext w:val="0"/>
              <w:keepLines w:val="0"/>
              <w:pageBreakBefore w:val="0"/>
              <w:shd w:val="clear" w:color="auto" w:fill="auto"/>
              <w:kinsoku/>
              <w:overflowPunct/>
              <w:autoSpaceDE/>
              <w:autoSpaceDN/>
              <w:bidi w:val="0"/>
              <w:snapToGrid w:val="0"/>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（2）为保障施工人员的工作环境，应选用低噪声施工设备，并配备耳塞等降噪设施，以减小施工噪声对施工人员的影响；</w:t>
            </w:r>
          </w:p>
          <w:p>
            <w:pPr>
              <w:keepNext w:val="0"/>
              <w:keepLines w:val="0"/>
              <w:pageBreakBefore w:val="0"/>
              <w:shd w:val="clear" w:color="auto" w:fill="auto"/>
              <w:kinsoku/>
              <w:overflowPunct/>
              <w:autoSpaceDE/>
              <w:autoSpaceDN/>
              <w:bidi w:val="0"/>
              <w:snapToGrid w:val="0"/>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（3）尽可能采用低噪声的施工机械，并且注意经常维护和保养，使得施工机械设备保持运转正常，同时要定期检验设备的噪声声级，以便有效地缩小施工期的噪声影响范围；</w:t>
            </w:r>
          </w:p>
          <w:p>
            <w:pPr>
              <w:pStyle w:val="50"/>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Chars="0" w:right="0" w:rightChars="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4"/>
                <w:szCs w:val="24"/>
                <w:highlight w:val="none"/>
                <w:lang w:val="en-US" w:eastAsia="zh-CN" w:bidi="ar-SA"/>
              </w:rPr>
              <w:t>（4）施工场地应保持通道和道路畅通，控制运输车辆的车速，固定施工车辆的运输路线，经过居民区附近时应减速、限制车辆鸣笛，减少交通噪声对周边环境的影响；</w:t>
            </w:r>
          </w:p>
          <w:p>
            <w:pPr>
              <w:keepNext w:val="0"/>
              <w:keepLines w:val="0"/>
              <w:pageBreakBefore w:val="0"/>
              <w:shd w:val="clear" w:color="auto" w:fill="auto"/>
              <w:kinsoku/>
              <w:overflowPunct/>
              <w:autoSpaceDE/>
              <w:autoSpaceDN/>
              <w:bidi w:val="0"/>
              <w:snapToGrid w:val="0"/>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（5）在居民区附近施工段设置隔声屏障，</w:t>
            </w:r>
            <w:r>
              <w:rPr>
                <w:rFonts w:hint="eastAsia" w:ascii="宋体" w:hAnsi="宋体" w:eastAsia="宋体" w:cs="宋体"/>
                <w:b w:val="0"/>
                <w:bCs w:val="0"/>
                <w:color w:val="auto"/>
                <w:sz w:val="24"/>
                <w:szCs w:val="24"/>
                <w:lang w:val="en-US" w:eastAsia="zh-CN"/>
              </w:rPr>
              <w:t>使用</w:t>
            </w:r>
            <w:r>
              <w:rPr>
                <w:rFonts w:hint="eastAsia" w:ascii="宋体" w:hAnsi="宋体" w:cs="宋体"/>
                <w:b w:val="0"/>
                <w:bCs w:val="0"/>
                <w:color w:val="auto"/>
                <w:sz w:val="24"/>
                <w:szCs w:val="24"/>
                <w:lang w:val="en-US" w:eastAsia="zh-CN"/>
              </w:rPr>
              <w:t>单侧薄屏障</w:t>
            </w:r>
            <w:r>
              <w:rPr>
                <w:rFonts w:hint="eastAsia" w:ascii="宋体" w:hAnsi="宋体" w:eastAsia="宋体" w:cs="宋体"/>
                <w:b w:val="0"/>
                <w:bCs w:val="0"/>
                <w:color w:val="auto"/>
                <w:sz w:val="24"/>
                <w:szCs w:val="24"/>
                <w:lang w:val="en-US" w:eastAsia="zh-CN"/>
              </w:rPr>
              <w:t>（玻璃钢材质）隔声</w:t>
            </w:r>
            <w:r>
              <w:rPr>
                <w:rFonts w:hint="eastAsia" w:cs="Times New Roman"/>
                <w:color w:val="auto"/>
                <w:kern w:val="0"/>
                <w:sz w:val="24"/>
                <w:szCs w:val="24"/>
                <w:highlight w:val="none"/>
                <w:lang w:val="en-US" w:eastAsia="zh-CN" w:bidi="ar-SA"/>
              </w:rPr>
              <w:t>，减少施工噪声</w:t>
            </w:r>
            <w:r>
              <w:rPr>
                <w:rFonts w:hint="default" w:ascii="Times New Roman" w:hAnsi="Times New Roman" w:eastAsia="宋体" w:cs="Times New Roman"/>
                <w:color w:val="auto"/>
                <w:kern w:val="0"/>
                <w:sz w:val="24"/>
                <w:szCs w:val="24"/>
                <w:highlight w:val="none"/>
                <w:lang w:val="en-US" w:eastAsia="zh-CN" w:bidi="ar-SA"/>
              </w:rPr>
              <w:t>对周边环境的影响</w:t>
            </w:r>
            <w:r>
              <w:rPr>
                <w:rFonts w:hint="eastAsia" w:cs="Times New Roman"/>
                <w:color w:val="auto"/>
                <w:kern w:val="0"/>
                <w:sz w:val="24"/>
                <w:szCs w:val="24"/>
                <w:highlight w:val="none"/>
                <w:lang w:val="en-US" w:eastAsia="zh-CN" w:bidi="ar-SA"/>
              </w:rPr>
              <w:t>；</w:t>
            </w:r>
          </w:p>
          <w:p>
            <w:pPr>
              <w:keepNext w:val="0"/>
              <w:keepLines w:val="0"/>
              <w:pageBreakBefore w:val="0"/>
              <w:shd w:val="clear" w:color="auto" w:fill="auto"/>
              <w:kinsoku/>
              <w:overflowPunct/>
              <w:autoSpaceDE/>
              <w:autoSpaceDN/>
              <w:bidi w:val="0"/>
              <w:snapToGrid w:val="0"/>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w:t>
            </w:r>
            <w:r>
              <w:rPr>
                <w:rFonts w:hint="default" w:ascii="Times New Roman" w:hAnsi="Times New Roman" w:eastAsia="宋体" w:cs="Times New Roman"/>
                <w:color w:val="auto"/>
                <w:kern w:val="0"/>
                <w:sz w:val="24"/>
                <w:szCs w:val="24"/>
                <w:highlight w:val="none"/>
                <w:lang w:val="en-US" w:eastAsia="zh-CN" w:bidi="ar-SA"/>
              </w:rPr>
              <w:t>在施工过程中，通过使用低噪声机械设备，增加消声减噪装置及加强对施工人员的监督和管理等措施控制施工噪声。</w:t>
            </w:r>
          </w:p>
          <w:p>
            <w:pPr>
              <w:keepNext w:val="0"/>
              <w:keepLines w:val="0"/>
              <w:pageBreakBefore w:val="0"/>
              <w:shd w:val="clear" w:color="auto" w:fill="auto"/>
              <w:kinsoku/>
              <w:overflowPunct/>
              <w:autoSpaceDE/>
              <w:autoSpaceDN/>
              <w:bidi w:val="0"/>
              <w:snapToGrid w:val="0"/>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宋体" w:hAnsi="宋体" w:eastAsia="宋体" w:cs="宋体"/>
                <w:color w:val="auto"/>
                <w:sz w:val="24"/>
                <w:szCs w:val="24"/>
              </w:rPr>
              <w:t>通过采取上述</w:t>
            </w:r>
            <w:r>
              <w:rPr>
                <w:rFonts w:hint="eastAsia" w:ascii="宋体" w:hAnsi="宋体" w:cs="宋体"/>
                <w:color w:val="auto"/>
                <w:sz w:val="24"/>
                <w:szCs w:val="24"/>
                <w:lang w:val="en-US" w:eastAsia="zh-CN"/>
              </w:rPr>
              <w:t>降噪</w:t>
            </w:r>
            <w:r>
              <w:rPr>
                <w:rFonts w:hint="eastAsia" w:ascii="宋体" w:hAnsi="宋体" w:eastAsia="宋体" w:cs="宋体"/>
                <w:color w:val="auto"/>
                <w:sz w:val="24"/>
                <w:szCs w:val="24"/>
              </w:rPr>
              <w:t>措施，尽量将施工期间产生的</w:t>
            </w:r>
            <w:r>
              <w:rPr>
                <w:rFonts w:hint="eastAsia" w:ascii="宋体" w:hAnsi="宋体" w:cs="宋体"/>
                <w:color w:val="auto"/>
                <w:sz w:val="24"/>
                <w:szCs w:val="24"/>
                <w:lang w:val="en-US" w:eastAsia="zh-CN"/>
              </w:rPr>
              <w:t>噪声</w:t>
            </w:r>
            <w:r>
              <w:rPr>
                <w:rFonts w:hint="eastAsia" w:ascii="宋体" w:hAnsi="宋体" w:eastAsia="宋体" w:cs="宋体"/>
                <w:color w:val="auto"/>
                <w:sz w:val="24"/>
                <w:szCs w:val="24"/>
              </w:rPr>
              <w:t>对周围环境</w:t>
            </w:r>
            <w:r>
              <w:rPr>
                <w:rFonts w:hint="eastAsia" w:cs="宋体"/>
                <w:color w:val="auto"/>
                <w:sz w:val="24"/>
                <w:szCs w:val="24"/>
                <w:lang w:val="en-US" w:eastAsia="zh-CN"/>
              </w:rPr>
              <w:t>敏感目标</w:t>
            </w:r>
            <w:r>
              <w:rPr>
                <w:rFonts w:hint="eastAsia" w:ascii="宋体" w:hAnsi="宋体" w:eastAsia="宋体" w:cs="宋体"/>
                <w:color w:val="auto"/>
                <w:sz w:val="24"/>
                <w:szCs w:val="24"/>
              </w:rPr>
              <w:t>的影响降到最低限度</w:t>
            </w:r>
            <w:r>
              <w:rPr>
                <w:rFonts w:hint="eastAsia" w:ascii="宋体" w:hAnsi="宋体" w:cs="宋体"/>
                <w:color w:val="auto"/>
                <w:sz w:val="24"/>
                <w:szCs w:val="24"/>
                <w:lang w:eastAsia="zh-CN"/>
              </w:rPr>
              <w:t>，</w:t>
            </w:r>
            <w:r>
              <w:rPr>
                <w:rFonts w:hint="default" w:ascii="Times New Roman" w:hAnsi="Times New Roman" w:eastAsia="宋体" w:cs="Times New Roman"/>
                <w:color w:val="auto"/>
                <w:kern w:val="0"/>
                <w:sz w:val="24"/>
                <w:szCs w:val="24"/>
                <w:highlight w:val="none"/>
                <w:lang w:val="en-US" w:eastAsia="zh-CN" w:bidi="ar-SA"/>
              </w:rPr>
              <w:t>施工噪声对环境的影响已随施工的结束而消失。</w:t>
            </w:r>
          </w:p>
          <w:p>
            <w:pPr>
              <w:pStyle w:val="3"/>
              <w:keepNext/>
              <w:keepLines w:val="0"/>
              <w:pageBreakBefore w:val="0"/>
              <w:widowControl w:val="0"/>
              <w:kinsoku/>
              <w:wordWrap/>
              <w:overflowPunct/>
              <w:topLinePunct w:val="0"/>
              <w:autoSpaceDE/>
              <w:autoSpaceDN/>
              <w:bidi w:val="0"/>
              <w:adjustRightInd/>
              <w:snapToGrid w:val="0"/>
              <w:spacing w:before="0" w:after="0" w:line="520" w:lineRule="exact"/>
              <w:ind w:left="0"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固体废物保护措施</w:t>
            </w:r>
          </w:p>
          <w:p>
            <w:pPr>
              <w:keepLines w:val="0"/>
              <w:pageBreakBefore w:val="0"/>
              <w:kinsoku/>
              <w:wordWrap/>
              <w:overflowPunct/>
              <w:topLinePunct w:val="0"/>
              <w:autoSpaceDE/>
              <w:autoSpaceDN/>
              <w:bidi w:val="0"/>
              <w:spacing w:line="480" w:lineRule="exact"/>
              <w:ind w:left="0" w:firstLine="482" w:firstLineChars="200"/>
              <w:rPr>
                <w:rFonts w:hint="default" w:ascii="Times New Roman" w:hAnsi="Times New Roman" w:eastAsia="宋体" w:cs="Times New Roman"/>
                <w:b/>
                <w:color w:val="auto"/>
                <w:sz w:val="24"/>
                <w:szCs w:val="24"/>
                <w:highlight w:val="none"/>
                <w:lang w:val="zh-CN"/>
              </w:rPr>
            </w:pPr>
            <w:r>
              <w:rPr>
                <w:rFonts w:hint="default" w:ascii="Times New Roman" w:hAnsi="Times New Roman" w:eastAsia="宋体" w:cs="Times New Roman"/>
                <w:b/>
                <w:color w:val="auto"/>
                <w:sz w:val="24"/>
                <w:szCs w:val="24"/>
                <w:highlight w:val="none"/>
              </w:rPr>
              <w:t>5</w:t>
            </w:r>
            <w:r>
              <w:rPr>
                <w:rFonts w:hint="default" w:ascii="Times New Roman" w:hAnsi="Times New Roman" w:eastAsia="宋体" w:cs="Times New Roman"/>
                <w:b/>
                <w:color w:val="auto"/>
                <w:sz w:val="24"/>
                <w:szCs w:val="24"/>
                <w:highlight w:val="none"/>
                <w:lang w:val="zh-CN"/>
              </w:rPr>
              <w:t>.1</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lang w:val="zh-CN"/>
              </w:rPr>
              <w:t>建筑垃圾防治措施</w:t>
            </w:r>
          </w:p>
          <w:p>
            <w:pPr>
              <w:bidi w:val="0"/>
              <w:rPr>
                <w:rFonts w:hint="default"/>
              </w:rPr>
            </w:pPr>
            <w:r>
              <w:rPr>
                <w:rFonts w:hint="default"/>
              </w:rPr>
              <w:t>拆除</w:t>
            </w:r>
            <w:r>
              <w:rPr>
                <w:rFonts w:hint="default"/>
                <w:lang w:val="en-US" w:eastAsia="zh-CN"/>
              </w:rPr>
              <w:t>产生的废混凝土、混凝土施工废渣、</w:t>
            </w:r>
            <w:r>
              <w:rPr>
                <w:rFonts w:hint="default"/>
              </w:rPr>
              <w:t>废模板</w:t>
            </w:r>
            <w:r>
              <w:rPr>
                <w:rFonts w:hint="default"/>
                <w:lang w:eastAsia="zh-CN"/>
              </w:rPr>
              <w:t>、</w:t>
            </w:r>
            <w:r>
              <w:rPr>
                <w:rFonts w:hint="default"/>
                <w:lang w:val="en-US" w:eastAsia="zh-CN"/>
              </w:rPr>
              <w:t>沉淀池底泥等建筑垃圾</w:t>
            </w:r>
            <w:r>
              <w:rPr>
                <w:rFonts w:hint="default"/>
              </w:rPr>
              <w:t>清运至</w:t>
            </w:r>
            <w:r>
              <w:rPr>
                <w:rFonts w:hint="default"/>
                <w:lang w:val="en-US" w:eastAsia="zh-CN"/>
              </w:rPr>
              <w:t>市政环卫主管部门指定地点</w:t>
            </w:r>
            <w:r>
              <w:rPr>
                <w:rFonts w:hint="default"/>
              </w:rPr>
              <w:t>填埋处置</w:t>
            </w:r>
            <w:r>
              <w:rPr>
                <w:rFonts w:hint="default"/>
                <w:lang w:eastAsia="zh-CN"/>
              </w:rPr>
              <w:t>，</w:t>
            </w:r>
            <w:r>
              <w:rPr>
                <w:rFonts w:hint="default"/>
                <w:lang w:val="en-US" w:eastAsia="zh-CN"/>
              </w:rPr>
              <w:t>胶桶返还商家重复利用。</w:t>
            </w:r>
            <w:r>
              <w:rPr>
                <w:rFonts w:hint="default"/>
              </w:rPr>
              <w:t>施工结束后确保现场建筑垃圾清理完毕无遗留。</w:t>
            </w:r>
            <w:r>
              <w:rPr>
                <w:rFonts w:hint="default"/>
                <w:lang w:val="en-US" w:eastAsia="zh-CN"/>
              </w:rPr>
              <w:t>清基、开挖过程产生的开挖土石方直接用于填筑渠堤，弃方沿渠道边铺平。</w:t>
            </w:r>
          </w:p>
          <w:p>
            <w:pPr>
              <w:pStyle w:val="3"/>
              <w:bidi w:val="0"/>
              <w:rPr>
                <w:rFonts w:hint="default"/>
                <w:lang w:val="en-US" w:eastAsia="zh-CN"/>
              </w:rPr>
            </w:pPr>
            <w:r>
              <w:rPr>
                <w:rFonts w:hint="eastAsia"/>
                <w:lang w:val="en-US" w:eastAsia="zh-CN"/>
              </w:rPr>
              <w:t>5.2 生活垃圾防治措施</w:t>
            </w:r>
          </w:p>
          <w:p>
            <w:pPr>
              <w:keepLines w:val="0"/>
              <w:pageBreakBefore w:val="0"/>
              <w:kinsoku/>
              <w:wordWrap/>
              <w:overflowPunct/>
              <w:topLinePunct w:val="0"/>
              <w:autoSpaceDE/>
              <w:autoSpaceDN/>
              <w:bidi w:val="0"/>
              <w:spacing w:line="480" w:lineRule="exact"/>
              <w:ind w:left="0"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本项目施工人员均来自附近乡镇，不设置临时生活区，产生的生活垃圾由乡镇环卫部门统一收集。</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highlight w:val="none"/>
                <w:lang w:val="en-US" w:eastAsia="zh-CN"/>
              </w:rPr>
              <w:t>通过</w:t>
            </w:r>
            <w:r>
              <w:rPr>
                <w:rFonts w:hint="default" w:ascii="Times New Roman" w:hAnsi="Times New Roman" w:eastAsia="宋体" w:cs="Times New Roman"/>
                <w:color w:val="auto"/>
                <w:sz w:val="24"/>
                <w:szCs w:val="24"/>
                <w:highlight w:val="none"/>
              </w:rPr>
              <w:t>加强管理，及时清运，随着施工期的结束，施工固体废物对环境的影响将随之消失，不会对环境产生长期影响。</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6</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lang w:val="en-US" w:eastAsia="zh-CN"/>
              </w:rPr>
              <w:t>施工期</w:t>
            </w:r>
            <w:r>
              <w:rPr>
                <w:rFonts w:hint="default" w:ascii="Times New Roman" w:hAnsi="Times New Roman" w:eastAsia="宋体" w:cs="Times New Roman"/>
                <w:b/>
                <w:color w:val="auto"/>
                <w:sz w:val="24"/>
                <w:szCs w:val="24"/>
                <w:highlight w:val="none"/>
              </w:rPr>
              <w:t>环境管理</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项目建设单位应设立专职环境管理人员，对施工期环境进行管理，环境管理内容如下：</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施工现场环境管理：对施工现场进行环境管理，包括噪声、粉尘、废气、废水等的控制和处理，以减少对周边环境的影响。同时，对施工现场进行垃圾分类、回收和处理，确保施工现场的环境卫生。</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生态保护管理：对施工期间可能影响到的生态环境进行保护，包括对野生动植物、水资源、土壤等的保护。通过采取生态修复、植树造林等措施，促进施工区域的生态环境恢复和改善。</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水土保持管理：对施工期间可能影响到的水土保持进行管理，防止因施工而导致的水土流失和地质灾害等问题。</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安全管理：对施工现场的安全进行管理，包括对工人的安全教育、安全防护设施的设置、施工现场的安全检查等</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确保施工现场的安全生产。</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社会管理：对施工期间可能影响到的社会环境进行管理，包括对周边居民的影响、对交通的影响等。</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通过以上措施，</w:t>
            </w:r>
            <w:r>
              <w:rPr>
                <w:rFonts w:hint="default" w:ascii="Times New Roman" w:hAnsi="Times New Roman" w:eastAsia="宋体" w:cs="Times New Roman"/>
                <w:color w:val="auto"/>
                <w:kern w:val="0"/>
                <w:sz w:val="24"/>
                <w:szCs w:val="24"/>
                <w:highlight w:val="none"/>
              </w:rPr>
              <w:t>明确责任，确保环保、水保措施</w:t>
            </w:r>
            <w:r>
              <w:rPr>
                <w:rFonts w:hint="default" w:ascii="Times New Roman" w:hAnsi="Times New Roman" w:eastAsia="宋体" w:cs="Times New Roman"/>
                <w:color w:val="auto"/>
                <w:kern w:val="0"/>
                <w:sz w:val="24"/>
                <w:szCs w:val="24"/>
                <w:highlight w:val="none"/>
                <w:lang w:val="en-US" w:eastAsia="zh-CN"/>
              </w:rPr>
              <w:t>的</w:t>
            </w:r>
            <w:r>
              <w:rPr>
                <w:rFonts w:hint="default" w:ascii="Times New Roman" w:hAnsi="Times New Roman" w:eastAsia="宋体" w:cs="Times New Roman"/>
                <w:color w:val="auto"/>
                <w:kern w:val="0"/>
                <w:sz w:val="24"/>
                <w:szCs w:val="24"/>
                <w:highlight w:val="none"/>
              </w:rPr>
              <w:t>有效实施</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本项目施工期未发生环境事故，</w:t>
            </w:r>
            <w:r>
              <w:rPr>
                <w:rFonts w:hint="default" w:ascii="Times New Roman" w:hAnsi="Times New Roman" w:eastAsia="宋体" w:cs="Times New Roman"/>
                <w:color w:val="auto"/>
                <w:sz w:val="24"/>
                <w:szCs w:val="24"/>
                <w:highlight w:val="none"/>
                <w:lang w:val="en-US" w:eastAsia="zh-CN"/>
              </w:rPr>
              <w:t>根据现场踏勘情况，</w:t>
            </w:r>
            <w:r>
              <w:rPr>
                <w:rFonts w:hint="default" w:ascii="Times New Roman" w:hAnsi="Times New Roman" w:eastAsia="宋体" w:cs="Times New Roman"/>
                <w:color w:val="auto"/>
                <w:kern w:val="0"/>
                <w:sz w:val="24"/>
                <w:szCs w:val="24"/>
                <w:highlight w:val="none"/>
                <w:lang w:val="en-US" w:eastAsia="zh-CN"/>
              </w:rPr>
              <w:t>施工期对环境的影响已随施工期结束而结束。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10"/>
                <w:sz w:val="21"/>
                <w:szCs w:val="21"/>
              </w:rPr>
            </w:pPr>
            <w:r>
              <w:rPr>
                <w:rFonts w:hint="default" w:ascii="Times New Roman" w:hAnsi="Times New Roman" w:eastAsia="宋体" w:cs="Times New Roman"/>
                <w:bCs/>
                <w:color w:val="auto"/>
                <w:spacing w:val="10"/>
                <w:sz w:val="21"/>
                <w:szCs w:val="21"/>
              </w:rPr>
              <w:t>运营期生态环境保护措施</w:t>
            </w:r>
          </w:p>
        </w:tc>
        <w:tc>
          <w:tcPr>
            <w:tcW w:w="8457" w:type="dxa"/>
            <w:noWrap w:val="0"/>
            <w:vAlign w:val="top"/>
          </w:tcPr>
          <w:p>
            <w:pPr>
              <w:pStyle w:val="3"/>
              <w:bidi w:val="0"/>
              <w:rPr>
                <w:rFonts w:hint="default"/>
              </w:rPr>
            </w:pPr>
            <w:r>
              <w:rPr>
                <w:rFonts w:hint="default"/>
              </w:rPr>
              <w:t>1</w:t>
            </w:r>
            <w:r>
              <w:rPr>
                <w:rFonts w:hint="eastAsia"/>
                <w:lang w:val="en-US" w:eastAsia="zh-CN"/>
              </w:rPr>
              <w:t xml:space="preserve"> </w:t>
            </w:r>
            <w:r>
              <w:rPr>
                <w:rFonts w:hint="default"/>
              </w:rPr>
              <w:t>环境保护措施</w:t>
            </w:r>
          </w:p>
          <w:p>
            <w:pPr>
              <w:bidi w:val="0"/>
              <w:rPr>
                <w:rFonts w:hint="default"/>
              </w:rPr>
            </w:pPr>
            <w:r>
              <w:rPr>
                <w:rFonts w:hint="default"/>
              </w:rPr>
              <w:t>本工程渠道及渠系</w:t>
            </w:r>
            <w:r>
              <w:rPr>
                <w:rFonts w:hint="eastAsia"/>
                <w:lang w:eastAsia="zh-CN"/>
              </w:rPr>
              <w:t>构筑物</w:t>
            </w:r>
            <w:r>
              <w:rPr>
                <w:rFonts w:hint="default"/>
              </w:rPr>
              <w:t>运行过程中基本不会产生废水，对环境影响不大，因此本次只提出相应管理措施。</w:t>
            </w:r>
          </w:p>
          <w:p>
            <w:pPr>
              <w:keepNext w:val="0"/>
              <w:keepLines w:val="0"/>
              <w:pageBreakBefore w:val="0"/>
              <w:widowControl w:val="0"/>
              <w:tabs>
                <w:tab w:val="left" w:pos="3150"/>
              </w:tabs>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（1）严禁一切污染物直接排入渠道。</w:t>
            </w:r>
          </w:p>
          <w:p>
            <w:pPr>
              <w:keepNext w:val="0"/>
              <w:keepLines w:val="0"/>
              <w:pageBreakBefore w:val="0"/>
              <w:widowControl w:val="0"/>
              <w:tabs>
                <w:tab w:val="left" w:pos="3150"/>
              </w:tabs>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（2）做好渠道水质防护工作，定期安排人员进行水质监测。</w:t>
            </w:r>
          </w:p>
          <w:p>
            <w:pPr>
              <w:keepNext w:val="0"/>
              <w:keepLines w:val="0"/>
              <w:pageBreakBefore w:val="0"/>
              <w:widowControl w:val="0"/>
              <w:tabs>
                <w:tab w:val="left" w:pos="3150"/>
              </w:tabs>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（3）加强对渠道沿线地下水的监测工作。</w:t>
            </w:r>
          </w:p>
          <w:p>
            <w:pPr>
              <w:keepNext w:val="0"/>
              <w:keepLines w:val="0"/>
              <w:pageBreakBefore w:val="0"/>
              <w:widowControl w:val="0"/>
              <w:tabs>
                <w:tab w:val="left" w:pos="3150"/>
              </w:tabs>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（4）加强水量控制工作，确保本工程保质保量完成节余水量。</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（5）加强灌区化肥、农药施用的监督管理。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2生态保护措施</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工程运行后，各项</w:t>
            </w:r>
            <w:r>
              <w:rPr>
                <w:rFonts w:hint="eastAsia" w:ascii="Times New Roman" w:hAnsi="Times New Roman" w:eastAsia="宋体" w:cs="Times New Roman"/>
                <w:color w:val="auto"/>
                <w:sz w:val="24"/>
                <w:szCs w:val="24"/>
                <w:highlight w:val="none"/>
                <w:lang w:val="en-US" w:eastAsia="zh-CN"/>
              </w:rPr>
              <w:t>迹地恢复</w:t>
            </w:r>
            <w:r>
              <w:rPr>
                <w:rFonts w:hint="default" w:ascii="Times New Roman" w:hAnsi="Times New Roman" w:eastAsia="宋体" w:cs="Times New Roman"/>
                <w:color w:val="auto"/>
                <w:sz w:val="24"/>
                <w:szCs w:val="24"/>
                <w:highlight w:val="none"/>
              </w:rPr>
              <w:t>、水土保持措施的实施将有效减少工程区的水土流失，增加项目区的绿地面积和植被覆盖率，项目区的生态环境将有一定的改善和提高。此外，还需通过以下措施提高项目生态环境质量：</w:t>
            </w:r>
          </w:p>
          <w:p>
            <w:pPr>
              <w:keepLines w:val="0"/>
              <w:pageBreakBefore w:val="0"/>
              <w:numPr>
                <w:ilvl w:val="0"/>
                <w:numId w:val="0"/>
              </w:numPr>
              <w:kinsoku/>
              <w:wordWrap/>
              <w:overflowPunct/>
              <w:topLinePunct w:val="0"/>
              <w:autoSpaceDE/>
              <w:autoSpaceDN/>
              <w:bidi w:val="0"/>
              <w:spacing w:line="480" w:lineRule="exact"/>
              <w:ind w:left="0" w:leftChars="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sz w:val="24"/>
                <w:szCs w:val="24"/>
                <w:highlight w:val="none"/>
              </w:rPr>
              <w:t>加强宣传教育，提高村民环境保护意识，加强对绿化工程的管理与抚育，防火、防虫，禁止砍伐作业范围外沿线栽植的树木，禁止破坏渠道以外的耕地、草地。</w:t>
            </w:r>
          </w:p>
          <w:p>
            <w:pPr>
              <w:keepLines w:val="0"/>
              <w:pageBreakBefore w:val="0"/>
              <w:numPr>
                <w:ilvl w:val="0"/>
                <w:numId w:val="0"/>
              </w:numPr>
              <w:kinsoku/>
              <w:wordWrap/>
              <w:overflowPunct/>
              <w:topLinePunct w:val="0"/>
              <w:autoSpaceDE/>
              <w:autoSpaceDN/>
              <w:bidi w:val="0"/>
              <w:spacing w:line="480" w:lineRule="exact"/>
              <w:ind w:left="0" w:leftChars="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sz w:val="24"/>
                <w:szCs w:val="24"/>
                <w:highlight w:val="none"/>
              </w:rPr>
              <w:t>加强对周边区域生态环境实地监控，及时发现不良地质隐患工点，采取防治措施以杜绝地质灾害的发生。</w:t>
            </w:r>
          </w:p>
          <w:p>
            <w:pPr>
              <w:keepLines w:val="0"/>
              <w:pageBreakBefore w:val="0"/>
              <w:kinsoku/>
              <w:wordWrap/>
              <w:overflowPunct/>
              <w:topLinePunct w:val="0"/>
              <w:autoSpaceDE/>
              <w:autoSpaceDN/>
              <w:bidi w:val="0"/>
              <w:spacing w:line="480" w:lineRule="exact"/>
              <w:ind w:left="0"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项目管理上严格执行</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三条红线</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的地表水指标水量，严禁超指标引水。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shd w:val="clear" w:color="auto" w:fill="auto"/>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10"/>
                <w:kern w:val="2"/>
                <w:sz w:val="24"/>
                <w:szCs w:val="21"/>
                <w:lang w:val="en-US" w:eastAsia="zh-CN" w:bidi="ar-SA"/>
              </w:rPr>
            </w:pPr>
            <w:r>
              <w:rPr>
                <w:rFonts w:hint="default" w:ascii="Times New Roman" w:hAnsi="Times New Roman" w:eastAsia="宋体" w:cs="Times New Roman"/>
                <w:bCs/>
                <w:color w:val="auto"/>
                <w:spacing w:val="10"/>
                <w:sz w:val="21"/>
                <w:szCs w:val="21"/>
              </w:rPr>
              <w:t>其他</w:t>
            </w:r>
          </w:p>
        </w:tc>
        <w:tc>
          <w:tcPr>
            <w:tcW w:w="8457" w:type="dxa"/>
            <w:shd w:val="clear" w:color="auto" w:fill="auto"/>
            <w:noWrap w:val="0"/>
            <w:vAlign w:val="center"/>
          </w:tcPr>
          <w:p>
            <w:pPr>
              <w:keepLines w:val="0"/>
              <w:pageBreakBefore w:val="0"/>
              <w:kinsoku/>
              <w:overflowPunct/>
              <w:topLinePunct w:val="0"/>
              <w:autoSpaceDE/>
              <w:autoSpaceDN/>
              <w:bidi w:val="0"/>
              <w:adjustRightInd w:val="0"/>
              <w:snapToGrid w:val="0"/>
              <w:ind w:firstLine="520" w:firstLineChars="200"/>
              <w:jc w:val="center"/>
              <w:rPr>
                <w:rFonts w:hint="default" w:ascii="Times New Roman" w:hAnsi="Times New Roman" w:eastAsia="宋体" w:cs="Times New Roman"/>
                <w:bCs/>
                <w:color w:val="auto"/>
                <w:spacing w:val="10"/>
                <w:kern w:val="2"/>
                <w:sz w:val="24"/>
                <w:szCs w:val="21"/>
                <w:lang w:val="en-US" w:eastAsia="zh-CN" w:bidi="ar-SA"/>
              </w:rPr>
            </w:pPr>
            <w:r>
              <w:rPr>
                <w:rFonts w:hint="default" w:ascii="Times New Roman" w:hAnsi="Times New Roman" w:cs="Times New Roman"/>
                <w:bCs/>
                <w:color w:val="auto"/>
                <w:spacing w:val="1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pacing w:val="10"/>
                <w:kern w:val="2"/>
                <w:sz w:val="24"/>
                <w:szCs w:val="21"/>
                <w:lang w:val="en-US" w:eastAsia="zh-CN" w:bidi="ar-SA"/>
              </w:rPr>
            </w:pPr>
            <w:r>
              <w:rPr>
                <w:rFonts w:hint="default" w:ascii="Times New Roman" w:hAnsi="Times New Roman" w:eastAsia="宋体" w:cs="Times New Roman"/>
                <w:bCs/>
                <w:color w:val="auto"/>
                <w:spacing w:val="10"/>
                <w:sz w:val="21"/>
                <w:szCs w:val="21"/>
              </w:rPr>
              <w:t>环保投资</w:t>
            </w:r>
          </w:p>
        </w:tc>
        <w:tc>
          <w:tcPr>
            <w:tcW w:w="8457" w:type="dxa"/>
            <w:shd w:val="clear" w:color="auto" w:fill="auto"/>
            <w:noWrap w:val="0"/>
            <w:vAlign w:val="top"/>
          </w:tcPr>
          <w:p>
            <w:pPr>
              <w:bidi w:val="0"/>
              <w:rPr>
                <w:rFonts w:hint="default"/>
              </w:rPr>
            </w:pPr>
            <w:r>
              <w:rPr>
                <w:rFonts w:hint="default"/>
              </w:rPr>
              <w:t>本项目总投资</w:t>
            </w:r>
            <w:r>
              <w:rPr>
                <w:rFonts w:hint="eastAsia"/>
                <w:lang w:val="en-US" w:eastAsia="zh-CN"/>
              </w:rPr>
              <w:t>340</w:t>
            </w:r>
            <w:r>
              <w:rPr>
                <w:rFonts w:hint="default"/>
              </w:rPr>
              <w:t>万元，环保措施投资估算合计</w:t>
            </w:r>
            <w:r>
              <w:rPr>
                <w:rFonts w:hint="eastAsia"/>
                <w:lang w:val="en-US" w:eastAsia="zh-CN"/>
              </w:rPr>
              <w:t>13.6</w:t>
            </w:r>
            <w:r>
              <w:rPr>
                <w:rFonts w:hint="default"/>
              </w:rPr>
              <w:t>万元，占总投资的</w:t>
            </w:r>
            <w:r>
              <w:rPr>
                <w:rFonts w:hint="eastAsia"/>
                <w:lang w:val="en-US" w:eastAsia="zh-CN"/>
              </w:rPr>
              <w:t>4</w:t>
            </w:r>
            <w:r>
              <w:rPr>
                <w:rFonts w:hint="default"/>
              </w:rPr>
              <w:t>%，环</w:t>
            </w:r>
            <w:r>
              <w:rPr>
                <w:rFonts w:hint="default"/>
                <w:lang w:val="en-US" w:eastAsia="zh-CN"/>
              </w:rPr>
              <w:t>保</w:t>
            </w:r>
            <w:r>
              <w:rPr>
                <w:rFonts w:hint="default"/>
              </w:rPr>
              <w:t>投资见</w:t>
            </w:r>
            <w:r>
              <w:rPr>
                <w:rFonts w:hint="default"/>
                <w:lang w:val="en-US" w:eastAsia="zh-CN"/>
              </w:rPr>
              <w:t>下</w:t>
            </w:r>
            <w:r>
              <w:rPr>
                <w:rFonts w:hint="default"/>
              </w:rPr>
              <w:t>表。</w:t>
            </w:r>
          </w:p>
          <w:p>
            <w:pPr>
              <w:pStyle w:val="52"/>
              <w:keepNext w:val="0"/>
              <w:keepLines w:val="0"/>
              <w:pageBreakBefore w:val="0"/>
              <w:widowControl w:val="0"/>
              <w:kinsoku/>
              <w:wordWrap/>
              <w:overflowPunct/>
              <w:topLinePunct w:val="0"/>
              <w:autoSpaceDE/>
              <w:autoSpaceDN/>
              <w:bidi w:val="0"/>
              <w:snapToGrid/>
              <w:spacing w:line="4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环保投资估算一览表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5"/>
              <w:gridCol w:w="1372"/>
              <w:gridCol w:w="1779"/>
              <w:gridCol w:w="2190"/>
              <w:gridCol w:w="20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时期</w:t>
                  </w:r>
                </w:p>
              </w:tc>
              <w:tc>
                <w:tcPr>
                  <w:tcW w:w="834"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治理项目</w:t>
                  </w: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内容</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环保措施主要内容</w:t>
                  </w:r>
                </w:p>
              </w:tc>
              <w:tc>
                <w:tcPr>
                  <w:tcW w:w="1259"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restar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施工期</w:t>
                  </w:r>
                </w:p>
              </w:tc>
              <w:tc>
                <w:tcPr>
                  <w:tcW w:w="834" w:type="pct"/>
                  <w:vMerge w:val="restar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扬尘防治</w:t>
                  </w: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车辆运输</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篷布苫盖</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洒水</w:t>
                  </w:r>
                </w:p>
              </w:tc>
              <w:tc>
                <w:tcPr>
                  <w:tcW w:w="1259" w:type="pct"/>
                  <w:noWrap/>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834"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物料堆存</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lang w:val="en-US"/>
                    </w:rPr>
                  </w:pPr>
                  <w:r>
                    <w:rPr>
                      <w:rFonts w:hint="eastAsia" w:ascii="Times New Roman" w:hAnsi="Times New Roman" w:cs="Times New Roman"/>
                      <w:color w:val="auto"/>
                      <w:kern w:val="0"/>
                      <w:sz w:val="21"/>
                      <w:szCs w:val="21"/>
                      <w:highlight w:val="none"/>
                      <w:lang w:val="en-US" w:eastAsia="zh-CN"/>
                    </w:rPr>
                    <w:t>防尘网覆盖、洒水</w:t>
                  </w:r>
                </w:p>
              </w:tc>
              <w:tc>
                <w:tcPr>
                  <w:tcW w:w="1259" w:type="pct"/>
                  <w:noWrap/>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834"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噪声防治</w:t>
                  </w: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施工噪声</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设备消声、减振等</w:t>
                  </w:r>
                </w:p>
              </w:tc>
              <w:tc>
                <w:tcPr>
                  <w:tcW w:w="1259" w:type="pct"/>
                  <w:noWrap/>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834" w:type="pct"/>
                  <w:vMerge w:val="restar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废水处理</w:t>
                  </w: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生活污水</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依托居民区现有设施</w:t>
                  </w:r>
                </w:p>
              </w:tc>
              <w:tc>
                <w:tcPr>
                  <w:tcW w:w="1259" w:type="pct"/>
                  <w:noWrap/>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834"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生产废水</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沉淀池</w:t>
                  </w:r>
                </w:p>
              </w:tc>
              <w:tc>
                <w:tcPr>
                  <w:tcW w:w="1259" w:type="pct"/>
                  <w:noWrap/>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834" w:type="pct"/>
                  <w:vMerge w:val="restar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固废防治</w:t>
                  </w: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default" w:cs="Times New Roman"/>
                      <w:color w:val="auto"/>
                      <w:kern w:val="0"/>
                      <w:sz w:val="21"/>
                      <w:szCs w:val="21"/>
                      <w:highlight w:val="none"/>
                      <w:lang w:val="en-US" w:eastAsia="zh-CN"/>
                    </w:rPr>
                    <w:t>建筑垃圾</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统一清运至政府指定地点</w:t>
                  </w:r>
                </w:p>
              </w:tc>
              <w:tc>
                <w:tcPr>
                  <w:tcW w:w="1259" w:type="pct"/>
                  <w:noWrap/>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834"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eastAsia" w:cs="Times New Roman"/>
                      <w:color w:val="auto"/>
                      <w:kern w:val="0"/>
                      <w:sz w:val="21"/>
                      <w:szCs w:val="21"/>
                      <w:highlight w:val="none"/>
                      <w:lang w:val="en-US" w:eastAsia="zh-CN"/>
                    </w:rPr>
                  </w:pPr>
                </w:p>
              </w:tc>
              <w:tc>
                <w:tcPr>
                  <w:tcW w:w="108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生活垃圾</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垃圾清运车</w:t>
                  </w:r>
                </w:p>
              </w:tc>
              <w:tc>
                <w:tcPr>
                  <w:tcW w:w="1259" w:type="pct"/>
                  <w:noWrap/>
                  <w:vAlign w:val="center"/>
                </w:tcPr>
                <w:p>
                  <w:pPr>
                    <w:keepLines w:val="0"/>
                    <w:pageBreakBefore w:val="0"/>
                    <w:widowControl/>
                    <w:kinsoku/>
                    <w:overflowPunct/>
                    <w:topLinePunct w:val="0"/>
                    <w:autoSpaceDE/>
                    <w:autoSpaceDN/>
                    <w:bidi w:val="0"/>
                    <w:spacing w:line="240" w:lineRule="auto"/>
                    <w:ind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1915" w:type="pct"/>
                  <w:gridSpan w:val="2"/>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生态恢复、水土保持</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覆土回填、</w:t>
                  </w:r>
                  <w:r>
                    <w:rPr>
                      <w:rFonts w:hint="default" w:ascii="Times New Roman" w:hAnsi="Times New Roman" w:cs="Times New Roman"/>
                      <w:color w:val="auto"/>
                      <w:kern w:val="0"/>
                      <w:sz w:val="21"/>
                      <w:szCs w:val="21"/>
                      <w:highlight w:val="none"/>
                      <w:lang w:val="en-US" w:eastAsia="zh-CN"/>
                    </w:rPr>
                    <w:t>植被恢复、土地平整</w:t>
                  </w:r>
                  <w:r>
                    <w:rPr>
                      <w:rFonts w:hint="default" w:ascii="Times New Roman" w:hAnsi="Times New Roman" w:cs="Times New Roman"/>
                      <w:color w:val="auto"/>
                      <w:kern w:val="0"/>
                      <w:sz w:val="21"/>
                      <w:szCs w:val="21"/>
                      <w:highlight w:val="none"/>
                    </w:rPr>
                    <w:t>，水保警示牌</w:t>
                  </w:r>
                </w:p>
              </w:tc>
              <w:tc>
                <w:tcPr>
                  <w:tcW w:w="1259"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由水土保持方案进行核算，环评中不进行重复计列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p>
              </w:tc>
              <w:tc>
                <w:tcPr>
                  <w:tcW w:w="1915" w:type="pct"/>
                  <w:gridSpan w:val="2"/>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环境管理与监测</w:t>
                  </w:r>
                </w:p>
              </w:tc>
              <w:tc>
                <w:tcPr>
                  <w:tcW w:w="1330" w:type="pct"/>
                  <w:noWrap w:val="0"/>
                  <w:vAlign w:val="center"/>
                </w:tcPr>
                <w:p>
                  <w:pPr>
                    <w:pStyle w:val="50"/>
                    <w:keepNext w:val="0"/>
                    <w:keepLines w:val="0"/>
                    <w:pageBreakBefore w:val="0"/>
                    <w:widowControl/>
                    <w:kinsoku/>
                    <w:wordWrap w:val="0"/>
                    <w:overflowPunct/>
                    <w:topLinePunct/>
                    <w:autoSpaceDE/>
                    <w:autoSpaceDN/>
                    <w:bidi w:val="0"/>
                    <w:adjustRightInd w:val="0"/>
                    <w:snapToGrid w:val="0"/>
                    <w:spacing w:line="240" w:lineRule="auto"/>
                    <w:ind w:right="0" w:rightChars="0" w:firstLine="0" w:firstLineChars="0"/>
                    <w:jc w:val="center"/>
                    <w:textAlignment w:val="auto"/>
                    <w:rPr>
                      <w:rFonts w:hint="default" w:ascii="Times New Roman" w:hAnsi="Times New Roman" w:cs="Times New Roman"/>
                      <w:color w:val="auto"/>
                      <w:kern w:val="0"/>
                      <w:sz w:val="21"/>
                      <w:szCs w:val="21"/>
                      <w:highlight w:val="none"/>
                      <w:lang w:val="en-US"/>
                    </w:rPr>
                  </w:pPr>
                  <w:r>
                    <w:rPr>
                      <w:rFonts w:hint="default" w:ascii="Times New Roman" w:hAnsi="Times New Roman" w:eastAsia="宋体" w:cs="Times New Roman"/>
                      <w:color w:val="auto"/>
                      <w:sz w:val="21"/>
                      <w:szCs w:val="21"/>
                      <w:vertAlign w:val="baseline"/>
                      <w:lang w:val="en-US" w:eastAsia="zh-CN"/>
                    </w:rPr>
                    <w:t>加强员工环保培训，设立环保宣传牌</w:t>
                  </w:r>
                </w:p>
              </w:tc>
              <w:tc>
                <w:tcPr>
                  <w:tcW w:w="1259"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运营期</w:t>
                  </w:r>
                </w:p>
              </w:tc>
              <w:tc>
                <w:tcPr>
                  <w:tcW w:w="1915" w:type="pct"/>
                  <w:gridSpan w:val="2"/>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kern w:val="0"/>
                      <w:sz w:val="21"/>
                      <w:szCs w:val="21"/>
                      <w:highlight w:val="none"/>
                      <w:lang w:val="en-US" w:eastAsia="zh-CN"/>
                    </w:rPr>
                    <w:t>/</w:t>
                  </w:r>
                </w:p>
              </w:tc>
              <w:tc>
                <w:tcPr>
                  <w:tcW w:w="1330"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vertAlign w:val="baseline"/>
                      <w:lang w:val="en-US" w:eastAsia="zh-CN"/>
                    </w:rPr>
                    <w:t>加强管</w:t>
                  </w:r>
                  <w:r>
                    <w:rPr>
                      <w:rFonts w:hint="eastAsia" w:cs="Times New Roman"/>
                      <w:color w:val="auto"/>
                      <w:sz w:val="21"/>
                      <w:szCs w:val="21"/>
                      <w:vertAlign w:val="baseline"/>
                      <w:lang w:val="en-US" w:eastAsia="zh-CN"/>
                    </w:rPr>
                    <w:t>理和</w:t>
                  </w:r>
                  <w:r>
                    <w:rPr>
                      <w:rFonts w:hint="default" w:ascii="Times New Roman" w:hAnsi="Times New Roman" w:eastAsia="宋体" w:cs="Times New Roman"/>
                      <w:color w:val="auto"/>
                      <w:sz w:val="21"/>
                      <w:szCs w:val="21"/>
                      <w:vertAlign w:val="baseline"/>
                      <w:lang w:val="en-US" w:eastAsia="zh-CN"/>
                    </w:rPr>
                    <w:t>维护</w:t>
                  </w:r>
                </w:p>
              </w:tc>
              <w:tc>
                <w:tcPr>
                  <w:tcW w:w="1259"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740" w:type="pct"/>
                  <w:gridSpan w:val="4"/>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kern w:val="0"/>
                      <w:sz w:val="21"/>
                      <w:szCs w:val="21"/>
                      <w:highlight w:val="none"/>
                    </w:rPr>
                    <w:t>合计</w:t>
                  </w:r>
                </w:p>
              </w:tc>
              <w:tc>
                <w:tcPr>
                  <w:tcW w:w="1259" w:type="pct"/>
                  <w:noWrap w:val="0"/>
                  <w:vAlign w:val="center"/>
                </w:tcPr>
                <w:p>
                  <w:pPr>
                    <w:keepLines w:val="0"/>
                    <w:pageBreakBefore w:val="0"/>
                    <w:widowControl/>
                    <w:kinsoku/>
                    <w:overflowPunct/>
                    <w:topLinePunct w:val="0"/>
                    <w:autoSpaceDE/>
                    <w:autoSpaceDN/>
                    <w:bidi w:val="0"/>
                    <w:spacing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13.6</w:t>
                  </w:r>
                </w:p>
              </w:tc>
            </w:tr>
          </w:tbl>
          <w:p>
            <w:pPr>
              <w:keepLines w:val="0"/>
              <w:pageBreakBefore w:val="0"/>
              <w:kinsoku/>
              <w:overflowPunct/>
              <w:topLinePunct w:val="0"/>
              <w:autoSpaceDE/>
              <w:autoSpaceDN/>
              <w:bidi w:val="0"/>
              <w:adjustRightInd w:val="0"/>
              <w:snapToGrid w:val="0"/>
              <w:ind w:firstLine="520" w:firstLineChars="200"/>
              <w:rPr>
                <w:rFonts w:hint="default" w:ascii="Times New Roman" w:hAnsi="Times New Roman" w:eastAsia="宋体" w:cs="Times New Roman"/>
                <w:bCs/>
                <w:color w:val="auto"/>
                <w:spacing w:val="10"/>
                <w:kern w:val="2"/>
                <w:sz w:val="24"/>
                <w:szCs w:val="21"/>
                <w:lang w:val="en-US" w:eastAsia="zh-CN" w:bidi="ar-SA"/>
              </w:rPr>
            </w:pPr>
          </w:p>
        </w:tc>
      </w:tr>
    </w:tbl>
    <w:p>
      <w:pPr>
        <w:rPr>
          <w:color w:val="auto"/>
        </w:rPr>
        <w:sectPr>
          <w:pgSz w:w="11907" w:h="16840"/>
          <w:pgMar w:top="1440" w:right="1797" w:bottom="1440" w:left="1797" w:header="851" w:footer="1077" w:gutter="0"/>
          <w:pgNumType w:fmt="decimal"/>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六、生态环境保护措施监督检查清单</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522"/>
        <w:gridCol w:w="2165"/>
        <w:gridCol w:w="982"/>
        <w:gridCol w:w="1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vMerge w:val="restart"/>
            <w:tcBorders>
              <w:tl2br w:val="single" w:color="auto" w:sz="4" w:space="0"/>
            </w:tcBorders>
            <w:noWrap w:val="0"/>
            <w:vAlign w:val="top"/>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 xml:space="preserve">       </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 xml:space="preserve">    内容</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 xml:space="preserve">  </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要素</w:t>
            </w:r>
          </w:p>
        </w:tc>
        <w:tc>
          <w:tcPr>
            <w:tcW w:w="2749" w:type="pct"/>
            <w:gridSpan w:val="2"/>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施工期</w:t>
            </w:r>
          </w:p>
        </w:tc>
        <w:tc>
          <w:tcPr>
            <w:tcW w:w="1442" w:type="pct"/>
            <w:gridSpan w:val="2"/>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vMerge w:val="continue"/>
            <w:noWrap w:val="0"/>
            <w:vAlign w:val="top"/>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p>
        </w:tc>
        <w:tc>
          <w:tcPr>
            <w:tcW w:w="1479" w:type="pct"/>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环境保护措施</w:t>
            </w:r>
          </w:p>
        </w:tc>
        <w:tc>
          <w:tcPr>
            <w:tcW w:w="1270" w:type="pct"/>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验收要求</w:t>
            </w:r>
          </w:p>
        </w:tc>
        <w:tc>
          <w:tcPr>
            <w:tcW w:w="576" w:type="pct"/>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环境保护措施</w:t>
            </w:r>
          </w:p>
        </w:tc>
        <w:tc>
          <w:tcPr>
            <w:tcW w:w="865" w:type="pct"/>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陆生生态</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划定施工区域，强化施工管理；尽可能缩小施工作业面和减少扰动面积。</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保护现有生态环境，避免发生水土流失。</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施工区迹地恢复</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无未恢复迹地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水生生态</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设置</w:t>
            </w:r>
            <w:r>
              <w:rPr>
                <w:rFonts w:hint="default" w:ascii="Times New Roman" w:hAnsi="Times New Roman" w:cs="Times New Roman"/>
                <w:color w:val="auto"/>
                <w:sz w:val="21"/>
                <w:szCs w:val="21"/>
                <w:highlight w:val="none"/>
                <w:lang w:val="en-US" w:eastAsia="zh-CN"/>
              </w:rPr>
              <w:t>临时</w:t>
            </w:r>
            <w:r>
              <w:rPr>
                <w:rFonts w:hint="default" w:ascii="Times New Roman" w:hAnsi="Times New Roman" w:cs="Times New Roman"/>
                <w:color w:val="auto"/>
                <w:sz w:val="21"/>
                <w:szCs w:val="21"/>
                <w:highlight w:val="none"/>
              </w:rPr>
              <w:t>沉淀池，施工废水经沉淀池处理后，用于施工场地洒水降尘</w:t>
            </w:r>
            <w:r>
              <w:rPr>
                <w:rFonts w:hint="default" w:ascii="Times New Roman" w:hAnsi="Times New Roman" w:cs="Times New Roman"/>
                <w:color w:val="auto"/>
                <w:sz w:val="21"/>
                <w:szCs w:val="21"/>
                <w:highlight w:val="none"/>
                <w:lang w:eastAsia="zh-CN"/>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无施工废水外排，拆除临时沉淀池，统一采取施工迹地整平及地貌恢复措施</w:t>
            </w:r>
            <w:r>
              <w:rPr>
                <w:rFonts w:hint="default" w:ascii="Times New Roman" w:hAnsi="Times New Roman" w:cs="Times New Roman"/>
                <w:color w:val="auto"/>
                <w:sz w:val="21"/>
                <w:szCs w:val="21"/>
                <w:highlight w:val="none"/>
                <w:lang w:eastAsia="zh-CN"/>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现场验收期间无遗留废水，拆除临时沉淀池，施工区恢复原状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地下水及土壤环境</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1479" w:type="pct"/>
            <w:noWrap w:val="0"/>
            <w:vAlign w:val="center"/>
          </w:tcPr>
          <w:p>
            <w:pPr>
              <w:pStyle w:val="53"/>
              <w:keepNext w:val="0"/>
              <w:keepLines w:val="0"/>
              <w:pageBreakBefore w:val="0"/>
              <w:kinsoku/>
              <w:wordWrap/>
              <w:overflowPunct/>
              <w:topLinePunct w:val="0"/>
              <w:autoSpaceDE/>
              <w:autoSpaceDN/>
              <w:bidi w:val="0"/>
              <w:spacing w:line="240" w:lineRule="auto"/>
              <w:ind w:left="0" w:leftChars="0" w:firstLine="0" w:firstLineChars="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合理安排施工时间，施工设备合理布局，加强施工管理，避免高噪声设备同时运行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基础减振等。</w:t>
            </w:r>
          </w:p>
        </w:tc>
        <w:tc>
          <w:tcPr>
            <w:tcW w:w="1270" w:type="pct"/>
            <w:noWrap w:val="0"/>
            <w:vAlign w:val="center"/>
          </w:tcPr>
          <w:p>
            <w:pPr>
              <w:pStyle w:val="53"/>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center"/>
              <w:rPr>
                <w:rFonts w:hint="default"/>
                <w:lang w:val="en-US" w:eastAsia="zh-CN"/>
              </w:rPr>
            </w:pPr>
            <w:r>
              <w:rPr>
                <w:rFonts w:hint="default" w:ascii="Times New Roman" w:hAnsi="Times New Roman" w:cs="Times New Roman"/>
                <w:color w:val="auto"/>
                <w:sz w:val="21"/>
                <w:szCs w:val="21"/>
                <w:lang w:val="en-US" w:eastAsia="zh-CN"/>
              </w:rPr>
              <w:t>执行《建筑施工噪声排放标准》（GB12523-2025）</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振动</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施工区域设置围挡，配备洒水降尘设备，施工场地及场内道路定时洒水降尘；易产生扬尘的物料采用帆布覆盖；运输车辆减速慢行；物料运输不宜装载过满，车厢加盖篷</w:t>
            </w:r>
            <w:r>
              <w:rPr>
                <w:rFonts w:hint="default" w:ascii="Times New Roman" w:hAnsi="Times New Roman" w:cs="Times New Roman"/>
                <w:color w:val="auto"/>
                <w:sz w:val="21"/>
                <w:szCs w:val="21"/>
                <w:highlight w:val="none"/>
                <w:lang w:eastAsia="zh-CN"/>
              </w:rPr>
              <w:t>。</w:t>
            </w:r>
          </w:p>
        </w:tc>
        <w:tc>
          <w:tcPr>
            <w:tcW w:w="1270" w:type="pct"/>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《大气污染物综合排放标准》（GB16297-1996）无组织排放监控浓度限值</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清基、开挖过程产生的开挖土石方直接用于填筑渠堤，弃方沿渠道边铺平。</w:t>
            </w:r>
          </w:p>
        </w:tc>
        <w:tc>
          <w:tcPr>
            <w:tcW w:w="1270" w:type="pct"/>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严禁将建筑垃圾倾倒入灌区内或周边。</w:t>
            </w:r>
            <w:r>
              <w:rPr>
                <w:rFonts w:hint="default" w:ascii="Times New Roman" w:hAnsi="Times New Roman" w:cs="Times New Roman"/>
                <w:color w:val="auto"/>
                <w:sz w:val="21"/>
                <w:szCs w:val="21"/>
                <w:highlight w:val="none"/>
              </w:rPr>
              <w:t>固体废弃物执行《一般工业固体废物贮存和填埋污染控制标准》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GB18599-2020)</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施工现场无遗留固体废弃物，弃土用于项目区场地平整，无固废堆积。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电磁环境</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环境监测</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7"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其他</w:t>
            </w:r>
          </w:p>
        </w:tc>
        <w:tc>
          <w:tcPr>
            <w:tcW w:w="1479"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27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576"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bl>
    <w:p>
      <w:pPr>
        <w:pStyle w:val="19"/>
        <w:spacing w:before="0" w:beforeAutospacing="0" w:line="14" w:lineRule="auto"/>
        <w:jc w:val="center"/>
        <w:outlineLvl w:val="0"/>
        <w:rPr>
          <w:rFonts w:hint="eastAsia" w:ascii="黑体" w:hAnsi="黑体" w:eastAsia="黑体"/>
          <w:snapToGrid w:val="0"/>
          <w:color w:val="auto"/>
          <w:sz w:val="30"/>
          <w:szCs w:val="30"/>
        </w:rPr>
      </w:pPr>
      <w:r>
        <w:rPr>
          <w:rFonts w:ascii="黑体" w:hAnsi="黑体" w:eastAsia="黑体"/>
          <w:snapToGrid w:val="0"/>
          <w:color w:val="auto"/>
          <w:sz w:val="30"/>
          <w:szCs w:val="30"/>
        </w:rPr>
        <w:br w:type="page"/>
      </w:r>
    </w:p>
    <w:p>
      <w:pPr>
        <w:pStyle w:val="19"/>
        <w:spacing w:before="192" w:beforeLines="80" w:beforeAutospacing="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七、结论</w:t>
      </w:r>
    </w:p>
    <w:tbl>
      <w:tblPr>
        <w:tblStyle w:val="2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top"/>
          </w:tcPr>
          <w:p>
            <w:pPr>
              <w:bidi w:val="0"/>
              <w:rPr>
                <w:rFonts w:hint="default"/>
              </w:rPr>
            </w:pPr>
            <w:r>
              <w:rPr>
                <w:rFonts w:hint="default"/>
              </w:rPr>
              <w:t>综上所述，本项目符合国家产业政策。该项目工程区内不涉及集中式饮用水源保护区、不涉及保护文物、不涉及风景名胜区及生态敏感区，不会对当地城镇发展规划造成影响。项目拟采取的三废治理措施有效可行。工程实施后将产生一定的经济效益、社会效益和环境效益，可促进区域生态系统良性发展，更有利于项目所在区农业发展、保土、生态环境保护工作。</w:t>
            </w:r>
          </w:p>
          <w:p>
            <w:pPr>
              <w:bidi w:val="0"/>
            </w:pPr>
            <w:r>
              <w:rPr>
                <w:rFonts w:hint="default"/>
              </w:rPr>
              <w:t>在施工过程中强化环保管理，落实各项环保措施，保证各项设施正常运行，从环境保护角度分析，本项目环境影响是可行的。</w:t>
            </w:r>
          </w:p>
        </w:tc>
      </w:tr>
    </w:tbl>
    <w:p>
      <w:pPr>
        <w:rPr>
          <w:rFonts w:ascii="宋体"/>
          <w:color w:val="auto"/>
        </w:rPr>
      </w:pPr>
    </w:p>
    <w:sectPr>
      <w:pgSz w:w="11906" w:h="16838"/>
      <w:pgMar w:top="1440" w:right="1800" w:bottom="1440" w:left="1800" w:header="851" w:footer="107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DD5D5A-B302-4519-9A3D-1109D77604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13D207B-E1B1-4596-862B-C07F050AA9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szCs w:val="20"/>
                            </w:rPr>
                            <w:t xml:space="preserve">  </w:t>
                          </w:r>
                          <w:r>
                            <w:rPr>
                              <w:rStyle w:val="25"/>
                              <w:rFonts w:hint="default" w:ascii="Times New Roman" w:hAnsi="Times New Roman" w:cs="Times New Roman"/>
                              <w:sz w:val="26"/>
                              <w:szCs w:val="26"/>
                            </w:rPr>
                            <w:fldChar w:fldCharType="begin"/>
                          </w:r>
                          <w:r>
                            <w:rPr>
                              <w:rStyle w:val="25"/>
                              <w:rFonts w:hint="default" w:ascii="Times New Roman" w:hAnsi="Times New Roman" w:cs="Times New Roman"/>
                              <w:sz w:val="26"/>
                              <w:szCs w:val="26"/>
                            </w:rPr>
                            <w:instrText xml:space="preserve">PAGE  </w:instrText>
                          </w:r>
                          <w:r>
                            <w:rPr>
                              <w:rStyle w:val="25"/>
                              <w:rFonts w:hint="default" w:ascii="Times New Roman" w:hAnsi="Times New Roman" w:cs="Times New Roman"/>
                              <w:sz w:val="26"/>
                              <w:szCs w:val="26"/>
                            </w:rPr>
                            <w:fldChar w:fldCharType="separate"/>
                          </w:r>
                          <w:r>
                            <w:rPr>
                              <w:rStyle w:val="25"/>
                              <w:rFonts w:hint="default" w:ascii="Times New Roman" w:hAnsi="Times New Roman" w:cs="Times New Roman"/>
                              <w:sz w:val="26"/>
                              <w:szCs w:val="26"/>
                            </w:rPr>
                            <w:t>22</w:t>
                          </w:r>
                          <w:r>
                            <w:rPr>
                              <w:rStyle w:val="25"/>
                              <w:rFonts w:hint="default" w:ascii="Times New Roman" w:hAnsi="Times New Roman" w:cs="Times New Roman"/>
                              <w:sz w:val="26"/>
                              <w:szCs w:val="26"/>
                            </w:rPr>
                            <w:fldChar w:fldCharType="end"/>
                          </w:r>
                          <w:r>
                            <w:rPr>
                              <w:rStyle w:val="25"/>
                              <w:rFonts w:hint="eastAsia" w:ascii="宋体" w:hAnsi="宋体"/>
                              <w:sz w:val="20"/>
                              <w:szCs w:val="20"/>
                            </w:rPr>
                            <w:t xml:space="preserve">  </w:t>
                          </w:r>
                          <w:r>
                            <w:rPr>
                              <w:rStyle w:val="25"/>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pPr>
                      <w:pStyle w:val="16"/>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szCs w:val="20"/>
                      </w:rPr>
                      <w:t xml:space="preserve">  </w:t>
                    </w:r>
                    <w:r>
                      <w:rPr>
                        <w:rStyle w:val="25"/>
                        <w:rFonts w:hint="default" w:ascii="Times New Roman" w:hAnsi="Times New Roman" w:cs="Times New Roman"/>
                        <w:sz w:val="26"/>
                        <w:szCs w:val="26"/>
                      </w:rPr>
                      <w:fldChar w:fldCharType="begin"/>
                    </w:r>
                    <w:r>
                      <w:rPr>
                        <w:rStyle w:val="25"/>
                        <w:rFonts w:hint="default" w:ascii="Times New Roman" w:hAnsi="Times New Roman" w:cs="Times New Roman"/>
                        <w:sz w:val="26"/>
                        <w:szCs w:val="26"/>
                      </w:rPr>
                      <w:instrText xml:space="preserve">PAGE  </w:instrText>
                    </w:r>
                    <w:r>
                      <w:rPr>
                        <w:rStyle w:val="25"/>
                        <w:rFonts w:hint="default" w:ascii="Times New Roman" w:hAnsi="Times New Roman" w:cs="Times New Roman"/>
                        <w:sz w:val="26"/>
                        <w:szCs w:val="26"/>
                      </w:rPr>
                      <w:fldChar w:fldCharType="separate"/>
                    </w:r>
                    <w:r>
                      <w:rPr>
                        <w:rStyle w:val="25"/>
                        <w:rFonts w:hint="default" w:ascii="Times New Roman" w:hAnsi="Times New Roman" w:cs="Times New Roman"/>
                        <w:sz w:val="26"/>
                        <w:szCs w:val="26"/>
                      </w:rPr>
                      <w:t>22</w:t>
                    </w:r>
                    <w:r>
                      <w:rPr>
                        <w:rStyle w:val="25"/>
                        <w:rFonts w:hint="default" w:ascii="Times New Roman" w:hAnsi="Times New Roman" w:cs="Times New Roman"/>
                        <w:sz w:val="26"/>
                        <w:szCs w:val="26"/>
                      </w:rPr>
                      <w:fldChar w:fldCharType="end"/>
                    </w:r>
                    <w:r>
                      <w:rPr>
                        <w:rStyle w:val="25"/>
                        <w:rFonts w:hint="eastAsia" w:ascii="宋体" w:hAnsi="宋体"/>
                        <w:sz w:val="20"/>
                        <w:szCs w:val="20"/>
                      </w:rPr>
                      <w:t xml:space="preserve">  </w:t>
                    </w:r>
                    <w:r>
                      <w:rPr>
                        <w:rStyle w:val="25"/>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C94A1"/>
    <w:multiLevelType w:val="singleLevel"/>
    <w:tmpl w:val="47BC94A1"/>
    <w:lvl w:ilvl="0" w:tentative="0">
      <w:start w:val="1"/>
      <w:numFmt w:val="none"/>
      <w:pStyle w:val="59"/>
      <w:suff w:val="nothing"/>
      <w:lvlText w:val=""/>
      <w:lvlJc w:val="left"/>
      <w:pPr>
        <w:tabs>
          <w:tab w:val="left" w:pos="0"/>
        </w:tabs>
      </w:pPr>
      <w:rPr>
        <w:rFonts w:hint="default"/>
      </w:rPr>
    </w:lvl>
  </w:abstractNum>
  <w:abstractNum w:abstractNumId="1">
    <w:nsid w:val="57CE30AE"/>
    <w:multiLevelType w:val="multilevel"/>
    <w:tmpl w:val="57CE30AE"/>
    <w:lvl w:ilvl="0" w:tentative="0">
      <w:start w:val="0"/>
      <w:numFmt w:val="decimal"/>
      <w:pStyle w:val="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B1A137E"/>
    <w:multiLevelType w:val="multilevel"/>
    <w:tmpl w:val="6B1A137E"/>
    <w:lvl w:ilvl="0" w:tentative="0">
      <w:start w:val="1"/>
      <w:numFmt w:val="decimal"/>
      <w:pStyle w:val="55"/>
      <w:suff w:val="space"/>
      <w:lvlText w:val="%1."/>
      <w:lvlJc w:val="left"/>
      <w:pPr>
        <w:ind w:left="0" w:firstLine="0"/>
      </w:pPr>
      <w:rPr>
        <w:rFonts w:hint="eastAsia"/>
      </w:rPr>
    </w:lvl>
    <w:lvl w:ilvl="1" w:tentative="0">
      <w:start w:val="1"/>
      <w:numFmt w:val="decimal"/>
      <w:pStyle w:val="60"/>
      <w:suff w:val="space"/>
      <w:lvlText w:val="%1.%2"/>
      <w:lvlJc w:val="left"/>
      <w:pPr>
        <w:ind w:left="420" w:firstLine="0"/>
      </w:pPr>
      <w:rPr>
        <w:rFonts w:hint="eastAsia"/>
      </w:rPr>
    </w:lvl>
    <w:lvl w:ilvl="2" w:tentative="0">
      <w:start w:val="1"/>
      <w:numFmt w:val="decimal"/>
      <w:pStyle w:val="61"/>
      <w:suff w:val="space"/>
      <w:lvlText w:val="（%3）"/>
      <w:lvlJc w:val="left"/>
      <w:pPr>
        <w:ind w:left="0" w:firstLine="0"/>
      </w:pPr>
      <w:rPr>
        <w:rFonts w:hint="eastAsia"/>
        <w:lang w:val="en-US"/>
      </w:rPr>
    </w:lvl>
    <w:lvl w:ilvl="3" w:tentative="0">
      <w:start w:val="0"/>
      <w:numFmt w:val="decimal"/>
      <w:lvlText w:val=""/>
      <w:lvlJc w:val="left"/>
      <w:pPr>
        <w:ind w:left="0" w:firstLine="0"/>
      </w:pPr>
      <w:rPr>
        <w:rFonts w:hint="eastAsia"/>
      </w:rPr>
    </w:lvl>
    <w:lvl w:ilvl="4" w:tentative="0">
      <w:start w:val="1"/>
      <w:numFmt w:val="decimal"/>
      <w:lvlText w:val=""/>
      <w:lvlJc w:val="left"/>
      <w:pPr>
        <w:ind w:left="0" w:firstLine="0"/>
      </w:pPr>
      <w:rPr>
        <w:rFonts w:hint="eastAsia"/>
      </w:rPr>
    </w:lvl>
    <w:lvl w:ilvl="5" w:tentative="0">
      <w:start w:val="1"/>
      <w:numFmt w:val="decimal"/>
      <w:lvlText w:val=""/>
      <w:lvlJc w:val="left"/>
      <w:pPr>
        <w:ind w:left="0" w:firstLine="0"/>
      </w:pPr>
      <w:rPr>
        <w:rFonts w:hint="eastAsia"/>
      </w:rPr>
    </w:lvl>
    <w:lvl w:ilvl="6" w:tentative="0">
      <w:start w:val="1"/>
      <w:numFmt w:val="decimal"/>
      <w:lvlText w:val=""/>
      <w:lvlJc w:val="left"/>
      <w:pPr>
        <w:ind w:left="0" w:firstLine="0"/>
      </w:pPr>
      <w:rPr>
        <w:rFonts w:hint="eastAsia"/>
      </w:rPr>
    </w:lvl>
    <w:lvl w:ilvl="7" w:tentative="0">
      <w:start w:val="1"/>
      <w:numFmt w:val="decimal"/>
      <w:lvlText w:val=""/>
      <w:lvlJc w:val="left"/>
      <w:pPr>
        <w:ind w:left="0" w:firstLine="0"/>
      </w:pPr>
      <w:rPr>
        <w:rFonts w:hint="eastAsia"/>
      </w:rPr>
    </w:lvl>
    <w:lvl w:ilvl="8" w:tentative="0">
      <w:start w:val="1"/>
      <w:numFmt w:val="decimal"/>
      <w:lvlText w:val=""/>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ZWQwYTU0M2U5Njc0NDEyODYwYzkxMTljZDcwYjMifQ=="/>
  </w:docVars>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757F74"/>
    <w:rsid w:val="01C72A2D"/>
    <w:rsid w:val="0224362A"/>
    <w:rsid w:val="04552530"/>
    <w:rsid w:val="0475016D"/>
    <w:rsid w:val="05742AC8"/>
    <w:rsid w:val="058B1D15"/>
    <w:rsid w:val="06352F05"/>
    <w:rsid w:val="063E7D85"/>
    <w:rsid w:val="070875E0"/>
    <w:rsid w:val="07293586"/>
    <w:rsid w:val="07295285"/>
    <w:rsid w:val="07513EE4"/>
    <w:rsid w:val="07770C56"/>
    <w:rsid w:val="092217DD"/>
    <w:rsid w:val="093A7294"/>
    <w:rsid w:val="09FA411E"/>
    <w:rsid w:val="0AFD3025"/>
    <w:rsid w:val="0BD27BF6"/>
    <w:rsid w:val="0D731909"/>
    <w:rsid w:val="0DB602D9"/>
    <w:rsid w:val="0E110D06"/>
    <w:rsid w:val="0F13775A"/>
    <w:rsid w:val="0F9A112B"/>
    <w:rsid w:val="106D2F64"/>
    <w:rsid w:val="109E6E27"/>
    <w:rsid w:val="10B63710"/>
    <w:rsid w:val="111A77A5"/>
    <w:rsid w:val="111C2F7A"/>
    <w:rsid w:val="113013DE"/>
    <w:rsid w:val="11A007F3"/>
    <w:rsid w:val="11C433F8"/>
    <w:rsid w:val="120516A4"/>
    <w:rsid w:val="122B06C2"/>
    <w:rsid w:val="12704F69"/>
    <w:rsid w:val="12EB52BA"/>
    <w:rsid w:val="13951726"/>
    <w:rsid w:val="14396509"/>
    <w:rsid w:val="1447165C"/>
    <w:rsid w:val="15125E91"/>
    <w:rsid w:val="1585349B"/>
    <w:rsid w:val="15D528EF"/>
    <w:rsid w:val="162D77DD"/>
    <w:rsid w:val="16322F53"/>
    <w:rsid w:val="17735226"/>
    <w:rsid w:val="1A1C66C0"/>
    <w:rsid w:val="1A355960"/>
    <w:rsid w:val="1A42393B"/>
    <w:rsid w:val="1B046F80"/>
    <w:rsid w:val="1B3267B5"/>
    <w:rsid w:val="1BAF4A61"/>
    <w:rsid w:val="1BC25DC8"/>
    <w:rsid w:val="1BC65E20"/>
    <w:rsid w:val="1BDF0EC8"/>
    <w:rsid w:val="1C5E7925"/>
    <w:rsid w:val="1C887FC8"/>
    <w:rsid w:val="1D5F6196"/>
    <w:rsid w:val="1D6132A5"/>
    <w:rsid w:val="1D8E56D5"/>
    <w:rsid w:val="1D9531D6"/>
    <w:rsid w:val="1E7A43DA"/>
    <w:rsid w:val="1EB277FE"/>
    <w:rsid w:val="1ED12142"/>
    <w:rsid w:val="1F374545"/>
    <w:rsid w:val="1FE7539E"/>
    <w:rsid w:val="207277FE"/>
    <w:rsid w:val="208164A7"/>
    <w:rsid w:val="20963CB8"/>
    <w:rsid w:val="20B07FB6"/>
    <w:rsid w:val="20D02587"/>
    <w:rsid w:val="213B74B1"/>
    <w:rsid w:val="215A2310"/>
    <w:rsid w:val="21CF315A"/>
    <w:rsid w:val="21DE318A"/>
    <w:rsid w:val="21EF5B80"/>
    <w:rsid w:val="222F4A8E"/>
    <w:rsid w:val="22576990"/>
    <w:rsid w:val="22755D5B"/>
    <w:rsid w:val="229C4EAB"/>
    <w:rsid w:val="22D9468D"/>
    <w:rsid w:val="236C49D9"/>
    <w:rsid w:val="252D53FE"/>
    <w:rsid w:val="25EC2D81"/>
    <w:rsid w:val="264528BD"/>
    <w:rsid w:val="27D15DD1"/>
    <w:rsid w:val="28A76295"/>
    <w:rsid w:val="29206EB8"/>
    <w:rsid w:val="29A223CA"/>
    <w:rsid w:val="29E325E0"/>
    <w:rsid w:val="2A035781"/>
    <w:rsid w:val="2A1069C1"/>
    <w:rsid w:val="2A452503"/>
    <w:rsid w:val="2BA936A8"/>
    <w:rsid w:val="2BEF4305"/>
    <w:rsid w:val="2C315A5A"/>
    <w:rsid w:val="2C334D1F"/>
    <w:rsid w:val="2C4B40EA"/>
    <w:rsid w:val="2CCB0A12"/>
    <w:rsid w:val="2D9E56F5"/>
    <w:rsid w:val="2E667F96"/>
    <w:rsid w:val="2E7D4A59"/>
    <w:rsid w:val="2E8226AB"/>
    <w:rsid w:val="2F832C79"/>
    <w:rsid w:val="2FEF2D58"/>
    <w:rsid w:val="30287F3B"/>
    <w:rsid w:val="30580BC9"/>
    <w:rsid w:val="30801AC4"/>
    <w:rsid w:val="30B12F29"/>
    <w:rsid w:val="311E2ED7"/>
    <w:rsid w:val="315C449C"/>
    <w:rsid w:val="31B82709"/>
    <w:rsid w:val="32400B34"/>
    <w:rsid w:val="329E6876"/>
    <w:rsid w:val="33D934D4"/>
    <w:rsid w:val="33D96550"/>
    <w:rsid w:val="33FE2F6A"/>
    <w:rsid w:val="34184814"/>
    <w:rsid w:val="353C5652"/>
    <w:rsid w:val="36074A7F"/>
    <w:rsid w:val="365C3E3D"/>
    <w:rsid w:val="36923549"/>
    <w:rsid w:val="36B75FBF"/>
    <w:rsid w:val="36FB4891"/>
    <w:rsid w:val="370712D0"/>
    <w:rsid w:val="37092647"/>
    <w:rsid w:val="37F631A9"/>
    <w:rsid w:val="382476DC"/>
    <w:rsid w:val="38F12CD3"/>
    <w:rsid w:val="38F94775"/>
    <w:rsid w:val="392971ED"/>
    <w:rsid w:val="3A397C14"/>
    <w:rsid w:val="3A683EA5"/>
    <w:rsid w:val="3A987E39"/>
    <w:rsid w:val="3B3763D1"/>
    <w:rsid w:val="3C3144CC"/>
    <w:rsid w:val="3C451D00"/>
    <w:rsid w:val="3CDA245A"/>
    <w:rsid w:val="3CEE0A37"/>
    <w:rsid w:val="3F660E74"/>
    <w:rsid w:val="407A6407"/>
    <w:rsid w:val="41004E9C"/>
    <w:rsid w:val="411414DF"/>
    <w:rsid w:val="423A3BCC"/>
    <w:rsid w:val="433A6FE6"/>
    <w:rsid w:val="4350713C"/>
    <w:rsid w:val="436653E0"/>
    <w:rsid w:val="44CD14E0"/>
    <w:rsid w:val="4577732C"/>
    <w:rsid w:val="458946E9"/>
    <w:rsid w:val="46170428"/>
    <w:rsid w:val="46D955A7"/>
    <w:rsid w:val="47133957"/>
    <w:rsid w:val="4779329E"/>
    <w:rsid w:val="47A07E0C"/>
    <w:rsid w:val="47A9459F"/>
    <w:rsid w:val="4870272E"/>
    <w:rsid w:val="49DC7715"/>
    <w:rsid w:val="49E64F7C"/>
    <w:rsid w:val="49F70BF1"/>
    <w:rsid w:val="49F8278B"/>
    <w:rsid w:val="4A023139"/>
    <w:rsid w:val="4A7B576F"/>
    <w:rsid w:val="4B2633EB"/>
    <w:rsid w:val="4C4A0649"/>
    <w:rsid w:val="4CE470D3"/>
    <w:rsid w:val="4DEC4FB0"/>
    <w:rsid w:val="4E075D8A"/>
    <w:rsid w:val="4E121B55"/>
    <w:rsid w:val="4E3072E6"/>
    <w:rsid w:val="4E9F0E11"/>
    <w:rsid w:val="4FC62A8C"/>
    <w:rsid w:val="4FE04BF7"/>
    <w:rsid w:val="4FE20F0D"/>
    <w:rsid w:val="50504C4B"/>
    <w:rsid w:val="50787660"/>
    <w:rsid w:val="509C6E7C"/>
    <w:rsid w:val="50B61E73"/>
    <w:rsid w:val="50CA2BBB"/>
    <w:rsid w:val="5162104E"/>
    <w:rsid w:val="517128A0"/>
    <w:rsid w:val="522C4753"/>
    <w:rsid w:val="538474B8"/>
    <w:rsid w:val="53A039CC"/>
    <w:rsid w:val="53A1505A"/>
    <w:rsid w:val="54063E08"/>
    <w:rsid w:val="543437E8"/>
    <w:rsid w:val="559B174B"/>
    <w:rsid w:val="55CE0CF4"/>
    <w:rsid w:val="56155653"/>
    <w:rsid w:val="56B22A9C"/>
    <w:rsid w:val="571F4F79"/>
    <w:rsid w:val="573A3365"/>
    <w:rsid w:val="57B72A76"/>
    <w:rsid w:val="57C41BF1"/>
    <w:rsid w:val="581047FA"/>
    <w:rsid w:val="581B36F8"/>
    <w:rsid w:val="58B66B51"/>
    <w:rsid w:val="591E1CF6"/>
    <w:rsid w:val="5A3C747D"/>
    <w:rsid w:val="5ABE2233"/>
    <w:rsid w:val="5B276D18"/>
    <w:rsid w:val="5B7756EE"/>
    <w:rsid w:val="5BDF5D95"/>
    <w:rsid w:val="5C8021D2"/>
    <w:rsid w:val="5DF87A0F"/>
    <w:rsid w:val="5F1A2B43"/>
    <w:rsid w:val="5FB837BB"/>
    <w:rsid w:val="60995C23"/>
    <w:rsid w:val="60B90CE0"/>
    <w:rsid w:val="61D977C3"/>
    <w:rsid w:val="61EA529A"/>
    <w:rsid w:val="621E68C3"/>
    <w:rsid w:val="62364782"/>
    <w:rsid w:val="63933647"/>
    <w:rsid w:val="63971BF3"/>
    <w:rsid w:val="63D40BE9"/>
    <w:rsid w:val="63E0211F"/>
    <w:rsid w:val="642140A9"/>
    <w:rsid w:val="65373578"/>
    <w:rsid w:val="656F7435"/>
    <w:rsid w:val="65C12820"/>
    <w:rsid w:val="662C11FA"/>
    <w:rsid w:val="673F2C7A"/>
    <w:rsid w:val="681F6961"/>
    <w:rsid w:val="68610A2F"/>
    <w:rsid w:val="68805514"/>
    <w:rsid w:val="68843467"/>
    <w:rsid w:val="68E171C6"/>
    <w:rsid w:val="694E2071"/>
    <w:rsid w:val="695C2B87"/>
    <w:rsid w:val="697A3B33"/>
    <w:rsid w:val="699E2456"/>
    <w:rsid w:val="6A3210BC"/>
    <w:rsid w:val="6ABC0974"/>
    <w:rsid w:val="6B322639"/>
    <w:rsid w:val="6C547599"/>
    <w:rsid w:val="6C636C38"/>
    <w:rsid w:val="6D42384C"/>
    <w:rsid w:val="6DB34098"/>
    <w:rsid w:val="6DB545B6"/>
    <w:rsid w:val="6DBD3701"/>
    <w:rsid w:val="6E0A57CC"/>
    <w:rsid w:val="6E4375A0"/>
    <w:rsid w:val="6E514CED"/>
    <w:rsid w:val="6E79491A"/>
    <w:rsid w:val="6EB563D5"/>
    <w:rsid w:val="6F225983"/>
    <w:rsid w:val="6F543D73"/>
    <w:rsid w:val="6FFC5590"/>
    <w:rsid w:val="70094ED8"/>
    <w:rsid w:val="701E4F19"/>
    <w:rsid w:val="70301DA3"/>
    <w:rsid w:val="706D1DD0"/>
    <w:rsid w:val="70856B87"/>
    <w:rsid w:val="709E5BC5"/>
    <w:rsid w:val="70D527EE"/>
    <w:rsid w:val="70E55B7A"/>
    <w:rsid w:val="715B5300"/>
    <w:rsid w:val="715F4BD7"/>
    <w:rsid w:val="7197047A"/>
    <w:rsid w:val="71D27F8A"/>
    <w:rsid w:val="71F744C6"/>
    <w:rsid w:val="71F960CF"/>
    <w:rsid w:val="72577D97"/>
    <w:rsid w:val="72BF7887"/>
    <w:rsid w:val="730218E9"/>
    <w:rsid w:val="731F5D5E"/>
    <w:rsid w:val="737579FC"/>
    <w:rsid w:val="741E793C"/>
    <w:rsid w:val="7461661A"/>
    <w:rsid w:val="746A192D"/>
    <w:rsid w:val="754D6561"/>
    <w:rsid w:val="756A3FC5"/>
    <w:rsid w:val="756E6737"/>
    <w:rsid w:val="758D75E2"/>
    <w:rsid w:val="77762421"/>
    <w:rsid w:val="77D76C36"/>
    <w:rsid w:val="780F09F4"/>
    <w:rsid w:val="789C4F47"/>
    <w:rsid w:val="78A90480"/>
    <w:rsid w:val="78EA5681"/>
    <w:rsid w:val="78F23FDA"/>
    <w:rsid w:val="792A6AE7"/>
    <w:rsid w:val="79477C39"/>
    <w:rsid w:val="79811327"/>
    <w:rsid w:val="79D61802"/>
    <w:rsid w:val="7A364017"/>
    <w:rsid w:val="7A8265E1"/>
    <w:rsid w:val="7AA902FE"/>
    <w:rsid w:val="7AB33333"/>
    <w:rsid w:val="7AEC0C8C"/>
    <w:rsid w:val="7AEF79A8"/>
    <w:rsid w:val="7B533B23"/>
    <w:rsid w:val="7B686D42"/>
    <w:rsid w:val="7B841746"/>
    <w:rsid w:val="7C7A1561"/>
    <w:rsid w:val="7CEE5F9A"/>
    <w:rsid w:val="7D0239FF"/>
    <w:rsid w:val="7D5E40CD"/>
    <w:rsid w:val="7D693BED"/>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overflowPunct w:val="0"/>
      <w:snapToGrid w:val="0"/>
      <w:spacing w:line="520" w:lineRule="exact"/>
      <w:ind w:left="0" w:hanging="432"/>
      <w:outlineLvl w:val="0"/>
    </w:pPr>
    <w:rPr>
      <w:rFonts w:ascii="Times New Roman" w:hAnsi="Times New Roman" w:eastAsia="宋体"/>
      <w:b/>
      <w:bCs/>
      <w:color w:val="000000"/>
      <w:kern w:val="44"/>
    </w:rPr>
  </w:style>
  <w:style w:type="paragraph" w:styleId="4">
    <w:name w:val="heading 2"/>
    <w:basedOn w:val="1"/>
    <w:next w:val="1"/>
    <w:qFormat/>
    <w:locked/>
    <w:uiPriority w:val="0"/>
    <w:pPr>
      <w:keepNext/>
      <w:keepLines/>
      <w:numPr>
        <w:ilvl w:val="0"/>
        <w:numId w:val="1"/>
      </w:numPr>
      <w:spacing w:before="260" w:after="260" w:line="416" w:lineRule="auto"/>
      <w:outlineLvl w:val="1"/>
    </w:pPr>
    <w:rPr>
      <w:rFonts w:ascii="Arial" w:hAnsi="Arial" w:eastAsia="黑体" w:cs="Verdana"/>
      <w:b/>
      <w:bCs/>
      <w:sz w:val="32"/>
      <w:szCs w:val="32"/>
    </w:rPr>
  </w:style>
  <w:style w:type="paragraph" w:styleId="5">
    <w:name w:val="heading 3"/>
    <w:basedOn w:val="1"/>
    <w:next w:val="1"/>
    <w:qFormat/>
    <w:locked/>
    <w:uiPriority w:val="0"/>
    <w:pPr>
      <w:keepNext/>
      <w:keepLines/>
      <w:spacing w:beforeLines="0" w:beforeAutospacing="0" w:afterLines="0" w:afterAutospacing="0" w:line="520" w:lineRule="exact"/>
      <w:ind w:firstLine="0" w:firstLineChars="0"/>
      <w:jc w:val="center"/>
      <w:outlineLvl w:val="2"/>
    </w:pPr>
    <w:rPr>
      <w:rFonts w:ascii="Times New Roman" w:hAnsi="Times New Roman" w:eastAsia="宋体"/>
      <w:b/>
      <w:bCs/>
    </w:rPr>
  </w:style>
  <w:style w:type="paragraph" w:styleId="6">
    <w:name w:val="heading 4"/>
    <w:basedOn w:val="1"/>
    <w:next w:val="1"/>
    <w:qFormat/>
    <w:locked/>
    <w:uiPriority w:val="0"/>
    <w:pPr>
      <w:keepNext/>
      <w:keepLines/>
      <w:spacing w:beforeLines="0" w:afterLines="0" w:line="240" w:lineRule="auto"/>
      <w:ind w:firstLine="0" w:firstLineChars="0"/>
      <w:jc w:val="center"/>
      <w:outlineLvl w:val="3"/>
    </w:pPr>
    <w:rPr>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0"/>
    <w:pPr>
      <w:spacing w:beforeLines="0" w:after="120" w:afterLines="0"/>
      <w:ind w:left="1440" w:leftChars="700" w:right="700" w:rightChars="700"/>
    </w:pPr>
    <w:rPr>
      <w:rFonts w:hint="default" w:ascii="Times New Roman" w:hAnsi="Times New Roman" w:eastAsia="宋体" w:cs="Times New Roman"/>
      <w:sz w:val="21"/>
      <w:szCs w:val="24"/>
    </w:rPr>
  </w:style>
  <w:style w:type="paragraph" w:styleId="7">
    <w:name w:val="Normal Indent"/>
    <w:basedOn w:val="1"/>
    <w:next w:val="1"/>
    <w:qFormat/>
    <w:uiPriority w:val="0"/>
    <w:pPr>
      <w:ind w:firstLine="420"/>
    </w:pPr>
    <w:rPr>
      <w:szCs w:val="20"/>
    </w:rPr>
  </w:style>
  <w:style w:type="paragraph" w:styleId="8">
    <w:name w:val="annotation text"/>
    <w:basedOn w:val="1"/>
    <w:link w:val="31"/>
    <w:semiHidden/>
    <w:qFormat/>
    <w:uiPriority w:val="0"/>
    <w:pPr>
      <w:jc w:val="left"/>
    </w:pPr>
    <w:rPr>
      <w:kern w:val="0"/>
      <w:sz w:val="20"/>
    </w:rPr>
  </w:style>
  <w:style w:type="paragraph" w:styleId="9">
    <w:name w:val="Body Text"/>
    <w:basedOn w:val="1"/>
    <w:next w:val="10"/>
    <w:link w:val="32"/>
    <w:qFormat/>
    <w:uiPriority w:val="0"/>
    <w:pPr>
      <w:widowControl/>
      <w:snapToGrid w:val="0"/>
      <w:spacing w:before="60" w:after="160" w:line="259" w:lineRule="auto"/>
      <w:ind w:right="113"/>
    </w:pPr>
    <w:rPr>
      <w:kern w:val="0"/>
      <w:sz w:val="18"/>
      <w:szCs w:val="18"/>
    </w:rPr>
  </w:style>
  <w:style w:type="paragraph" w:customStyle="1" w:styleId="10">
    <w:name w:val="默认段落"/>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styleId="11">
    <w:name w:val="Body Text Indent"/>
    <w:basedOn w:val="1"/>
    <w:next w:val="12"/>
    <w:link w:val="30"/>
    <w:semiHidden/>
    <w:qFormat/>
    <w:uiPriority w:val="0"/>
    <w:pPr>
      <w:spacing w:after="120"/>
      <w:ind w:left="420" w:leftChars="200"/>
    </w:pPr>
  </w:style>
  <w:style w:type="paragraph" w:styleId="12">
    <w:name w:val="Body Text First Indent 2"/>
    <w:basedOn w:val="11"/>
    <w:next w:val="1"/>
    <w:qFormat/>
    <w:uiPriority w:val="0"/>
    <w:pPr>
      <w:ind w:firstLine="420" w:firstLineChars="200"/>
    </w:pPr>
  </w:style>
  <w:style w:type="paragraph" w:styleId="13">
    <w:name w:val="List 2"/>
    <w:basedOn w:val="1"/>
    <w:unhideWhenUsed/>
    <w:qFormat/>
    <w:uiPriority w:val="0"/>
    <w:pPr>
      <w:widowControl w:val="0"/>
      <w:adjustRightInd/>
      <w:snapToGrid/>
      <w:ind w:left="100" w:leftChars="200" w:hanging="200" w:hangingChars="200"/>
      <w:contextualSpacing/>
    </w:pPr>
    <w:rPr>
      <w:szCs w:val="22"/>
      <w:lang w:bidi="ar-SA"/>
    </w:rPr>
  </w:style>
  <w:style w:type="paragraph" w:styleId="14">
    <w:name w:val="Date"/>
    <w:basedOn w:val="1"/>
    <w:next w:val="1"/>
    <w:link w:val="33"/>
    <w:qFormat/>
    <w:uiPriority w:val="0"/>
    <w:pPr>
      <w:ind w:left="100" w:leftChars="2500"/>
    </w:pPr>
    <w:rPr>
      <w:kern w:val="0"/>
      <w:sz w:val="20"/>
    </w:rPr>
  </w:style>
  <w:style w:type="paragraph" w:styleId="15">
    <w:name w:val="Balloon Text"/>
    <w:basedOn w:val="1"/>
    <w:link w:val="34"/>
    <w:semiHidden/>
    <w:qFormat/>
    <w:uiPriority w:val="0"/>
    <w:rPr>
      <w:sz w:val="18"/>
      <w:szCs w:val="18"/>
    </w:rPr>
  </w:style>
  <w:style w:type="paragraph" w:styleId="16">
    <w:name w:val="footer"/>
    <w:basedOn w:val="1"/>
    <w:link w:val="35"/>
    <w:qFormat/>
    <w:uiPriority w:val="0"/>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link w:val="37"/>
    <w:qFormat/>
    <w:uiPriority w:val="0"/>
    <w:pPr>
      <w:widowControl/>
      <w:spacing w:before="100" w:beforeAutospacing="1" w:after="100" w:afterAutospacing="1"/>
      <w:jc w:val="left"/>
    </w:pPr>
    <w:rPr>
      <w:rFonts w:ascii="宋体" w:hAnsi="宋体"/>
      <w:kern w:val="0"/>
      <w:sz w:val="24"/>
    </w:rPr>
  </w:style>
  <w:style w:type="paragraph" w:styleId="20">
    <w:name w:val="annotation subject"/>
    <w:basedOn w:val="8"/>
    <w:next w:val="8"/>
    <w:link w:val="38"/>
    <w:semiHidden/>
    <w:qFormat/>
    <w:uiPriority w:val="0"/>
    <w:rPr>
      <w:b/>
      <w:bCs/>
    </w:rPr>
  </w:style>
  <w:style w:type="table" w:styleId="22">
    <w:name w:val="Table Grid"/>
    <w:basedOn w:val="2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rPr>
  </w:style>
  <w:style w:type="character" w:styleId="25">
    <w:name w:val="page number"/>
    <w:basedOn w:val="23"/>
    <w:qFormat/>
    <w:uiPriority w:val="0"/>
  </w:style>
  <w:style w:type="character" w:styleId="26">
    <w:name w:val="Emphasis"/>
    <w:basedOn w:val="23"/>
    <w:qFormat/>
    <w:locked/>
    <w:uiPriority w:val="0"/>
    <w:rPr>
      <w:i/>
    </w:rPr>
  </w:style>
  <w:style w:type="character" w:styleId="27">
    <w:name w:val="annotation reference"/>
    <w:basedOn w:val="23"/>
    <w:semiHidden/>
    <w:qFormat/>
    <w:uiPriority w:val="0"/>
    <w:rPr>
      <w:sz w:val="21"/>
    </w:rPr>
  </w:style>
  <w:style w:type="paragraph" w:customStyle="1" w:styleId="28">
    <w:name w:val="Default"/>
    <w:basedOn w:val="29"/>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9">
    <w:name w:val="1 表头"/>
    <w:basedOn w:val="1"/>
    <w:qFormat/>
    <w:uiPriority w:val="0"/>
    <w:pPr>
      <w:adjustRightInd w:val="0"/>
      <w:snapToGrid w:val="0"/>
      <w:spacing w:line="240" w:lineRule="auto"/>
      <w:ind w:firstLine="0" w:firstLineChars="0"/>
      <w:jc w:val="center"/>
    </w:pPr>
    <w:rPr>
      <w:b/>
      <w:color w:val="000000"/>
      <w:sz w:val="21"/>
      <w:szCs w:val="21"/>
    </w:rPr>
  </w:style>
  <w:style w:type="character" w:customStyle="1" w:styleId="30">
    <w:name w:val="Body Text Indent Char"/>
    <w:basedOn w:val="23"/>
    <w:link w:val="11"/>
    <w:semiHidden/>
    <w:qFormat/>
    <w:locked/>
    <w:uiPriority w:val="0"/>
    <w:rPr>
      <w:rFonts w:ascii="Times New Roman" w:hAnsi="Times New Roman" w:eastAsia="宋体" w:cs="Times New Roman"/>
      <w:sz w:val="24"/>
      <w:szCs w:val="24"/>
    </w:rPr>
  </w:style>
  <w:style w:type="character" w:customStyle="1" w:styleId="31">
    <w:name w:val="Comment Text Char"/>
    <w:link w:val="8"/>
    <w:qFormat/>
    <w:locked/>
    <w:uiPriority w:val="0"/>
    <w:rPr>
      <w:rFonts w:ascii="Times New Roman" w:hAnsi="Times New Roman" w:eastAsia="宋体"/>
      <w:sz w:val="24"/>
    </w:rPr>
  </w:style>
  <w:style w:type="character" w:customStyle="1" w:styleId="32">
    <w:name w:val="Body Text Char"/>
    <w:link w:val="9"/>
    <w:qFormat/>
    <w:locked/>
    <w:uiPriority w:val="0"/>
    <w:rPr>
      <w:sz w:val="18"/>
    </w:rPr>
  </w:style>
  <w:style w:type="character" w:customStyle="1" w:styleId="33">
    <w:name w:val="Date Char"/>
    <w:link w:val="14"/>
    <w:qFormat/>
    <w:locked/>
    <w:uiPriority w:val="0"/>
    <w:rPr>
      <w:rFonts w:ascii="Times New Roman" w:hAnsi="Times New Roman" w:eastAsia="宋体"/>
      <w:sz w:val="24"/>
    </w:rPr>
  </w:style>
  <w:style w:type="character" w:customStyle="1" w:styleId="34">
    <w:name w:val="Balloon Text Char"/>
    <w:basedOn w:val="23"/>
    <w:link w:val="15"/>
    <w:semiHidden/>
    <w:qFormat/>
    <w:locked/>
    <w:uiPriority w:val="0"/>
    <w:rPr>
      <w:rFonts w:ascii="Times New Roman" w:hAnsi="Times New Roman" w:eastAsia="宋体" w:cs="Times New Roman"/>
      <w:sz w:val="18"/>
      <w:szCs w:val="18"/>
    </w:rPr>
  </w:style>
  <w:style w:type="character" w:customStyle="1" w:styleId="35">
    <w:name w:val="Footer Char"/>
    <w:basedOn w:val="23"/>
    <w:link w:val="16"/>
    <w:qFormat/>
    <w:locked/>
    <w:uiPriority w:val="0"/>
    <w:rPr>
      <w:rFonts w:cs="Times New Roman"/>
      <w:sz w:val="18"/>
      <w:szCs w:val="18"/>
    </w:rPr>
  </w:style>
  <w:style w:type="character" w:customStyle="1" w:styleId="36">
    <w:name w:val="Header Char"/>
    <w:basedOn w:val="23"/>
    <w:link w:val="17"/>
    <w:qFormat/>
    <w:locked/>
    <w:uiPriority w:val="0"/>
    <w:rPr>
      <w:rFonts w:cs="Times New Roman"/>
      <w:sz w:val="18"/>
      <w:szCs w:val="18"/>
    </w:rPr>
  </w:style>
  <w:style w:type="character" w:customStyle="1" w:styleId="37">
    <w:name w:val="Normal (Web) Char"/>
    <w:link w:val="19"/>
    <w:qFormat/>
    <w:locked/>
    <w:uiPriority w:val="0"/>
    <w:rPr>
      <w:rFonts w:ascii="宋体" w:hAnsi="宋体" w:eastAsia="宋体"/>
      <w:sz w:val="24"/>
    </w:rPr>
  </w:style>
  <w:style w:type="character" w:customStyle="1" w:styleId="38">
    <w:name w:val="Comment Subject Char"/>
    <w:basedOn w:val="31"/>
    <w:link w:val="20"/>
    <w:semiHidden/>
    <w:qFormat/>
    <w:locked/>
    <w:uiPriority w:val="0"/>
    <w:rPr>
      <w:rFonts w:cs="Times New Roman"/>
      <w:b/>
      <w:bCs/>
      <w:kern w:val="2"/>
      <w:szCs w:val="24"/>
    </w:rPr>
  </w:style>
  <w:style w:type="character" w:customStyle="1" w:styleId="39">
    <w:name w:val="日期 字符"/>
    <w:basedOn w:val="23"/>
    <w:semiHidden/>
    <w:qFormat/>
    <w:uiPriority w:val="0"/>
    <w:rPr>
      <w:rFonts w:ascii="Times New Roman" w:hAnsi="Times New Roman" w:eastAsia="宋体" w:cs="Times New Roman"/>
      <w:sz w:val="24"/>
      <w:szCs w:val="24"/>
    </w:rPr>
  </w:style>
  <w:style w:type="character" w:customStyle="1" w:styleId="40">
    <w:name w:val="正文文本 字符1"/>
    <w:basedOn w:val="23"/>
    <w:semiHidden/>
    <w:qFormat/>
    <w:uiPriority w:val="0"/>
    <w:rPr>
      <w:rFonts w:ascii="Times New Roman" w:hAnsi="Times New Roman" w:eastAsia="宋体" w:cs="Times New Roman"/>
      <w:sz w:val="24"/>
      <w:szCs w:val="24"/>
    </w:rPr>
  </w:style>
  <w:style w:type="paragraph" w:customStyle="1" w:styleId="41">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2">
    <w:name w:val="表格 Char"/>
    <w:link w:val="43"/>
    <w:qFormat/>
    <w:locked/>
    <w:uiPriority w:val="0"/>
    <w:rPr>
      <w:rFonts w:ascii="宋体"/>
      <w:sz w:val="21"/>
    </w:rPr>
  </w:style>
  <w:style w:type="paragraph" w:customStyle="1" w:styleId="43">
    <w:name w:val="表格"/>
    <w:basedOn w:val="1"/>
    <w:next w:val="1"/>
    <w:link w:val="42"/>
    <w:qFormat/>
    <w:uiPriority w:val="0"/>
    <w:pPr>
      <w:adjustRightInd w:val="0"/>
      <w:snapToGrid w:val="0"/>
      <w:spacing w:beforeLines="10" w:afterLines="10" w:line="259" w:lineRule="auto"/>
      <w:jc w:val="center"/>
    </w:pPr>
    <w:rPr>
      <w:rFonts w:ascii="宋体"/>
      <w:kern w:val="0"/>
      <w:sz w:val="20"/>
      <w:szCs w:val="21"/>
    </w:rPr>
  </w:style>
  <w:style w:type="character" w:customStyle="1" w:styleId="44">
    <w:name w:val="批注文字 字符1"/>
    <w:basedOn w:val="23"/>
    <w:semiHidden/>
    <w:qFormat/>
    <w:uiPriority w:val="0"/>
    <w:rPr>
      <w:rFonts w:ascii="Times New Roman" w:hAnsi="Times New Roman" w:eastAsia="宋体" w:cs="Times New Roman"/>
      <w:sz w:val="24"/>
      <w:szCs w:val="24"/>
    </w:rPr>
  </w:style>
  <w:style w:type="character" w:customStyle="1" w:styleId="45">
    <w:name w:val="普通(网站) Char"/>
    <w:qFormat/>
    <w:locked/>
    <w:uiPriority w:val="0"/>
    <w:rPr>
      <w:rFonts w:ascii="宋体" w:hAnsi="宋体" w:eastAsia="宋体"/>
      <w:sz w:val="24"/>
    </w:rPr>
  </w:style>
  <w:style w:type="paragraph" w:customStyle="1" w:styleId="46">
    <w:name w:val="表名称"/>
    <w:qFormat/>
    <w:uiPriority w:val="0"/>
    <w:pPr>
      <w:adjustRightInd w:val="0"/>
      <w:snapToGrid w:val="0"/>
      <w:jc w:val="center"/>
    </w:pPr>
    <w:rPr>
      <w:rFonts w:ascii="宋体" w:hAnsi="宋体" w:eastAsia="宋体" w:cs="宋体"/>
      <w:b/>
      <w:kern w:val="2"/>
      <w:sz w:val="21"/>
      <w:szCs w:val="21"/>
      <w:lang w:val="en-US" w:eastAsia="zh-CN" w:bidi="ar-SA"/>
    </w:rPr>
  </w:style>
  <w:style w:type="paragraph" w:customStyle="1" w:styleId="47">
    <w:name w:val="正文呀呀呀呀"/>
    <w:basedOn w:val="1"/>
    <w:unhideWhenUsed/>
    <w:qFormat/>
    <w:uiPriority w:val="0"/>
    <w:pPr>
      <w:wordWrap w:val="0"/>
      <w:adjustRightInd w:val="0"/>
      <w:snapToGrid w:val="0"/>
      <w:spacing w:beforeLines="0" w:afterLines="0" w:line="520" w:lineRule="exact"/>
      <w:ind w:firstLine="720" w:firstLineChars="200"/>
      <w:jc w:val="left"/>
    </w:pPr>
    <w:rPr>
      <w:rFonts w:hint="default" w:cs="宋体"/>
      <w:sz w:val="24"/>
      <w:szCs w:val="24"/>
    </w:rPr>
  </w:style>
  <w:style w:type="paragraph" w:customStyle="1" w:styleId="48">
    <w:name w:val="表内文字啊啊啊"/>
    <w:unhideWhenUsed/>
    <w:qFormat/>
    <w:uiPriority w:val="0"/>
    <w:pPr>
      <w:widowControl w:val="0"/>
      <w:adjustRightInd w:val="0"/>
      <w:snapToGrid w:val="0"/>
      <w:spacing w:beforeLines="0" w:afterLines="0"/>
      <w:jc w:val="center"/>
    </w:pPr>
    <w:rPr>
      <w:rFonts w:hint="eastAsia" w:ascii="Times New Roman" w:hAnsi="Times New Roman" w:eastAsia="宋体" w:cs="宋体"/>
      <w:color w:val="auto"/>
      <w:kern w:val="2"/>
      <w:sz w:val="21"/>
      <w:szCs w:val="21"/>
      <w:lang w:val="en-US" w:eastAsia="zh-CN" w:bidi="ar-SA"/>
    </w:rPr>
  </w:style>
  <w:style w:type="paragraph" w:customStyle="1" w:styleId="49">
    <w:name w:val="正文啊啊啊"/>
    <w:unhideWhenUsed/>
    <w:qFormat/>
    <w:uiPriority w:val="0"/>
    <w:pPr>
      <w:widowControl w:val="0"/>
      <w:wordWrap w:val="0"/>
      <w:adjustRightInd w:val="0"/>
      <w:snapToGrid w:val="0"/>
      <w:spacing w:beforeLines="0" w:afterLines="0" w:line="520" w:lineRule="exact"/>
      <w:ind w:firstLine="720" w:firstLineChars="200"/>
    </w:pPr>
    <w:rPr>
      <w:rFonts w:hint="eastAsia" w:ascii="Times New Roman" w:hAnsi="Times New Roman" w:eastAsia="宋体" w:cs="宋体"/>
      <w:kern w:val="2"/>
      <w:sz w:val="24"/>
      <w:szCs w:val="24"/>
      <w:lang w:val="en-US" w:eastAsia="zh-CN" w:bidi="ar-SA"/>
    </w:rPr>
  </w:style>
  <w:style w:type="paragraph" w:customStyle="1" w:styleId="50">
    <w:name w:val="常用正文"/>
    <w:basedOn w:val="1"/>
    <w:qFormat/>
    <w:uiPriority w:val="0"/>
    <w:pPr>
      <w:widowControl/>
      <w:wordWrap w:val="0"/>
      <w:topLinePunct/>
      <w:adjustRightInd w:val="0"/>
      <w:snapToGrid w:val="0"/>
      <w:spacing w:line="360" w:lineRule="auto"/>
      <w:ind w:right="0" w:firstLine="720" w:firstLineChars="200"/>
    </w:pPr>
    <w:rPr>
      <w:szCs w:val="20"/>
    </w:rPr>
  </w:style>
  <w:style w:type="paragraph" w:customStyle="1" w:styleId="51">
    <w:name w:val="正文LLLLLLL"/>
    <w:basedOn w:val="1"/>
    <w:qFormat/>
    <w:uiPriority w:val="0"/>
    <w:pPr>
      <w:spacing w:line="520" w:lineRule="exact"/>
      <w:ind w:firstLine="578" w:firstLineChars="200"/>
      <w:jc w:val="both"/>
    </w:pPr>
    <w:rPr>
      <w:rFonts w:ascii="Times New Roman" w:hAnsi="Times New Roman" w:eastAsia="宋体" w:cs="Times New Roman"/>
      <w:kern w:val="0"/>
      <w:sz w:val="28"/>
      <w:szCs w:val="20"/>
    </w:rPr>
  </w:style>
  <w:style w:type="paragraph" w:customStyle="1" w:styleId="52">
    <w:name w:val="表头"/>
    <w:basedOn w:val="7"/>
    <w:next w:val="1"/>
    <w:qFormat/>
    <w:uiPriority w:val="0"/>
    <w:rPr>
      <w:rFonts w:eastAsia="黑体"/>
      <w:sz w:val="24"/>
    </w:rPr>
  </w:style>
  <w:style w:type="paragraph" w:styleId="53">
    <w:name w:val="No Spacing"/>
    <w:basedOn w:val="18"/>
    <w:next w:val="1"/>
    <w:qFormat/>
    <w:uiPriority w:val="1"/>
    <w:pPr>
      <w:spacing w:line="240" w:lineRule="auto"/>
      <w:ind w:left="0" w:firstLine="0" w:firstLineChars="0"/>
      <w:jc w:val="center"/>
      <w:textAlignment w:val="center"/>
    </w:pPr>
    <w:rPr>
      <w:sz w:val="21"/>
      <w:szCs w:val="22"/>
    </w:rPr>
  </w:style>
  <w:style w:type="paragraph" w:customStyle="1" w:styleId="54">
    <w:name w:val="表格内容"/>
    <w:basedOn w:val="52"/>
    <w:qFormat/>
    <w:uiPriority w:val="0"/>
    <w:pPr>
      <w:numPr>
        <w:ilvl w:val="0"/>
        <w:numId w:val="0"/>
      </w:numPr>
      <w:tabs>
        <w:tab w:val="left" w:pos="420"/>
      </w:tabs>
      <w:autoSpaceDE w:val="0"/>
      <w:autoSpaceDN w:val="0"/>
      <w:spacing w:before="0" w:after="0" w:line="240" w:lineRule="auto"/>
      <w:textAlignment w:val="center"/>
    </w:pPr>
    <w:rPr>
      <w:rFonts w:ascii="宋体" w:hAnsi="宋体" w:eastAsia="宋体"/>
      <w:color w:val="000000"/>
      <w:szCs w:val="21"/>
    </w:rPr>
  </w:style>
  <w:style w:type="paragraph" w:customStyle="1" w:styleId="55">
    <w:name w:val="01 标题"/>
    <w:basedOn w:val="1"/>
    <w:qFormat/>
    <w:uiPriority w:val="0"/>
    <w:pPr>
      <w:numPr>
        <w:ilvl w:val="0"/>
        <w:numId w:val="2"/>
      </w:numPr>
      <w:autoSpaceDE w:val="0"/>
      <w:autoSpaceDN w:val="0"/>
      <w:adjustRightInd w:val="0"/>
      <w:snapToGrid w:val="0"/>
      <w:spacing w:before="50" w:beforeLines="50" w:after="50" w:afterLines="50" w:line="560" w:lineRule="exact"/>
    </w:pPr>
    <w:rPr>
      <w:rFonts w:ascii="宋体" w:hAnsi="宋体" w:eastAsia="宋体"/>
      <w:b/>
      <w:bCs/>
      <w:color w:val="000000"/>
      <w:sz w:val="24"/>
      <w:szCs w:val="21"/>
    </w:rPr>
  </w:style>
  <w:style w:type="paragraph" w:customStyle="1" w:styleId="56">
    <w:name w:val="04 正文"/>
    <w:basedOn w:val="28"/>
    <w:link w:val="58"/>
    <w:qFormat/>
    <w:uiPriority w:val="0"/>
    <w:pPr>
      <w:wordWrap/>
      <w:bidi w:val="0"/>
      <w:adjustRightInd w:val="0"/>
      <w:snapToGrid w:val="0"/>
      <w:spacing w:line="500" w:lineRule="exact"/>
      <w:ind w:firstLine="480" w:firstLineChars="200"/>
    </w:pPr>
    <w:rPr>
      <w:rFonts w:hAnsi="宋体" w:eastAsia="宋体"/>
    </w:rPr>
  </w:style>
  <w:style w:type="paragraph" w:customStyle="1" w:styleId="57">
    <w:name w:val="纯文本1"/>
    <w:basedOn w:val="1"/>
    <w:qFormat/>
    <w:uiPriority w:val="0"/>
    <w:pPr>
      <w:adjustRightInd w:val="0"/>
      <w:textAlignment w:val="baseline"/>
    </w:pPr>
    <w:rPr>
      <w:rFonts w:ascii="宋体" w:hAnsi="Courier New"/>
      <w:szCs w:val="20"/>
    </w:rPr>
  </w:style>
  <w:style w:type="character" w:customStyle="1" w:styleId="58">
    <w:name w:val="04 正文 字符"/>
    <w:link w:val="56"/>
    <w:qFormat/>
    <w:uiPriority w:val="0"/>
    <w:rPr>
      <w:rFonts w:hAnsi="宋体" w:eastAsia="宋体"/>
    </w:rPr>
  </w:style>
  <w:style w:type="paragraph" w:customStyle="1" w:styleId="59">
    <w:name w:val="修改文字"/>
    <w:basedOn w:val="1"/>
    <w:qFormat/>
    <w:uiPriority w:val="0"/>
    <w:pPr>
      <w:numPr>
        <w:ilvl w:val="0"/>
        <w:numId w:val="3"/>
      </w:numPr>
      <w:autoSpaceDE w:val="0"/>
      <w:autoSpaceDN w:val="0"/>
      <w:adjustRightInd w:val="0"/>
      <w:spacing w:line="520" w:lineRule="exact"/>
      <w:ind w:firstLine="480"/>
      <w:textAlignment w:val="baseline"/>
      <w:outlineLvl w:val="9"/>
    </w:pPr>
    <w:rPr>
      <w:rFonts w:hint="eastAsia" w:ascii="Times New Roman" w:hAnsi="Times New Roman" w:eastAsia="宋体" w:cs="宋体"/>
      <w:bCs/>
      <w:color w:val="0000FF"/>
      <w:sz w:val="24"/>
    </w:rPr>
  </w:style>
  <w:style w:type="paragraph" w:customStyle="1" w:styleId="60">
    <w:name w:val="02 标题"/>
    <w:basedOn w:val="1"/>
    <w:qFormat/>
    <w:uiPriority w:val="0"/>
    <w:pPr>
      <w:numPr>
        <w:ilvl w:val="1"/>
        <w:numId w:val="2"/>
      </w:numPr>
      <w:adjustRightInd w:val="0"/>
      <w:snapToGrid w:val="0"/>
      <w:spacing w:before="35" w:beforeLines="35" w:after="25" w:afterLines="25" w:line="520" w:lineRule="atLeast"/>
      <w:ind w:left="0" w:firstLine="480" w:firstLineChars="200"/>
    </w:pPr>
    <w:rPr>
      <w:rFonts w:ascii="宋体" w:hAnsi="宋体" w:eastAsia="宋体"/>
      <w:b/>
      <w:color w:val="000000"/>
      <w:sz w:val="24"/>
    </w:rPr>
  </w:style>
  <w:style w:type="paragraph" w:customStyle="1" w:styleId="61">
    <w:name w:val="03 标题"/>
    <w:basedOn w:val="56"/>
    <w:qFormat/>
    <w:uiPriority w:val="0"/>
    <w:pPr>
      <w:numPr>
        <w:ilvl w:val="2"/>
        <w:numId w:val="2"/>
      </w:numPr>
      <w:ind w:firstLine="200"/>
    </w:pPr>
    <w:rPr>
      <w:rFonts w:hAnsi="宋体" w:eastAsia="宋体"/>
    </w:rPr>
  </w:style>
  <w:style w:type="paragraph" w:customStyle="1" w:styleId="62">
    <w:name w:val="Table Text"/>
    <w:basedOn w:val="1"/>
    <w:semiHidden/>
    <w:qFormat/>
    <w:uiPriority w:val="0"/>
    <w:rPr>
      <w:rFonts w:ascii="宋体" w:hAnsi="宋体" w:eastAsia="宋体" w:cs="宋体"/>
      <w:sz w:val="28"/>
      <w:szCs w:val="28"/>
      <w:lang w:val="en-US" w:eastAsia="en-US" w:bidi="ar-SA"/>
    </w:rPr>
  </w:style>
  <w:style w:type="table" w:customStyle="1" w:styleId="63">
    <w:name w:val="Table Normal"/>
    <w:semiHidden/>
    <w:unhideWhenUsed/>
    <w:qFormat/>
    <w:uiPriority w:val="0"/>
    <w:tblPr>
      <w:tblCellMar>
        <w:top w:w="0" w:type="dxa"/>
        <w:left w:w="0" w:type="dxa"/>
        <w:bottom w:w="0" w:type="dxa"/>
        <w:right w:w="0" w:type="dxa"/>
      </w:tblCellMar>
    </w:tblPr>
  </w:style>
  <w:style w:type="character" w:customStyle="1" w:styleId="64">
    <w:name w:val="font912"/>
    <w:basedOn w:val="23"/>
    <w:qFormat/>
    <w:uiPriority w:val="0"/>
    <w:rPr>
      <w:rFonts w:ascii="宋体" w:hAnsi="宋体" w:eastAsia="宋体" w:cs="宋体"/>
      <w:b/>
      <w:bCs/>
      <w:color w:val="000000"/>
      <w:sz w:val="12"/>
      <w:szCs w:val="12"/>
      <w:u w:val="none"/>
    </w:rPr>
  </w:style>
  <w:style w:type="character" w:customStyle="1" w:styleId="65">
    <w:name w:val="font381"/>
    <w:basedOn w:val="23"/>
    <w:qFormat/>
    <w:uiPriority w:val="0"/>
    <w:rPr>
      <w:rFonts w:ascii="宋体" w:hAnsi="宋体" w:eastAsia="宋体" w:cs="宋体"/>
      <w:color w:val="000000"/>
      <w:sz w:val="12"/>
      <w:szCs w:val="12"/>
      <w:u w:val="none"/>
    </w:rPr>
  </w:style>
  <w:style w:type="character" w:customStyle="1" w:styleId="66">
    <w:name w:val="font34"/>
    <w:basedOn w:val="23"/>
    <w:qFormat/>
    <w:uiPriority w:val="0"/>
    <w:rPr>
      <w:rFonts w:ascii="宋体" w:hAnsi="宋体" w:eastAsia="宋体" w:cs="宋体"/>
      <w:b/>
      <w:bCs/>
      <w:color w:val="304050"/>
      <w:sz w:val="12"/>
      <w:szCs w:val="12"/>
      <w:u w:val="none"/>
    </w:rPr>
  </w:style>
  <w:style w:type="character" w:customStyle="1" w:styleId="67">
    <w:name w:val="font51"/>
    <w:basedOn w:val="23"/>
    <w:qFormat/>
    <w:uiPriority w:val="0"/>
    <w:rPr>
      <w:rFonts w:ascii="宋体" w:hAnsi="宋体" w:eastAsia="宋体" w:cs="宋体"/>
      <w:color w:val="506070"/>
      <w:sz w:val="12"/>
      <w:szCs w:val="12"/>
      <w:u w:val="none"/>
    </w:rPr>
  </w:style>
  <w:style w:type="character" w:customStyle="1" w:styleId="68">
    <w:name w:val="font191"/>
    <w:basedOn w:val="23"/>
    <w:qFormat/>
    <w:uiPriority w:val="0"/>
    <w:rPr>
      <w:rFonts w:ascii="宋体" w:hAnsi="宋体" w:eastAsia="宋体" w:cs="宋体"/>
      <w:color w:val="506060"/>
      <w:sz w:val="12"/>
      <w:szCs w:val="12"/>
      <w:u w:val="none"/>
    </w:rPr>
  </w:style>
  <w:style w:type="character" w:customStyle="1" w:styleId="69">
    <w:name w:val="font301"/>
    <w:basedOn w:val="23"/>
    <w:qFormat/>
    <w:uiPriority w:val="0"/>
    <w:rPr>
      <w:rFonts w:ascii="宋体" w:hAnsi="宋体" w:eastAsia="宋体" w:cs="宋体"/>
      <w:color w:val="404050"/>
      <w:sz w:val="12"/>
      <w:szCs w:val="12"/>
      <w:u w:val="none"/>
    </w:rPr>
  </w:style>
  <w:style w:type="character" w:customStyle="1" w:styleId="70">
    <w:name w:val="font13"/>
    <w:basedOn w:val="23"/>
    <w:qFormat/>
    <w:uiPriority w:val="0"/>
    <w:rPr>
      <w:rFonts w:ascii="宋体" w:hAnsi="宋体" w:eastAsia="宋体" w:cs="宋体"/>
      <w:color w:val="4070C0"/>
      <w:sz w:val="10"/>
      <w:szCs w:val="10"/>
      <w:u w:val="none"/>
    </w:rPr>
  </w:style>
  <w:style w:type="character" w:customStyle="1" w:styleId="71">
    <w:name w:val="font21"/>
    <w:basedOn w:val="23"/>
    <w:qFormat/>
    <w:uiPriority w:val="0"/>
    <w:rPr>
      <w:rFonts w:ascii="宋体" w:hAnsi="宋体" w:eastAsia="宋体" w:cs="宋体"/>
      <w:color w:val="505070"/>
      <w:sz w:val="10"/>
      <w:szCs w:val="10"/>
      <w:u w:val="none"/>
    </w:rPr>
  </w:style>
  <w:style w:type="character" w:customStyle="1" w:styleId="72">
    <w:name w:val="font31"/>
    <w:basedOn w:val="23"/>
    <w:qFormat/>
    <w:uiPriority w:val="0"/>
    <w:rPr>
      <w:rFonts w:ascii="宋体" w:hAnsi="宋体" w:eastAsia="宋体" w:cs="宋体"/>
      <w:color w:val="505060"/>
      <w:sz w:val="10"/>
      <w:szCs w:val="10"/>
      <w:u w:val="none"/>
    </w:rPr>
  </w:style>
  <w:style w:type="character" w:customStyle="1" w:styleId="73">
    <w:name w:val="font351"/>
    <w:basedOn w:val="23"/>
    <w:qFormat/>
    <w:uiPriority w:val="0"/>
    <w:rPr>
      <w:rFonts w:ascii="宋体" w:hAnsi="宋体" w:eastAsia="宋体" w:cs="宋体"/>
      <w:color w:val="405070"/>
      <w:sz w:val="10"/>
      <w:szCs w:val="10"/>
      <w:u w:val="none"/>
    </w:rPr>
  </w:style>
  <w:style w:type="character" w:customStyle="1" w:styleId="74">
    <w:name w:val="font41"/>
    <w:basedOn w:val="23"/>
    <w:qFormat/>
    <w:uiPriority w:val="0"/>
    <w:rPr>
      <w:rFonts w:ascii="宋体" w:hAnsi="宋体" w:eastAsia="宋体" w:cs="宋体"/>
      <w:color w:val="404050"/>
      <w:sz w:val="10"/>
      <w:szCs w:val="10"/>
      <w:u w:val="none"/>
    </w:rPr>
  </w:style>
  <w:style w:type="character" w:customStyle="1" w:styleId="75">
    <w:name w:val="font181"/>
    <w:basedOn w:val="23"/>
    <w:qFormat/>
    <w:uiPriority w:val="0"/>
    <w:rPr>
      <w:rFonts w:ascii="宋体" w:hAnsi="宋体" w:eastAsia="宋体" w:cs="宋体"/>
      <w:color w:val="606070"/>
      <w:sz w:val="10"/>
      <w:szCs w:val="10"/>
      <w:u w:val="none"/>
    </w:rPr>
  </w:style>
  <w:style w:type="character" w:customStyle="1" w:styleId="76">
    <w:name w:val="font61"/>
    <w:basedOn w:val="23"/>
    <w:qFormat/>
    <w:uiPriority w:val="0"/>
    <w:rPr>
      <w:rFonts w:ascii="宋体" w:hAnsi="宋体" w:eastAsia="宋体" w:cs="宋体"/>
      <w:color w:val="3060A0"/>
      <w:sz w:val="10"/>
      <w:szCs w:val="10"/>
      <w:u w:val="none"/>
    </w:rPr>
  </w:style>
  <w:style w:type="character" w:customStyle="1" w:styleId="77">
    <w:name w:val="font212"/>
    <w:basedOn w:val="23"/>
    <w:qFormat/>
    <w:uiPriority w:val="0"/>
    <w:rPr>
      <w:rFonts w:ascii="宋体" w:hAnsi="宋体" w:eastAsia="宋体" w:cs="宋体"/>
      <w:color w:val="304070"/>
      <w:sz w:val="10"/>
      <w:szCs w:val="10"/>
      <w:u w:val="none"/>
    </w:rPr>
  </w:style>
  <w:style w:type="character" w:customStyle="1" w:styleId="78">
    <w:name w:val="font361"/>
    <w:basedOn w:val="23"/>
    <w:qFormat/>
    <w:uiPriority w:val="0"/>
    <w:rPr>
      <w:rFonts w:ascii="宋体" w:hAnsi="宋体" w:eastAsia="宋体" w:cs="宋体"/>
      <w:color w:val="000000"/>
      <w:sz w:val="10"/>
      <w:szCs w:val="10"/>
      <w:u w:val="none"/>
    </w:rPr>
  </w:style>
  <w:style w:type="character" w:customStyle="1" w:styleId="79">
    <w:name w:val="font81"/>
    <w:basedOn w:val="23"/>
    <w:qFormat/>
    <w:uiPriority w:val="0"/>
    <w:rPr>
      <w:rFonts w:ascii="宋体" w:hAnsi="宋体" w:eastAsia="宋体" w:cs="宋体"/>
      <w:color w:val="406080"/>
      <w:sz w:val="10"/>
      <w:szCs w:val="10"/>
      <w:u w:val="none"/>
    </w:rPr>
  </w:style>
  <w:style w:type="character" w:customStyle="1" w:styleId="80">
    <w:name w:val="font91"/>
    <w:basedOn w:val="23"/>
    <w:qFormat/>
    <w:uiPriority w:val="0"/>
    <w:rPr>
      <w:rFonts w:ascii="宋体" w:hAnsi="宋体" w:eastAsia="宋体" w:cs="宋体"/>
      <w:color w:val="304050"/>
      <w:sz w:val="10"/>
      <w:szCs w:val="10"/>
      <w:u w:val="none"/>
    </w:rPr>
  </w:style>
  <w:style w:type="character" w:customStyle="1" w:styleId="81">
    <w:name w:val="font101"/>
    <w:basedOn w:val="23"/>
    <w:qFormat/>
    <w:uiPriority w:val="0"/>
    <w:rPr>
      <w:rFonts w:ascii="宋体" w:hAnsi="宋体" w:eastAsia="宋体" w:cs="宋体"/>
      <w:color w:val="304060"/>
      <w:sz w:val="10"/>
      <w:szCs w:val="10"/>
      <w:u w:val="none"/>
    </w:rPr>
  </w:style>
  <w:style w:type="character" w:customStyle="1" w:styleId="82">
    <w:name w:val="font121"/>
    <w:basedOn w:val="23"/>
    <w:qFormat/>
    <w:uiPriority w:val="0"/>
    <w:rPr>
      <w:rFonts w:ascii="宋体" w:hAnsi="宋体" w:eastAsia="宋体" w:cs="宋体"/>
      <w:color w:val="203050"/>
      <w:sz w:val="10"/>
      <w:szCs w:val="10"/>
      <w:u w:val="none"/>
    </w:rPr>
  </w:style>
  <w:style w:type="character" w:customStyle="1" w:styleId="83">
    <w:name w:val="font161"/>
    <w:basedOn w:val="23"/>
    <w:qFormat/>
    <w:uiPriority w:val="0"/>
    <w:rPr>
      <w:rFonts w:ascii="宋体" w:hAnsi="宋体" w:eastAsia="宋体" w:cs="宋体"/>
      <w:color w:val="305080"/>
      <w:sz w:val="10"/>
      <w:szCs w:val="10"/>
      <w:u w:val="none"/>
    </w:rPr>
  </w:style>
  <w:style w:type="character" w:customStyle="1" w:styleId="84">
    <w:name w:val="font261"/>
    <w:basedOn w:val="23"/>
    <w:qFormat/>
    <w:uiPriority w:val="0"/>
    <w:rPr>
      <w:rFonts w:ascii="宋体" w:hAnsi="宋体" w:eastAsia="宋体" w:cs="宋体"/>
      <w:color w:val="204080"/>
      <w:sz w:val="10"/>
      <w:szCs w:val="10"/>
      <w:u w:val="none"/>
    </w:rPr>
  </w:style>
  <w:style w:type="character" w:customStyle="1" w:styleId="85">
    <w:name w:val="font331"/>
    <w:basedOn w:val="23"/>
    <w:qFormat/>
    <w:uiPriority w:val="0"/>
    <w:rPr>
      <w:rFonts w:ascii="宋体" w:hAnsi="宋体" w:eastAsia="宋体" w:cs="宋体"/>
      <w:color w:val="204070"/>
      <w:sz w:val="10"/>
      <w:szCs w:val="10"/>
      <w:u w:val="none"/>
    </w:rPr>
  </w:style>
  <w:style w:type="paragraph" w:customStyle="1" w:styleId="86">
    <w:name w:val="正文格式啊啊啊啊"/>
    <w:basedOn w:val="1"/>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paragraph" w:customStyle="1" w:styleId="87">
    <w:name w:val="111表格内"/>
    <w:basedOn w:val="1"/>
    <w:qFormat/>
    <w:uiPriority w:val="0"/>
    <w:pPr>
      <w:wordWrap w:val="0"/>
      <w:jc w:val="center"/>
    </w:pPr>
    <w:rPr>
      <w:rFonts w:ascii="Times New Roman" w:hAnsi="Times New Roman" w:eastAsia="宋体"/>
      <w:szCs w:val="21"/>
    </w:rPr>
  </w:style>
  <w:style w:type="character" w:customStyle="1" w:styleId="88">
    <w:name w:val="font71"/>
    <w:basedOn w:val="23"/>
    <w:qFormat/>
    <w:uiPriority w:val="0"/>
    <w:rPr>
      <w:rFonts w:hint="eastAsia" w:ascii="宋体" w:hAnsi="宋体" w:eastAsia="宋体" w:cs="宋体"/>
      <w:color w:val="506080"/>
      <w:sz w:val="8"/>
      <w:szCs w:val="8"/>
      <w:u w:val="none"/>
    </w:rPr>
  </w:style>
  <w:style w:type="character" w:customStyle="1" w:styleId="89">
    <w:name w:val="font112"/>
    <w:basedOn w:val="23"/>
    <w:qFormat/>
    <w:uiPriority w:val="0"/>
    <w:rPr>
      <w:rFonts w:hint="eastAsia" w:ascii="宋体" w:hAnsi="宋体" w:eastAsia="宋体" w:cs="宋体"/>
      <w:color w:val="303050"/>
      <w:sz w:val="8"/>
      <w:szCs w:val="8"/>
      <w:u w:val="none"/>
    </w:rPr>
  </w:style>
  <w:style w:type="character" w:customStyle="1" w:styleId="90">
    <w:name w:val="font131"/>
    <w:basedOn w:val="23"/>
    <w:qFormat/>
    <w:uiPriority w:val="0"/>
    <w:rPr>
      <w:rFonts w:hint="eastAsia" w:ascii="宋体" w:hAnsi="宋体" w:eastAsia="宋体" w:cs="宋体"/>
      <w:color w:val="3050B0"/>
      <w:sz w:val="8"/>
      <w:szCs w:val="8"/>
      <w:u w:val="none"/>
    </w:rPr>
  </w:style>
  <w:style w:type="character" w:customStyle="1" w:styleId="91">
    <w:name w:val="font141"/>
    <w:basedOn w:val="23"/>
    <w:qFormat/>
    <w:uiPriority w:val="0"/>
    <w:rPr>
      <w:rFonts w:hint="eastAsia" w:ascii="宋体" w:hAnsi="宋体" w:eastAsia="宋体" w:cs="宋体"/>
      <w:color w:val="305060"/>
      <w:sz w:val="8"/>
      <w:szCs w:val="8"/>
      <w:u w:val="none"/>
    </w:rPr>
  </w:style>
  <w:style w:type="character" w:customStyle="1" w:styleId="92">
    <w:name w:val="font111"/>
    <w:basedOn w:val="23"/>
    <w:qFormat/>
    <w:uiPriority w:val="0"/>
    <w:rPr>
      <w:rFonts w:hint="eastAsia" w:ascii="宋体" w:hAnsi="宋体" w:eastAsia="宋体" w:cs="宋体"/>
      <w:color w:val="305060"/>
      <w:sz w:val="8"/>
      <w:szCs w:val="8"/>
      <w:u w:val="none"/>
    </w:rPr>
  </w:style>
  <w:style w:type="character" w:customStyle="1" w:styleId="93">
    <w:name w:val="font122"/>
    <w:basedOn w:val="23"/>
    <w:qFormat/>
    <w:uiPriority w:val="0"/>
    <w:rPr>
      <w:rFonts w:hint="eastAsia" w:ascii="宋体" w:hAnsi="宋体" w:eastAsia="宋体" w:cs="宋体"/>
      <w:color w:val="405060"/>
      <w:sz w:val="8"/>
      <w:szCs w:val="8"/>
      <w:u w:val="none"/>
    </w:rPr>
  </w:style>
  <w:style w:type="paragraph" w:customStyle="1" w:styleId="94">
    <w:name w:val="小标题啊啊啊啊啊"/>
    <w:basedOn w:val="1"/>
    <w:qFormat/>
    <w:uiPriority w:val="0"/>
    <w:pPr>
      <w:adjustRightInd w:val="0"/>
      <w:snapToGrid w:val="0"/>
      <w:spacing w:line="520" w:lineRule="exact"/>
      <w:jc w:val="left"/>
    </w:pPr>
    <w:rPr>
      <w:rFonts w:ascii="Times New Roman" w:hAnsi="Times New Roman" w:eastAsia="宋体" w:cs="宋体"/>
      <w:b/>
      <w:kern w:val="0"/>
      <w:sz w:val="24"/>
    </w:rPr>
  </w:style>
  <w:style w:type="character" w:customStyle="1" w:styleId="95">
    <w:name w:val="15"/>
    <w:basedOn w:val="23"/>
    <w:qFormat/>
    <w:uiPriority w:val="0"/>
    <w:rPr>
      <w:rFonts w:hint="default" w:ascii="Times New Roman" w:hAnsi="Times New Roman" w:cs="Times New Roman"/>
    </w:rPr>
  </w:style>
  <w:style w:type="character" w:customStyle="1" w:styleId="96">
    <w:name w:val="10"/>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"/>
    </extobj>
  </extobjs>
</s:customData>
</file>

<file path=customXml/item2.xml><?xml version="1.0" encoding="utf-8"?>
<contractReview xmlns="http://schemas.wps.cn/vas-ai-hub/contract-review">
  <reviewItems>
    <reviewItem>
      <errorID>b5510c55-80a8-4bec-b6a9-be71f45ba146</errorID>
      <errorWord>-</errorWord>
      <group>L1_Format</group>
      <groupName>格式问题</groupName>
      <ability>L2_HalfPunc</ability>
      <abilityName>全半角检查</abilityName>
      <candidateList>
        <item>－</item>
      </candidateList>
      <explain>文本全半角错误。</explain>
      <paraID>14EBCA27</paraID>
      <start>23</start>
      <end>24</end>
      <status>unmodified</status>
      <modifiedWord/>
      <trackRevisions>false</trackRevisions>
    </reviewItem>
    <reviewItem>
      <errorID>692bf65c-0a8d-4a8f-b16b-9fb6b6fbb185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3D98375B</paraID>
      <start>4</start>
      <end>5</end>
      <status>unmodified</status>
      <modifiedWord/>
      <trackRevisions>false</trackRevisions>
    </reviewItem>
    <reviewItem>
      <errorID>72cbeb75-d6c9-4b13-985a-cb09e21e7dcc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675D2783</paraID>
      <start>2</start>
      <end>3</end>
      <status>unmodified</status>
      <modifiedWord/>
      <trackRevisions>false</trackRevisions>
    </reviewItem>
    <reviewItem>
      <errorID>1721c90f-9b56-4f6c-8c6a-a5ae078f47b4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1CD678D4</paraID>
      <start>4</start>
      <end>5</end>
      <status>unmodified</status>
      <modifiedWord/>
      <trackRevisions>false</trackRevisions>
    </reviewItem>
    <reviewItem>
      <errorID>34995859-f5bb-41e7-948d-ef72dc088588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49EB0F38</paraID>
      <start>2</start>
      <end>3</end>
      <status>unmodified</status>
      <modifiedWord/>
      <trackRevisions>false</trackRevisions>
    </reviewItem>
    <reviewItem>
      <errorID>430cb11a-5df7-4b2d-82bd-258977f683a6</errorID>
      <errorWord>                             </errorWord>
      <group>L1_Format</group>
      <groupName>格式问题</groupName>
      <ability>L2_Whitespace</ability>
      <abilityName>空白字符</abilityName>
      <candidateList>
        <item/>
      </candidateList>
      <explain>文本间存在多余的空白字符。</explain>
      <paraID>371CE736</paraID>
      <start>3</start>
      <end>32</end>
      <status>unmodified</status>
      <modifiedWord/>
      <trackRevisions>false</trackRevisions>
    </reviewItem>
    <reviewItem>
      <errorID>a0d17f0a-a344-4b14-a16c-cf82848d9bce</errorID>
      <errorWord> </errorWord>
      <group>L1_Format</group>
      <groupName>格式问题</groupName>
      <ability>L2_Whitespace</ability>
      <abilityName>空白字符</abilityName>
      <candidateList>
        <item/>
      </candidateList>
      <explain>文本间存在多余的空白字符。</explain>
      <paraID>5BEC0D97</paraID>
      <start>1</start>
      <end>2</end>
      <status>unmodified</status>
      <modifiedWord/>
      <trackRevisions>false</trackRevisions>
    </reviewItem>
    <reviewItem>
      <errorID>f486608f-7041-4e2f-ae86-78d0d8d29016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7DC8EDC9</paraID>
      <start>0</start>
      <end>2</end>
      <status>unmodified</status>
      <modifiedWord/>
      <trackRevisions>false</trackRevisions>
    </reviewItem>
    <reviewItem>
      <errorID>d16f04f8-9075-4853-aba0-9b65e745ed63</errorID>
      <errorWord> </errorWord>
      <group>L1_Format</group>
      <groupName>格式问题</groupName>
      <ability>L2_Whitespace</ability>
      <abilityName>空白字符</abilityName>
      <candidateList>
        <item/>
      </candidateList>
      <explain>文本间存在多余的空白字符。</explain>
      <paraID>7DC8EDC9</paraID>
      <start>71</start>
      <end>72</end>
      <status>unmodified</status>
      <modifiedWord/>
      <trackRevisions>false</trackRevisions>
    </reviewItem>
    <reviewItem>
      <errorID>e603540a-2ad4-4c14-8a9f-9124217cc4dc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4938C5D3</paraID>
      <start>0</start>
      <end>2</end>
      <status>unmodified</status>
      <modifiedWord/>
      <trackRevisions>false</trackRevisions>
    </reviewItem>
    <reviewItem>
      <errorID>e5f3a17c-d14e-41fc-ba4f-6617d6429642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40C462E9</paraID>
      <start>0</start>
      <end>2</end>
      <status>unmodified</status>
      <modifiedWord/>
      <trackRevisions>false</trackRevisions>
    </reviewItem>
    <reviewItem>
      <errorID>fc03d8aa-f610-46ab-bacb-ab7d1b982eb3</errorID>
      <errorWord>设</errorWord>
      <group>L1_Word</group>
      <groupName>字词问题</groupName>
      <ability>L2_Typo</ability>
      <abilityName>字词错误</abilityName>
      <candidateList>
        <item>设成</item>
      </candidateList>
      <explain/>
      <paraID>40C462E9</paraID>
      <start>17</start>
      <end>18</end>
      <status>unmodified</status>
      <modifiedWord/>
      <trackRevisions>false</trackRevisions>
    </reviewItem>
    <reviewItem>
      <errorID>9012e146-8dc6-4aca-aabc-88d8516acd97</errorID>
      <errorWord>规划化</errorWord>
      <group>L1_Word</group>
      <groupName>字词问题</groupName>
      <ability>L2_Typo</ability>
      <abilityName>字词错误</abilityName>
      <candidateList/>
      <explain>有错</explain>
      <paraID>40C462E9</paraID>
      <start>22</start>
      <end>25</end>
      <status>unmodified</status>
      <modifiedWord/>
      <trackRevisions>false</trackRevisions>
    </reviewItem>
    <reviewItem>
      <errorID>ee8a86a8-e663-4dc6-8b05-fe289be1c824</errorID>
      <errorWord> </errorWord>
      <group>L1_Format</group>
      <groupName>格式问题</groupName>
      <ability>L2_Whitespace</ability>
      <abilityName>空白字符</abilityName>
      <candidateList>
        <item/>
      </candidateList>
      <explain>文本间存在多余的空白字符。</explain>
      <paraID>57F852DF</paraID>
      <start>1</start>
      <end>2</end>
      <status>unmodified</status>
      <modifiedWord/>
      <trackRevisions>false</trackRevisions>
    </reviewItem>
    <reviewItem>
      <errorID>c7891021-57de-45ab-bc9e-ff1285c7a9f1</errorID>
      <errorWord> </errorWord>
      <group>L1_Format</group>
      <groupName>格式问题</groupName>
      <ability>L2_Whitespace</ability>
      <abilityName>空白字符</abilityName>
      <candidateList>
        <item/>
      </candidateList>
      <explain>文本间存在多余的空白字符。</explain>
      <paraID>3B6FAF6A</paraID>
      <start>50</start>
      <end>51</end>
      <status>unmodified</status>
      <modifiedWord/>
      <trackRevisions>false</trackRevisions>
    </reviewItem>
    <reviewItem>
      <errorID>4a5ffcb6-8edb-445f-8abf-0a6fa80e9655</errorID>
      <errorWord>  </errorWord>
      <group>L1_Format</group>
      <groupName>格式问题</groupName>
      <ability>L2_Whitespace</ability>
      <abilityName>空白字符</abilityName>
      <candidateList>
        <item/>
      </candidateList>
      <explain>文本间存在多余的空白字符。</explain>
      <paraID>7CD3E247</paraID>
      <start>4</start>
      <end>6</end>
      <status>unmodified</status>
      <modifiedWord/>
      <trackRevisions>false</trackRevisions>
    </reviewItem>
    <reviewItem>
      <errorID>e19863a2-45ad-4597-9307-54ae3858dd85</errorID>
      <errorWord> </errorWord>
      <group>L1_Format</group>
      <groupName>格式问题</groupName>
      <ability>L2_Whitespace</ability>
      <abilityName>空白字符</abilityName>
      <candidateList>
        <item/>
      </candidateList>
      <explain>文本间存在多余的空白字符。</explain>
      <paraID>39A014A6</paraID>
      <start>1</start>
      <end>2</end>
      <status>unmodified</status>
      <modifiedWord/>
      <trackRevisions>false</trackRevisions>
    </reviewItem>
    <reviewItem>
      <errorID>e510f2e9-5716-4632-9ae5-c2b16105842d</errorID>
      <errorWord>农业灌溉水有效利用系数</errorWord>
      <group>L1_Political</group>
      <groupName>政治性问题</groupName>
      <ability>L2_Keyword</ability>
      <abilityName>固定表述</abilityName>
      <candidateList>
        <item>农田灌溉水有效利用系数</item>
      </candidateList>
      <explain>词汇“农田灌溉水有效利用系数”在特定场景下为固定表述形式，请确认此处的“农业灌溉水有效利用系数”是否存在不当。</explain>
      <paraID>2E101B8A</paraID>
      <start>206</start>
      <end>217</end>
      <status>unmodified</status>
      <modifiedWord/>
      <trackRevisions>false</trackRevisions>
    </reviewItem>
    <reviewItem>
      <errorID>07a787c9-e212-44c6-baa4-dcf8303fde9a</errorID>
      <errorWord>农业灌溉水有效利用系数</errorWord>
      <group>L1_Political</group>
      <groupName>政治性问题</groupName>
      <ability>L2_Keyword</ability>
      <abilityName>固定表述</abilityName>
      <candidateList>
        <item>农田灌溉水有效利用系数</item>
      </candidateList>
      <explain>词汇“农田灌溉水有效利用系数”在特定场景下为固定表述形式，请确认此处的“农业灌溉水有效利用系数”是否存在不当。</explain>
      <paraID>5B9313C3</paraID>
      <start>26</start>
      <end>37</end>
      <status>unmodified</status>
      <modifiedWord/>
      <trackRevisions>false</trackRevisions>
    </reviewItem>
    <reviewItem>
      <errorID>ac661913-8ba1-4c78-98f0-8331831160f8</errorID>
      <errorWord> </errorWord>
      <group>L1_Format</group>
      <groupName>格式问题</groupName>
      <ability>L2_Whitespace</ability>
      <abilityName>空白字符</abilityName>
      <candidateList>
        <item/>
      </candidateList>
      <explain>文本间存在多余的空白字符。</explain>
      <paraID>54CAED93</paraID>
      <start>1</start>
      <end>2</end>
      <status>unmodified</status>
      <modifiedWord/>
      <trackRevisions>false</trackRevisions>
    </reviewItem>
    <reviewItem>
      <errorID>d2e68dc7-5f1f-4591-b42d-c2507e0156a5</errorID>
      <errorWord> </errorWord>
      <group>L1_Format</group>
      <groupName>格式问题</groupName>
      <ability>L2_Whitespace</ability>
      <abilityName>空白字符</abilityName>
      <candidateList>
        <item/>
      </candidateList>
      <explain>文本间存在多余的空白字符。</explain>
      <paraID>49359A04</paraID>
      <start>3</start>
      <end>4</end>
      <status>unmodified</status>
      <modifiedWord/>
      <trackRevisions>false</trackRevisions>
    </reviewItem>
    <reviewItem>
      <errorID>5b6496ca-8260-41d0-9445-6b34a279f6ce</errorID>
      <errorWord>城市应急和备用水源</errorWord>
      <group>L1_Political</group>
      <groupName>政治性问题</groupName>
      <ability>L2_Keyword</ability>
      <abilityName>固定表述</abilityName>
      <candidateList>
        <item>城市应急备用水源</item>
      </candidateList>
      <explain>词汇“城市应急备用水源”在特定场景下为固定表述形式，请确认此处的“城市应急和备用水源”是否存在不当。</explain>
      <paraID>5BA264D3</paraID>
      <start>189</start>
      <end>198</end>
      <status>unmodified</status>
      <modifiedWord/>
      <trackRevisions>false</trackRevisions>
    </reviewItem>
    <reviewItem>
      <errorID>ba987b3c-3ecd-46a6-821d-1b4b0f0e9b06</errorID>
      <errorWord> </errorWord>
      <group>L1_Format</group>
      <groupName>格式问题</groupName>
      <ability>L2_Whitespace</ability>
      <abilityName>空白字符</abilityName>
      <candidateList>
        <item/>
      </candidateList>
      <explain>文本间存在多余的空白字符。</explain>
      <paraID>4D11E000</paraID>
      <start>1</start>
      <end>2</end>
      <status>unmodified</status>
      <modifiedWord/>
      <trackRevisions>false</trackRevisions>
    </reviewItem>
    <reviewItem>
      <errorID>465ee7c3-5488-4fbb-b73c-857428bc8581</errorID>
      <errorWord>  </errorWord>
      <group>L1_Format</group>
      <groupName>格式问题</groupName>
      <ability>L2_Whitespace</ability>
      <abilityName>空白字符</abilityName>
      <candidateList>
        <item/>
      </candidateList>
      <explain>文本间存在多余的空白字符。</explain>
      <paraID>63EA443C</paraID>
      <start>4</start>
      <end>6</end>
      <status>unmodified</status>
      <modifiedWord/>
      <trackRevisions>false</trackRevisions>
    </reviewItem>
    <reviewItem>
      <errorID>69dfce1c-7ae5-43c8-81b6-f52567e9e52d</errorID>
      <errorWord>农业灌溉水有效利用系数</errorWord>
      <group>L1_Political</group>
      <groupName>政治性问题</groupName>
      <ability>L2_Keyword</ability>
      <abilityName>固定表述</abilityName>
      <candidateList>
        <item>农田灌溉水有效利用系数</item>
      </candidateList>
      <explain>词汇“农田灌溉水有效利用系数”在特定场景下为固定表述形式，请确认此处的“农业灌溉水有效利用系数”是否存在不当。</explain>
      <paraID>44197AF6</paraID>
      <start>2</start>
      <end>13</end>
      <status>unmodified</status>
      <modifiedWord/>
      <trackRevisions>false</trackRevisions>
    </reviewItem>
    <reviewItem>
      <errorID>b607fbf0-ed27-4a10-8e41-97b0dc0492a2</errorID>
      <errorWord>  </errorWord>
      <group>L1_Format</group>
      <groupName>格式问题</groupName>
      <ability>L2_Whitespace</ability>
      <abilityName>空白字符</abilityName>
      <candidateList>
        <item/>
      </candidateList>
      <explain>文本间存在多余的空白字符。</explain>
      <paraID>4A0769A8</paraID>
      <start>4</start>
      <end>6</end>
      <status>unmodified</status>
      <modifiedWord/>
      <trackRevisions>false</trackRevisions>
    </reviewItem>
    <reviewItem>
      <errorID>85c4e9da-4158-485f-8c67-a6d6a53e456f</errorID>
      <errorWord>  </errorWord>
      <group>L1_Format</group>
      <groupName>格式问题</groupName>
      <ability>L2_Whitespace</ability>
      <abilityName>空白字符</abilityName>
      <candidateList>
        <item/>
      </candidateList>
      <explain>文本间存在多余的空白字符。</explain>
      <paraID>6A1F9D94</paraID>
      <start>4</start>
      <end>6</end>
      <status>unmodified</status>
      <modifiedWord/>
      <trackRevisions>false</trackRevisions>
    </reviewItem>
    <reviewItem>
      <errorID>4f6921ad-42db-41e6-ab86-2647bee87c05</errorID>
      <errorWord> </errorWord>
      <group>L1_Format</group>
      <groupName>格式问题</groupName>
      <ability>L2_Whitespace</ability>
      <abilityName>空白字符</abilityName>
      <candidateList>
        <item/>
      </candidateList>
      <explain>文本间存在多余的空白字符。</explain>
      <paraID>5AF311E1</paraID>
      <start>143</start>
      <end>144</end>
      <status>unmodified</status>
      <modifiedWord/>
      <trackRevisions>false</trackRevisions>
    </reviewItem>
    <reviewItem>
      <errorID>39a52feb-f106-4442-aa76-03b89e951e78</errorID>
      <errorWord> </errorWord>
      <group>L1_Format</group>
      <groupName>格式问题</groupName>
      <ability>L2_Whitespace</ability>
      <abilityName>空白字符</abilityName>
      <candidateList>
        <item/>
      </candidateList>
      <explain>文本间存在多余的空白字符。</explain>
      <paraID>5AF311E1</paraID>
      <start>148</start>
      <end>149</end>
      <status>unmodified</status>
      <modifiedWord/>
      <trackRevisions>false</trackRevisions>
    </reviewItem>
    <reviewItem>
      <errorID>e7b07570-09ad-4bd4-906f-da673acdb7fc</errorID>
      <errorWord>  </errorWord>
      <group>L1_Format</group>
      <groupName>格式问题</groupName>
      <ability>L2_Whitespace</ability>
      <abilityName>空白字符</abilityName>
      <candidateList>
        <item/>
      </candidateList>
      <explain>文本间存在多余的空白字符。</explain>
      <paraID>6BEF6958</paraID>
      <start>4</start>
      <end>6</end>
      <status>unmodified</status>
      <modifiedWord/>
      <trackRevisions>false</trackRevisions>
    </reviewItem>
    <reviewItem>
      <errorID>99f29bee-538c-40bc-b477-56a167a3236b</errorID>
      <errorWord> </errorWord>
      <group>L1_Format</group>
      <groupName>格式问题</groupName>
      <ability>L2_Whitespace</ability>
      <abilityName>空白字符</abilityName>
      <candidateList>
        <item/>
      </candidateList>
      <explain>文本间存在多余的空白字符。</explain>
      <paraID>64AC883F</paraID>
      <start>5</start>
      <end>6</end>
      <status>unmodified</status>
      <modifiedWord/>
      <trackRevisions>false</trackRevisions>
    </reviewItem>
    <reviewItem>
      <errorID>bd93436d-bf94-4cc8-81a9-53993ac9060f</errorID>
      <errorWord> </errorWord>
      <group>L1_Format</group>
      <groupName>格式问题</groupName>
      <ability>L2_Whitespace</ability>
      <abilityName>空白字符</abilityName>
      <candidateList>
        <item/>
      </candidateList>
      <explain>文本间存在多余的空白字符。</explain>
      <paraID>  EC17EE</paraID>
      <start>5</start>
      <end>6</end>
      <status>unmodified</status>
      <modifiedWord/>
      <trackRevisions>false</trackRevisions>
    </reviewItem>
    <reviewItem>
      <errorID>58edb0eb-bdf8-43e0-8efc-53f66cf99140</errorID>
      <errorWord> </errorWord>
      <group>L1_Format</group>
      <groupName>格式问题</groupName>
      <ability>L2_Whitespace</ability>
      <abilityName>空白字符</abilityName>
      <candidateList>
        <item/>
      </candidateList>
      <explain>文本间存在多余的空白字符。</explain>
      <paraID>126E3AF4</paraID>
      <start>5</start>
      <end>6</end>
      <status>unmodified</status>
      <modifiedWord/>
      <trackRevisions>false</trackRevisions>
    </reviewItem>
    <reviewItem>
      <errorID>53e89ae1-9491-4298-bc2b-6b88c366ad38</errorID>
      <errorWord> </errorWord>
      <group>L1_Format</group>
      <groupName>格式问题</groupName>
      <ability>L2_Whitespace</ability>
      <abilityName>空白字符</abilityName>
      <candidateList>
        <item/>
      </candidateList>
      <explain>文本间存在多余的空白字符。</explain>
      <paraID>16DBFA24</paraID>
      <start>1</start>
      <end>2</end>
      <status>unmodified</status>
      <modifiedWord/>
      <trackRevisions>false</trackRevisions>
    </reviewItem>
    <reviewItem>
      <errorID>b2c97204-e9f4-4897-bbf0-7dea16e2f538</errorID>
      <errorWord>  </errorWord>
      <group>L1_Format</group>
      <groupName>格式问题</groupName>
      <ability>L2_Whitespace</ability>
      <abilityName>空白字符</abilityName>
      <candidateList>
        <item/>
      </candidateList>
      <explain>文本间存在多余的空白字符。</explain>
      <paraID>39F8D953</paraID>
      <start>4</start>
      <end>6</end>
      <status>unmodified</status>
      <modifiedWord/>
      <trackRevisions>false</trackRevisions>
    </reviewItem>
    <reviewItem>
      <errorID>7d3f6ab1-4f1e-4eeb-b8d6-344efc6ffe86</errorID>
      <errorWord> </errorWord>
      <group>L1_Format</group>
      <groupName>格式问题</groupName>
      <ability>L2_Whitespace</ability>
      <abilityName>空白字符</abilityName>
      <candidateList>
        <item/>
      </candidateList>
      <explain>文本间存在多余的空白字符。</explain>
      <paraID>676826E4</paraID>
      <start>3</start>
      <end>4</end>
      <status>unmodified</status>
      <modifiedWord/>
      <trackRevisions>false</trackRevisions>
    </reviewItem>
    <reviewItem>
      <errorID>c468b349-7630-418f-baa5-fa7a119905d3</errorID>
      <errorWord> </errorWord>
      <group>L1_Format</group>
      <groupName>格式问题</groupName>
      <ability>L2_Whitespace</ability>
      <abilityName>空白字符</abilityName>
      <candidateList>
        <item/>
      </candidateList>
      <explain>文本间存在多余的空白字符。</explain>
      <paraID>47376955</paraID>
      <start>3</start>
      <end>4</end>
      <status>unmodified</status>
      <modifiedWord/>
      <trackRevisions>false</trackRevisions>
    </reviewItem>
    <reviewItem>
      <errorID>8279ab90-10f7-45d2-bb27-af9c108ac2b4</errorID>
      <errorWord> </errorWord>
      <group>L1_Format</group>
      <groupName>格式问题</groupName>
      <ability>L2_Whitespace</ability>
      <abilityName>空白字符</abilityName>
      <candidateList>
        <item/>
      </candidateList>
      <explain>文本间存在多余的空白字符。</explain>
      <paraID>6EC0144D</paraID>
      <start>3</start>
      <end>4</end>
      <status>unmodified</status>
      <modifiedWord/>
      <trackRevisions>false</trackRevisions>
    </reviewItem>
    <reviewItem>
      <errorID>348e3ee5-2d15-4821-9c8a-cb45fb41b7b9</errorID>
      <errorWord> </errorWord>
      <group>L1_Format</group>
      <groupName>格式问题</groupName>
      <ability>L2_Whitespace</ability>
      <abilityName>空白字符</abilityName>
      <candidateList>
        <item/>
      </candidateList>
      <explain>文本间存在多余的空白字符。</explain>
      <paraID>7228D743</paraID>
      <start>4</start>
      <end>5</end>
      <status>unmodified</status>
      <modifiedWord/>
      <trackRevisions>false</trackRevisions>
    </reviewItem>
    <reviewItem>
      <errorID>6ee15364-5126-481a-9b91-cb41c0f5cf5b</errorID>
      <errorWord> </errorWord>
      <group>L1_Format</group>
      <groupName>格式问题</groupName>
      <ability>L2_Whitespace</ability>
      <abilityName>空白字符</abilityName>
      <candidateList>
        <item/>
      </candidateList>
      <explain>文本间存在多余的空白字符。</explain>
      <paraID>7A4FD105</paraID>
      <start>1</start>
      <end>2</end>
      <status>unmodified</status>
      <modifiedWord/>
      <trackRevisions>false</trackRevisions>
    </reviewItem>
    <reviewItem>
      <errorID>556f776b-380f-47f4-98a0-ff7480d06756</errorID>
      <errorWord>  </errorWord>
      <group>L1_Format</group>
      <groupName>格式问题</groupName>
      <ability>L2_Whitespace</ability>
      <abilityName>空白字符</abilityName>
      <candidateList>
        <item/>
      </candidateList>
      <explain>文本间存在多余的空白字符。</explain>
      <paraID>3FE7518D</paraID>
      <start>4</start>
      <end>6</end>
      <status>unmodified</status>
      <modifiedWord/>
      <trackRevisions>false</trackRevisions>
    </reviewItem>
    <reviewItem>
      <errorID>16438c6f-d9b7-4189-8348-9269ee7a801b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4662A40A</paraID>
      <start>59</start>
      <end>60</end>
      <status>unmodified</status>
      <modifiedWord/>
      <trackRevisions>false</trackRevisions>
    </reviewItem>
    <reviewItem>
      <errorID>0fa55cee-195d-4084-a466-99af3b6055a4</errorID>
      <errorWord> </errorWord>
      <group>L1_Format</group>
      <groupName>格式问题</groupName>
      <ability>L2_Whitespace</ability>
      <abilityName>空白字符</abilityName>
      <candidateList>
        <item/>
      </candidateList>
      <explain>文本间存在多余的空白字符。</explain>
      <paraID> 381232D</paraID>
      <start>5</start>
      <end>6</end>
      <status>unmodified</status>
      <modifiedWord/>
      <trackRevisions>false</trackRevisions>
    </reviewItem>
    <reviewItem>
      <errorID>2c6afaa2-8282-4751-ab5f-dd776e6268fc</errorID>
      <errorWord>雇用当</errorWord>
      <group>L1_Word</group>
      <groupName>字词问题</groupName>
      <ability>L2_Typo</ability>
      <abilityName>字词错误</abilityName>
      <candidateList>
        <item>雇用</item>
      </candidateList>
      <explain>〈动〉出钱让人为自己做事：～临时工。</explain>
      <paraID> AF4ABB6</paraID>
      <start>22</start>
      <end>25</end>
      <status>unmodified</status>
      <modifiedWord/>
      <trackRevisions>false</trackRevisions>
    </reviewItem>
    <reviewItem>
      <errorID>32b5cd68-f9a7-4f1e-a9ea-cdfb1e597f4e</errorID>
      <errorWord> </errorWord>
      <group>L1_Format</group>
      <groupName>格式问题</groupName>
      <ability>L2_Whitespace</ability>
      <abilityName>空白字符</abilityName>
      <candidateList>
        <item/>
      </candidateList>
      <explain>文本间存在多余的空白字符。</explain>
      <paraID>6B849C55</paraID>
      <start>5</start>
      <end>6</end>
      <status>unmodified</status>
      <modifiedWord/>
      <trackRevisions>false</trackRevisions>
    </reviewItem>
    <reviewItem>
      <errorID>a691a843-179c-4286-a132-adf5c1613858</errorID>
      <errorWord>后与</errorWord>
      <group>L1_Word</group>
      <groupName>字词问题</groupName>
      <ability>L2_Typo</ability>
      <abilityName>字词错误</abilityName>
      <candidateList>
        <item>后由</item>
      </candidateList>
      <explain/>
      <paraID>580F27AB</paraID>
      <start>42</start>
      <end>44</end>
      <status>unmodified</status>
      <modifiedWord/>
      <trackRevisions>false</trackRevisions>
    </reviewItem>
    <reviewItem>
      <errorID>92a1ed0b-3291-43ae-bec5-d0e4f9f6af6a</errorID>
      <errorWord> </errorWord>
      <group>L1_Format</group>
      <groupName>格式问题</groupName>
      <ability>L2_Whitespace</ability>
      <abilityName>空白字符</abilityName>
      <candidateList>
        <item/>
      </candidateList>
      <explain>文本间存在多余的空白字符。</explain>
      <paraID>2FF09D04</paraID>
      <start>1</start>
      <end>2</end>
      <status>unmodified</status>
      <modifiedWord/>
      <trackRevisions>false</trackRevisions>
    </reviewItem>
    <reviewItem>
      <errorID>4be4f40b-1932-4272-8e94-e49887bb06d8</errorID>
      <errorWord> </errorWord>
      <group>L1_Format</group>
      <groupName>格式问题</groupName>
      <ability>L2_Whitespace</ability>
      <abilityName>空白字符</abilityName>
      <candidateList>
        <item/>
      </candidateList>
      <explain>文本间存在多余的空白字符。</explain>
      <paraID>25EBDC11</paraID>
      <start>1</start>
      <end>2</end>
      <status>unmodified</status>
      <modifiedWord/>
      <trackRevisions>false</trackRevisions>
    </reviewItem>
    <reviewItem>
      <errorID>13059863-b124-4dc4-bc6d-e892b32416ba</errorID>
      <errorWord> </errorWord>
      <group>L1_Format</group>
      <groupName>格式问题</groupName>
      <ability>L2_Whitespace</ability>
      <abilityName>空白字符</abilityName>
      <candidateList>
        <item/>
      </candidateList>
      <explain>文本间存在多余的空白字符。</explain>
      <paraID>4829FC16</paraID>
      <start>1</start>
      <end>2</end>
      <status>unmodified</status>
      <modifiedWord/>
      <trackRevisions>false</trackRevisions>
    </reviewItem>
    <reviewItem>
      <errorID>38e409d1-92b0-4b0b-8990-a7e9cf7031b2</errorID>
      <errorWord>  </errorWord>
      <group>L1_Format</group>
      <groupName>格式问题</groupName>
      <ability>L2_Whitespace</ability>
      <abilityName>空白字符</abilityName>
      <candidateList>
        <item/>
      </candidateList>
      <explain>文本间存在多余的空白字符。</explain>
      <paraID>21430D5A</paraID>
      <start>4</start>
      <end>6</end>
      <status>unmodified</status>
      <modifiedWord/>
      <trackRevisions>false</trackRevisions>
    </reviewItem>
    <reviewItem>
      <errorID>b5d596f1-896c-4a58-aba9-142f04f47478</errorID>
      <errorWord> </errorWord>
      <group>L1_Format</group>
      <groupName>格式问题</groupName>
      <ability>L2_Whitespace</ability>
      <abilityName>空白字符</abilityName>
      <candidateList>
        <item/>
      </candidateList>
      <explain>文本间存在多余的空白字符。</explain>
      <paraID>76E22631</paraID>
      <start>1</start>
      <end>2</end>
      <status>unmodified</status>
      <modifiedWord/>
      <trackRevisions>false</trackRevisions>
    </reviewItem>
    <reviewItem>
      <errorID>ff15059c-31ab-41ea-a364-278f76388bc5</errorID>
      <errorWord>-</errorWord>
      <group>L1_Format</group>
      <groupName>格式问题</groupName>
      <ability>L2_HalfPunc</ability>
      <abilityName>全半角检查</abilityName>
      <candidateList>
        <item>－</item>
      </candidateList>
      <explain>文本全半角错误。</explain>
      <paraID>18FA55D1</paraID>
      <start>98</start>
      <end>99</end>
      <status>unmodified</status>
      <modifiedWord/>
      <trackRevisions>false</trackRevisions>
    </reviewItem>
    <reviewItem>
      <errorID>d2058c0d-8b28-4a9e-affe-8ab760201759</errorID>
      <errorWord> </errorWord>
      <group>L1_Format</group>
      <groupName>格式问题</groupName>
      <ability>L2_Whitespace</ability>
      <abilityName>空白字符</abilityName>
      <candidateList>
        <item/>
      </candidateList>
      <explain>文本间存在多余的空白字符。</explain>
      <paraID>3625E4A4</paraID>
      <start>1</start>
      <end>2</end>
      <status>unmodified</status>
      <modifiedWord/>
      <trackRevisions>false</trackRevisions>
    </reviewItem>
    <reviewItem>
      <errorID>c3a448f6-2d4e-4a8b-9828-3c389e954bf9</errorID>
      <errorWord>  </errorWord>
      <group>L1_Format</group>
      <groupName>格式问题</groupName>
      <ability>L2_Whitespace</ability>
      <abilityName>空白字符</abilityName>
      <candidateList>
        <item/>
      </candidateList>
      <explain>文本间存在多余的空白字符。</explain>
      <paraID>5BF8B755</paraID>
      <start>4</start>
      <end>6</end>
      <status>unmodified</status>
      <modifiedWord/>
      <trackRevisions>false</trackRevisions>
    </reviewItem>
    <reviewItem>
      <errorID>a35c502f-66ad-4aa5-8266-68d2e626e3c9</errorID>
      <errorWord>  </errorWord>
      <group>L1_Format</group>
      <groupName>格式问题</groupName>
      <ability>L2_Whitespace</ability>
      <abilityName>空白字符</abilityName>
      <candidateList>
        <item/>
      </candidateList>
      <explain>文本间存在多余的空白字符。</explain>
      <paraID>6669493F</paraID>
      <start>4</start>
      <end>6</end>
      <status>unmodified</status>
      <modifiedWord/>
      <trackRevisions>false</trackRevisions>
    </reviewItem>
    <reviewItem>
      <errorID>bf7ab2ce-af9d-46c0-8ba6-1200024996af</errorID>
      <errorWord> </errorWord>
      <group>L1_Format</group>
      <groupName>格式问题</groupName>
      <ability>L2_Whitespace</ability>
      <abilityName>空白字符</abilityName>
      <candidateList>
        <item/>
      </candidateList>
      <explain>文本间存在多余的空白字符。</explain>
      <paraID>3CF97D74</paraID>
      <start>1</start>
      <end>2</end>
      <status>unmodified</status>
      <modifiedWord/>
      <trackRevisions>false</trackRevisions>
    </reviewItem>
    <reviewItem>
      <errorID>1fcad754-5b8b-4dbb-92ad-c48b417b5365</errorID>
      <errorWord>  </errorWord>
      <group>L1_Format</group>
      <groupName>格式问题</groupName>
      <ability>L2_Whitespace</ability>
      <abilityName>空白字符</abilityName>
      <candidateList>
        <item/>
      </candidateList>
      <explain>文本间存在多余的空白字符。</explain>
      <paraID>44F3D972</paraID>
      <start>4</start>
      <end>6</end>
      <status>unmodified</status>
      <modifiedWord/>
      <trackRevisions>false</trackRevisions>
    </reviewItem>
    <reviewItem>
      <errorID>eed0c520-3f62-41d5-9581-ff7ae33b3e30</errorID>
      <errorWord> </errorWord>
      <group>L1_Format</group>
      <groupName>格式问题</groupName>
      <ability>L2_Whitespace</ability>
      <abilityName>空白字符</abilityName>
      <candidateList>
        <item/>
      </candidateList>
      <explain>文本间存在多余的空白字符。</explain>
      <paraID>146E9840</paraID>
      <start>1</start>
      <end>2</end>
      <status>unmodified</status>
      <modifiedWord/>
      <trackRevisions>false</trackRevisions>
    </reviewItem>
    <reviewItem>
      <errorID>8ee18a6b-9974-40c2-bf4f-a464d87b9768</errorID>
      <errorWord> </errorWord>
      <group>L1_Format</group>
      <groupName>格式问题</groupName>
      <ability>L2_Whitespace</ability>
      <abilityName>空白字符</abilityName>
      <candidateList>
        <item/>
      </candidateList>
      <explain>文本间存在多余的空白字符。</explain>
      <paraID>2C278240</paraID>
      <start>1</start>
      <end>2</end>
      <status>unmodified</status>
      <modifiedWord/>
      <trackRevisions>false</trackRevisions>
    </reviewItem>
    <reviewItem>
      <errorID>a62b90f7-b246-40d2-8298-4650ed006a5e</errorID>
      <errorWord> </errorWord>
      <group>L1_Format</group>
      <groupName>格式问题</groupName>
      <ability>L2_Whitespace</ability>
      <abilityName>空白字符</abilityName>
      <candidateList>
        <item/>
      </candidateList>
      <explain>文本间存在多余的空白字符。</explain>
      <paraID>2B433C6F</paraID>
      <start>3</start>
      <end>4</end>
      <status>unmodified</status>
      <modifiedWord/>
      <trackRevisions>false</trackRevisions>
    </reviewItem>
    <reviewItem>
      <errorID>66e15481-3530-445f-9a8e-f0912992c330</errorID>
      <errorWord> </errorWord>
      <group>L1_Format</group>
      <groupName>格式问题</groupName>
      <ability>L2_Whitespace</ability>
      <abilityName>空白字符</abilityName>
      <candidateList>
        <item/>
      </candidateList>
      <explain>文本间存在多余的空白字符。</explain>
      <paraID>373C41F9</paraID>
      <start>3</start>
      <end>4</end>
      <status>unmodified</status>
      <modifiedWord/>
      <trackRevisions>false</trackRevisions>
    </reviewItem>
    <reviewItem>
      <errorID>b7d25849-e420-4888-8135-99b7e05111b8</errorID>
      <errorWord> </errorWord>
      <group>L1_Format</group>
      <groupName>格式问题</groupName>
      <ability>L2_Whitespace</ability>
      <abilityName>空白字符</abilityName>
      <candidateList>
        <item/>
      </candidateList>
      <explain>文本间存在多余的空白字符。</explain>
      <paraID>2CFA1503</paraID>
      <start>3</start>
      <end>4</end>
      <status>unmodified</status>
      <modifiedWord/>
      <trackRevisions>false</trackRevisions>
    </reviewItem>
    <reviewItem>
      <errorID>53ba87f7-c370-4423-bb9e-f8e8f1cc8ded</errorID>
      <errorWord>-</errorWord>
      <group>L1_Format</group>
      <groupName>格式问题</groupName>
      <ability>L2_HalfPunc</ability>
      <abilityName>全半角检查</abilityName>
      <candidateList>
        <item>－</item>
      </candidateList>
      <explain>文本全半角错误。</explain>
      <paraID> 65DD191</paraID>
      <start>89</start>
      <end>90</end>
      <status>unmodified</status>
      <modifiedWord/>
      <trackRevisions>false</trackRevisions>
    </reviewItem>
    <reviewItem>
      <errorID>dad0ea39-5331-4237-ba05-dde66e924816</errorID>
      <errorWord>  </errorWord>
      <group>L1_Format</group>
      <groupName>格式问题</groupName>
      <ability>L2_Whitespace</ability>
      <abilityName>空白字符</abilityName>
      <candidateList>
        <item/>
      </candidateList>
      <explain>文本间存在多余的空白字符。</explain>
      <paraID>5FEF919A</paraID>
      <start>4</start>
      <end>6</end>
      <status>unmodified</status>
      <modifiedWord/>
      <trackRevisions>false</trackRevisions>
    </reviewItem>
    <reviewItem>
      <errorID>58e05c16-b75c-4ec2-8210-5d90e560d89a</errorID>
      <errorWord>（</errorWord>
      <group>L1_Format</group>
      <groupName>格式问题</groupName>
      <ability>L2_HalfPunc</ability>
      <abilityName>全半角检查</abilityName>
      <candidateList>
        <item>(</item>
      </candidateList>
      <explain>文本全半角错误。</explain>
      <paraID>61FE9E25</paraID>
      <start>0</start>
      <end>1</end>
      <status>unmodified</status>
      <modifiedWord/>
      <trackRevisions>false</trackRevisions>
    </reviewItem>
    <reviewItem>
      <errorID>c150dc6d-a47b-4b38-a94e-8bae3e99704a</errorID>
      <errorWord>）</errorWord>
      <group>L1_Format</group>
      <groupName>格式问题</groupName>
      <ability>L2_HalfPunc</ability>
      <abilityName>全半角检查</abilityName>
      <candidateList>
        <item>)</item>
      </candidateList>
      <explain>文本全半角错误。</explain>
      <paraID>61FE9E25</paraID>
      <start>5</start>
      <end>6</end>
      <status>unmodified</status>
      <modifiedWord/>
      <trackRevisions>false</trackRevisions>
    </reviewItem>
    <reviewItem>
      <errorID>04929955-1853-4e80-8d12-248ef832460f</errorID>
      <errorWord> </errorWord>
      <group>L1_Format</group>
      <groupName>格式问题</groupName>
      <ability>L2_Whitespace</ability>
      <abilityName>空白字符</abilityName>
      <candidateList>
        <item/>
      </candidateList>
      <explain>文本间存在多余的空白字符。</explain>
      <paraID>2C6014F8</paraID>
      <start>1</start>
      <end>2</end>
      <status>unmodified</status>
      <modifiedWord/>
      <trackRevisions>false</trackRevisions>
    </reviewItem>
    <reviewItem>
      <errorID>fb1e8bdd-22c9-4229-ab82-eeccf3c21beb</errorID>
      <errorWord> </errorWord>
      <group>L1_Format</group>
      <groupName>格式问题</groupName>
      <ability>L2_Whitespace</ability>
      <abilityName>空白字符</abilityName>
      <candidateList>
        <item/>
      </candidateList>
      <explain>文本间存在多余的空白字符。</explain>
      <paraID>3EE0382F</paraID>
      <start>3</start>
      <end>4</end>
      <status>unmodified</status>
      <modifiedWord/>
      <trackRevisions>false</trackRevisions>
    </reviewItem>
    <reviewItem>
      <errorID>ea0b0cc9-f168-42dd-9c27-bedd8096de36</errorID>
      <errorWord> </errorWord>
      <group>L1_Format</group>
      <groupName>格式问题</groupName>
      <ability>L2_Whitespace</ability>
      <abilityName>空白字符</abilityName>
      <candidateList>
        <item/>
      </candidateList>
      <explain>文本间存在多余的空白字符。</explain>
      <paraID>11AABA28</paraID>
      <start>3</start>
      <end>4</end>
      <status>unmodified</status>
      <modifiedWord/>
      <trackRevisions>false</trackRevisions>
    </reviewItem>
    <reviewItem>
      <errorID>a0b514e4-f315-493d-bcfa-6089eee98a5c</errorID>
      <errorWord> </errorWord>
      <group>L1_Format</group>
      <groupName>格式问题</groupName>
      <ability>L2_Whitespace</ability>
      <abilityName>空白字符</abilityName>
      <candidateList>
        <item/>
      </candidateList>
      <explain>文本间存在多余的空白字符。</explain>
      <paraID>4B00E9A0</paraID>
      <start>1</start>
      <end>2</end>
      <status>unmodified</status>
      <modifiedWord/>
      <trackRevisions>false</trackRevisions>
    </reviewItem>
    <reviewItem>
      <errorID>0e38dfca-c374-425c-9dcd-a6a0f6ec38f6</errorID>
      <errorWord>  </errorWord>
      <group>L1_Format</group>
      <groupName>格式问题</groupName>
      <ability>L2_Whitespace</ability>
      <abilityName>空白字符</abilityName>
      <candidateList>
        <item/>
      </candidateList>
      <explain>文本间存在多余的空白字符。</explain>
      <paraID>140DA44A</paraID>
      <start>4</start>
      <end>6</end>
      <status>unmodified</status>
      <modifiedWord/>
      <trackRevisions>false</trackRevisions>
    </reviewItem>
    <reviewItem>
      <errorID>3cad18ed-d7ff-4d39-82ad-becfee086031</errorID>
      <errorWord> </errorWord>
      <group>L1_Format</group>
      <groupName>格式问题</groupName>
      <ability>L2_Whitespace</ability>
      <abilityName>空白字符</abilityName>
      <candidateList>
        <item/>
      </candidateList>
      <explain>文本间存在多余的空白字符。</explain>
      <paraID> D9CB122</paraID>
      <start>1</start>
      <end>2</end>
      <status>unmodified</status>
      <modifiedWord/>
      <trackRevisions>false</trackRevisions>
    </reviewItem>
    <reviewItem>
      <errorID>edd1fc40-eb4b-4a69-bf17-d6000d7d3f1c</errorID>
      <errorWord>  </errorWord>
      <group>L1_Format</group>
      <groupName>格式问题</groupName>
      <ability>L2_Whitespace</ability>
      <abilityName>空白字符</abilityName>
      <candidateList>
        <item/>
      </candidateList>
      <explain>文本间存在多余的空白字符。</explain>
      <paraID>1361545E</paraID>
      <start>4</start>
      <end>6</end>
      <status>unmodified</status>
      <modifiedWord/>
      <trackRevisions>false</trackRevisions>
    </reviewItem>
    <reviewItem>
      <errorID>726277b1-8f64-4646-a04a-7c4de0da1e4a</errorID>
      <errorWord>  </errorWord>
      <group>L1_Format</group>
      <groupName>格式问题</groupName>
      <ability>L2_Whitespace</ability>
      <abilityName>空白字符</abilityName>
      <candidateList>
        <item/>
      </candidateList>
      <explain>文本间存在多余的空白字符。</explain>
      <paraID>1361545E</paraID>
      <start>12</start>
      <end>14</end>
      <status>unmodified</status>
      <modifiedWord/>
      <trackRevisions>false</trackRevisions>
    </reviewItem>
    <reviewItem>
      <errorID>6cafcd94-5d2d-4744-9695-523a81e52833</errorID>
      <errorWord> </errorWord>
      <group>L1_Format</group>
      <groupName>格式问题</groupName>
      <ability>L2_Whitespace</ability>
      <abilityName>空白字符</abilityName>
      <candidateList>
        <item/>
      </candidateList>
      <explain>文本间存在多余的空白字符。</explain>
      <paraID>3192FE31</paraID>
      <start>1</start>
      <end>2</end>
      <status>unmodified</status>
      <modifiedWord/>
      <trackRevisions>false</trackRevisions>
    </reviewItem>
    <reviewItem>
      <errorID>f596a20f-7f4d-4497-a892-8f2c09573427</errorID>
      <errorWord>  </errorWord>
      <group>L1_Format</group>
      <groupName>格式问题</groupName>
      <ability>L2_Whitespace</ability>
      <abilityName>空白字符</abilityName>
      <candidateList>
        <item/>
      </candidateList>
      <explain>文本间存在多余的空白字符。</explain>
      <paraID>728C1CD7</paraID>
      <start>5</start>
      <end>7</end>
      <status>unmodified</status>
      <modifiedWord/>
      <trackRevisions>false</trackRevisions>
    </reviewItem>
    <reviewItem>
      <errorID>18be2446-34f4-4043-a1b4-bc16b1556aec</errorID>
      <errorWord> </errorWord>
      <group>L1_Format</group>
      <groupName>格式问题</groupName>
      <ability>L2_Whitespace</ability>
      <abilityName>空白字符</abilityName>
      <candidateList>
        <item/>
      </candidateList>
      <explain>文本间存在多余的空白字符。</explain>
      <paraID> 139B176</paraID>
      <start>1</start>
      <end>2</end>
      <status>unmodified</status>
      <modifiedWord/>
      <trackRevisions>false</trackRevisions>
    </reviewItem>
    <reviewItem>
      <errorID>ab7f6e54-1018-4883-b354-bcc2a0db7317</errorID>
      <errorWord> </errorWord>
      <group>L1_Format</group>
      <groupName>格式问题</groupName>
      <ability>L2_Whitespace</ability>
      <abilityName>空白字符</abilityName>
      <candidateList>
        <item/>
      </candidateList>
      <explain>文本间存在多余的空白字符。</explain>
      <paraID>323A3A87</paraID>
      <start>1</start>
      <end>2</end>
      <status>unmodified</status>
      <modifiedWord/>
      <trackRevisions>false</trackRevisions>
    </reviewItem>
    <reviewItem>
      <errorID>259bfe85-78fc-46ef-b3d4-862cfb5712bd</errorID>
      <errorWord>  </errorWord>
      <group>L1_Format</group>
      <groupName>格式问题</groupName>
      <ability>L2_Whitespace</ability>
      <abilityName>空白字符</abilityName>
      <candidateList>
        <item/>
      </candidateList>
      <explain>文本间存在多余的空白字符。</explain>
      <paraID>  E8434D</paraID>
      <start>4</start>
      <end>6</end>
      <status>unmodified</status>
      <modifiedWord/>
      <trackRevisions>false</trackRevisions>
    </reviewItem>
    <reviewItem>
      <errorID>73dc06b5-5b77-4c31-bbf5-270db17a7d51</errorID>
      <errorWord> </errorWord>
      <group>L1_Format</group>
      <groupName>格式问题</groupName>
      <ability>L2_Whitespace</ability>
      <abilityName>空白字符</abilityName>
      <candidateList>
        <item/>
      </candidateList>
      <explain>文本间存在多余的空白字符。</explain>
      <paraID>7A5532C7</paraID>
      <start>1</start>
      <end>2</end>
      <status>unmodified</status>
      <modifiedWord/>
      <trackRevisions>false</trackRevisions>
    </reviewItem>
    <reviewItem>
      <errorID>c937b142-e0a4-48ef-b27b-caa261093a36</errorID>
      <errorWord>  </errorWord>
      <group>L1_Format</group>
      <groupName>格式问题</groupName>
      <ability>L2_Whitespace</ability>
      <abilityName>空白字符</abilityName>
      <candidateList>
        <item/>
      </candidateList>
      <explain>文本间存在多余的空白字符。</explain>
      <paraID>26A3247A</paraID>
      <start>4</start>
      <end>6</end>
      <status>unmodified</status>
      <modifiedWord/>
      <trackRevisions>false</trackRevisions>
    </reviewItem>
    <reviewItem>
      <errorID>dd76ea46-30c5-4538-9dcd-4f819f0c8b2c</errorID>
      <errorWord> </errorWord>
      <group>L1_Format</group>
      <groupName>格式问题</groupName>
      <ability>L2_Whitespace</ability>
      <abilityName>空白字符</abilityName>
      <candidateList>
        <item/>
      </candidateList>
      <explain>文本间存在多余的空白字符。</explain>
      <paraID> 268551C</paraID>
      <start>2</start>
      <end>3</end>
      <status>unmodified</status>
      <modifiedWord/>
      <trackRevisions>false</trackRevisions>
    </reviewItem>
    <reviewItem>
      <errorID>e80d08d8-3eb3-444f-b306-4ad6e144197a</errorID>
      <errorWord> </errorWord>
      <group>L1_Format</group>
      <groupName>格式问题</groupName>
      <ability>L2_Whitespace</ability>
      <abilityName>空白字符</abilityName>
      <candidateList>
        <item/>
      </candidateList>
      <explain>文本间存在多余的空白字符。</explain>
      <paraID>276C1153</paraID>
      <start>1</start>
      <end>2</end>
      <status>unmodified</status>
      <modifiedWord/>
      <trackRevisions>false</trackRevisions>
    </reviewItem>
    <reviewItem>
      <errorID>2d1e798f-86fb-4d92-9209-e8ec725b84e3</errorID>
      <errorWord> </errorWord>
      <group>L1_Format</group>
      <groupName>格式问题</groupName>
      <ability>L2_Whitespace</ability>
      <abilityName>空白字符</abilityName>
      <candidateList>
        <item/>
      </candidateList>
      <explain>文本间存在多余的空白字符。</explain>
      <paraID>61098A23</paraID>
      <start>3</start>
      <end>4</end>
      <status>unmodified</status>
      <modifiedWord/>
      <trackRevisions>false</trackRevisions>
    </reviewItem>
    <reviewItem>
      <errorID>d9c3b190-322c-40f3-b18c-b88ed61e7fff</errorID>
      <errorWord> </errorWord>
      <group>L1_Format</group>
      <groupName>格式问题</groupName>
      <ability>L2_Whitespace</ability>
      <abilityName>空白字符</abilityName>
      <candidateList>
        <item/>
      </candidateList>
      <explain>文本间存在多余的空白字符。</explain>
      <paraID>49037C62</paraID>
      <start>3</start>
      <end>4</end>
      <status>unmodified</status>
      <modifiedWord/>
      <trackRevisions>false</trackRevisions>
    </reviewItem>
    <reviewItem>
      <errorID>f1225692-9a9b-4951-b86a-74b23868520d</errorID>
      <errorWord> </errorWord>
      <group>L1_Format</group>
      <groupName>格式问题</groupName>
      <ability>L2_Whitespace</ability>
      <abilityName>空白字符</abilityName>
      <candidateList>
        <item/>
      </candidateList>
      <explain>文本间存在多余的空白字符。</explain>
      <paraID>16EE3228</paraID>
      <start>3</start>
      <end>4</end>
      <status>unmodified</status>
      <modifiedWord/>
      <trackRevisions>false</trackRevisions>
    </reviewItem>
    <reviewItem>
      <errorID>eeebf046-091a-4f94-8d13-57a9edb53ca7</errorID>
      <errorWord> </errorWord>
      <group>L1_Format</group>
      <groupName>格式问题</groupName>
      <ability>L2_Whitespace</ability>
      <abilityName>空白字符</abilityName>
      <candidateList>
        <item/>
      </candidateList>
      <explain>文本间存在多余的空白字符。</explain>
      <paraID>3F9513C2</paraID>
      <start>3</start>
      <end>4</end>
      <status>unmodified</status>
      <modifiedWord/>
      <trackRevisions>false</trackRevisions>
    </reviewItem>
    <reviewItem>
      <errorID>7b3dce74-deca-4de8-865a-ed3e342e6499</errorID>
      <errorWord> </errorWord>
      <group>L1_Format</group>
      <groupName>格式问题</groupName>
      <ability>L2_Whitespace</ability>
      <abilityName>空白字符</abilityName>
      <candidateList>
        <item/>
      </candidateList>
      <explain>文本间存在多余的空白字符。</explain>
      <paraID>2A5650D3</paraID>
      <start>3</start>
      <end>4</end>
      <status>unmodified</status>
      <modifiedWord/>
      <trackRevisions>false</trackRevisions>
    </reviewItem>
    <reviewItem>
      <errorID>4a34488a-7bc7-4f6b-beff-f44aa26659ed</errorID>
      <errorWord> </errorWord>
      <group>L1_Format</group>
      <groupName>格式问题</groupName>
      <ability>L2_Whitespace</ability>
      <abilityName>空白字符</abilityName>
      <candidateList>
        <item/>
      </candidateList>
      <explain>文本间存在多余的空白字符。</explain>
      <paraID>6C4DBE6A</paraID>
      <start>3</start>
      <end>4</end>
      <status>unmodified</status>
      <modifiedWord/>
      <trackRevisions>false</trackRevisions>
    </reviewItem>
    <reviewItem>
      <errorID>be8b11ad-5f77-4831-a011-1fab016395d2</errorID>
      <errorWord> </errorWord>
      <group>L1_Format</group>
      <groupName>格式问题</groupName>
      <ability>L2_Whitespace</ability>
      <abilityName>空白字符</abilityName>
      <candidateList>
        <item/>
      </candidateList>
      <explain>文本间存在多余的空白字符。</explain>
      <paraID>43ABA771</paraID>
      <start>1</start>
      <end>2</end>
      <status>unmodified</status>
      <modifiedWord/>
      <trackRevisions>false</trackRevisions>
    </reviewItem>
    <reviewItem>
      <errorID>62837d65-88d3-4c17-90c4-287243243ca0</errorID>
      <errorWord> </errorWord>
      <group>L1_Format</group>
      <groupName>格式问题</groupName>
      <ability>L2_Whitespace</ability>
      <abilityName>空白字符</abilityName>
      <candidateList>
        <item/>
      </candidateList>
      <explain>文本间存在多余的空白字符。</explain>
      <paraID>220580C1</paraID>
      <start>1</start>
      <end>2</end>
      <status>unmodified</status>
      <modifiedWord/>
      <trackRevisions>false</trackRevisions>
    </reviewItem>
    <reviewItem>
      <errorID>14aa1121-460b-453e-9b7e-105c00a5e15c</errorID>
      <errorWord> </errorWord>
      <group>L1_Format</group>
      <groupName>格式问题</groupName>
      <ability>L2_Whitespace</ability>
      <abilityName>空白字符</abilityName>
      <candidateList>
        <item/>
      </candidateList>
      <explain>文本间存在多余的空白字符。</explain>
      <paraID>5BD2A66C</paraID>
      <start>1</start>
      <end>2</end>
      <status>unmodified</status>
      <modifiedWord/>
      <trackRevisions>false</trackRevisions>
    </reviewItem>
    <reviewItem>
      <errorID>abf4f1ff-e510-40d2-bbe1-3b4663c7121b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17D7C311</paraID>
      <start>15</start>
      <end>16</end>
      <status>unmodified</status>
      <modifiedWord/>
      <trackRevisions>false</trackRevisions>
    </reviewItem>
    <reviewItem>
      <errorID>4928cd75-0009-4f74-b68d-e4a986b7e578</errorID>
      <errorWord>  </errorWord>
      <group>L1_Format</group>
      <groupName>格式问题</groupName>
      <ability>L2_Whitespace</ability>
      <abilityName>空白字符</abilityName>
      <candidateList>
        <item/>
      </candidateList>
      <explain>文本间存在多余的空白字符。</explain>
      <paraID>5E2B077F</paraID>
      <start>4</start>
      <end>6</end>
      <status>unmodified</status>
      <modifiedWord/>
      <trackRevisions>false</trackRevisions>
    </reviewItem>
    <reviewItem>
      <errorID>69db4a86-935a-4e9e-8c7d-626a4ff4253a</errorID>
      <errorWord> </errorWord>
      <group>L1_Format</group>
      <groupName>格式问题</groupName>
      <ability>L2_Whitespace</ability>
      <abilityName>空白字符</abilityName>
      <candidateList>
        <item/>
      </candidateList>
      <explain>文本间存在多余的空白字符。</explain>
      <paraID> BD5B3CC</paraID>
      <start>1</start>
      <end>2</end>
      <status>unmodified</status>
      <modifiedWord/>
      <trackRevisions>false</trackRevisions>
    </reviewItem>
    <reviewItem>
      <errorID>ef97e7bd-03e7-4b2b-8757-73ffc397fa29</errorID>
      <errorWord> </errorWord>
      <group>L1_Format</group>
      <groupName>格式问题</groupName>
      <ability>L2_Whitespace</ability>
      <abilityName>空白字符</abilityName>
      <candidateList>
        <item/>
      </candidateList>
      <explain>文本间存在多余的空白字符。</explain>
      <paraID>319EB662</paraID>
      <start>1</start>
      <end>2</end>
      <status>unmodified</status>
      <modifiedWord/>
      <trackRevisions>false</trackRevisions>
    </reviewItem>
    <reviewItem>
      <errorID>5de7e3a5-0792-468b-a6ad-ac49b1a5cb5f</errorID>
      <errorWord> </errorWord>
      <group>L1_Format</group>
      <groupName>格式问题</groupName>
      <ability>L2_Whitespace</ability>
      <abilityName>空白字符</abilityName>
      <candidateList>
        <item/>
      </candidateList>
      <explain>文本间存在多余的空白字符。</explain>
      <paraID>2559215E</paraID>
      <start>1</start>
      <end>2</end>
      <status>unmodified</status>
      <modifiedWord/>
      <trackRevisions>false</trackRevisions>
    </reviewItem>
    <reviewItem>
      <errorID>0f137115-9219-4652-8f5a-100c57885888</errorID>
      <errorWord>  </errorWord>
      <group>L1_Format</group>
      <groupName>格式问题</groupName>
      <ability>L2_Whitespace</ability>
      <abilityName>空白字符</abilityName>
      <candidateList>
        <item/>
      </candidateList>
      <explain>文本间存在多余的空白字符。</explain>
      <paraID>2421FEE9</paraID>
      <start>4</start>
      <end>6</end>
      <status>unmodified</status>
      <modifiedWord/>
      <trackRevisions>false</trackRevisions>
    </reviewItem>
    <reviewItem>
      <errorID>63dc789b-21d5-4d51-80d6-026436312752</errorID>
      <errorWord> </errorWord>
      <group>L1_Format</group>
      <groupName>格式问题</groupName>
      <ability>L2_Whitespace</ability>
      <abilityName>空白字符</abilityName>
      <candidateList>
        <item/>
      </candidateList>
      <explain>文本间存在多余的空白字符。</explain>
      <paraID>771DE9C5</paraID>
      <start>1</start>
      <end>2</end>
      <status>unmodified</status>
      <modifiedWord/>
      <trackRevisions>false</trackRevisions>
    </reviewItem>
    <reviewItem>
      <errorID>5b28e76e-aa25-4653-956c-283c98a49c4c</errorID>
      <errorWord> </errorWord>
      <group>L1_Format</group>
      <groupName>格式问题</groupName>
      <ability>L2_Whitespace</ability>
      <abilityName>空白字符</abilityName>
      <candidateList>
        <item/>
      </candidateList>
      <explain>文本间存在多余的空白字符。</explain>
      <paraID>39AE6CAD</paraID>
      <start>3</start>
      <end>4</end>
      <status>unmodified</status>
      <modifiedWord/>
      <trackRevisions>false</trackRevisions>
    </reviewItem>
    <reviewItem>
      <errorID>484b4cce-fe0a-4d2b-bf97-bbbc47003b7e</errorID>
      <errorWord> </errorWord>
      <group>L1_Format</group>
      <groupName>格式问题</groupName>
      <ability>L2_Whitespace</ability>
      <abilityName>空白字符</abilityName>
      <candidateList>
        <item/>
      </candidateList>
      <explain>文本间存在多余的空白字符。</explain>
      <paraID>782BE7CB</paraID>
      <start>3</start>
      <end>4</end>
      <status>unmodified</status>
      <modifiedWord/>
      <trackRevisions>false</trackRevisions>
    </reviewItem>
    <reviewItem>
      <errorID>e5ed8ed0-07f7-43ac-b162-e2d9041aafe9</errorID>
      <errorWord> </errorWord>
      <group>L1_Format</group>
      <groupName>格式问题</groupName>
      <ability>L2_Whitespace</ability>
      <abilityName>空白字符</abilityName>
      <candidateList>
        <item/>
      </candidateList>
      <explain>文本间存在多余的空白字符。</explain>
      <paraID>5AE81879</paraID>
      <start>3</start>
      <end>4</end>
      <status>unmodified</status>
      <modifiedWord/>
      <trackRevisions>false</trackRevisions>
    </reviewItem>
    <reviewItem>
      <errorID>f435e6e6-8da3-4092-ad6d-f4e6addc18b9</errorID>
      <errorWord> </errorWord>
      <group>L1_Format</group>
      <groupName>格式问题</groupName>
      <ability>L2_Whitespace</ability>
      <abilityName>空白字符</abilityName>
      <candidateList>
        <item/>
      </candidateList>
      <explain>文本间存在多余的空白字符。</explain>
      <paraID> 5007BF1</paraID>
      <start>1</start>
      <end>2</end>
      <status>unmodified</status>
      <modifiedWord/>
      <trackRevisions>false</trackRevisions>
    </reviewItem>
    <reviewItem>
      <errorID>26133764-5893-4130-b7c9-c1e2b8bd5ffe</errorID>
      <errorWord> </errorWord>
      <group>L1_Format</group>
      <groupName>格式问题</groupName>
      <ability>L2_Whitespace</ability>
      <abilityName>空白字符</abilityName>
      <candidateList>
        <item/>
      </candidateList>
      <explain>文本间存在多余的空白字符。</explain>
      <paraID>4EA08D7D</paraID>
      <start>3</start>
      <end>4</end>
      <status>unmodified</status>
      <modifiedWord/>
      <trackRevisions>false</trackRevisions>
    </reviewItem>
    <reviewItem>
      <errorID>594ded93-10f4-4a90-9462-2dc1fdac14b1</errorID>
      <errorWord>  </errorWord>
      <group>L1_Format</group>
      <groupName>格式问题</groupName>
      <ability>L2_Whitespace</ability>
      <abilityName>空白字符</abilityName>
      <candidateList>
        <item/>
      </candidateList>
      <explain>文本间存在多余的空白字符。</explain>
      <paraID>522066ED</paraID>
      <start>4</start>
      <end>6</end>
      <status>unmodified</status>
      <modifiedWord/>
      <trackRevisions>false</trackRevisions>
    </reviewItem>
    <reviewItem>
      <errorID>54021b50-04f0-49e6-8d97-2870044b7ad2</errorID>
      <errorWord> </errorWord>
      <group>L1_Format</group>
      <groupName>格式问题</groupName>
      <ability>L2_Whitespace</ability>
      <abilityName>空白字符</abilityName>
      <candidateList>
        <item/>
      </candidateList>
      <explain>文本间存在多余的空白字符。</explain>
      <paraID>2C8D7958</paraID>
      <start>3</start>
      <end>4</end>
      <status>unmodified</status>
      <modifiedWord/>
      <trackRevisions>false</trackRevisions>
    </reviewItem>
    <reviewItem>
      <errorID>91a205e1-bc86-4ddd-b193-f90f2669053f</errorID>
      <errorWord>  </errorWord>
      <group>L1_Format</group>
      <groupName>格式问题</groupName>
      <ability>L2_Whitespace</ability>
      <abilityName>空白字符</abilityName>
      <candidateList>
        <item/>
      </candidateList>
      <explain>文本间存在多余的空白字符。</explain>
      <paraID>3E757BD0</paraID>
      <start>4</start>
      <end>6</end>
      <status>unmodified</status>
      <modifiedWord/>
      <trackRevisions>false</trackRevisions>
    </reviewItem>
    <reviewItem>
      <errorID>4bb230bf-1cfe-41fb-b42b-5092df098ba2</errorID>
      <errorWord> </errorWord>
      <group>L1_Format</group>
      <groupName>格式问题</groupName>
      <ability>L2_Whitespace</ability>
      <abilityName>空白字符</abilityName>
      <candidateList>
        <item/>
      </candidateList>
      <explain>文本间存在多余的空白字符。</explain>
      <paraID>5DB7FE30</paraID>
      <start>3</start>
      <end>4</end>
      <status>unmodified</status>
      <modifiedWord/>
      <trackRevisions>false</trackRevisions>
    </reviewItem>
    <reviewItem>
      <errorID>09a82c29-322e-4674-ad30-396de7425b0b</errorID>
      <errorWord> </errorWord>
      <group>L1_Format</group>
      <groupName>格式问题</groupName>
      <ability>L2_Whitespace</ability>
      <abilityName>空白字符</abilityName>
      <candidateList>
        <item/>
      </candidateList>
      <explain>文本间存在多余的空白字符。</explain>
      <paraID>38DC59A4</paraID>
      <start>1</start>
      <end>2</end>
      <status>unmodified</status>
      <modifiedWord/>
      <trackRevisions>false</trackRevisions>
    </reviewItem>
    <reviewItem>
      <errorID>a240f635-413a-4762-9440-34fe3e35cd32</errorID>
      <errorWord> </errorWord>
      <group>L1_Format</group>
      <groupName>格式问题</groupName>
      <ability>L2_Whitespace</ability>
      <abilityName>空白字符</abilityName>
      <candidateList>
        <item/>
      </candidateList>
      <explain>文本间存在多余的空白字符。</explain>
      <paraID>6293CA28</paraID>
      <start>3</start>
      <end>4</end>
      <status>unmodified</status>
      <modifiedWord/>
      <trackRevisions>false</trackRevisions>
    </reviewItem>
    <reviewItem>
      <errorID>2599a4a6-8ee5-4e06-8b12-62b67226993a</errorID>
      <errorWord> </errorWord>
      <group>L1_Format</group>
      <groupName>格式问题</groupName>
      <ability>L2_Whitespace</ability>
      <abilityName>空白字符</abilityName>
      <candidateList>
        <item/>
      </candidateList>
      <explain>文本间存在多余的空白字符。</explain>
      <paraID>1569D1C2</paraID>
      <start>3</start>
      <end>4</end>
      <status>unmodified</status>
      <modifiedWord/>
      <trackRevisions>false</trackRevisions>
    </reviewItem>
    <reviewItem>
      <errorID>e320d6a1-f718-47ec-a13d-b37f703f2617</errorID>
      <errorWord> </errorWord>
      <group>L1_Format</group>
      <groupName>格式问题</groupName>
      <ability>L2_Whitespace</ability>
      <abilityName>空白字符</abilityName>
      <candidateList>
        <item/>
      </candidateList>
      <explain>文本间存在多余的空白字符。</explain>
      <paraID> E0F2AF2</paraID>
      <start>3</start>
      <end>4</end>
      <status>unmodified</status>
      <modifiedWord/>
      <trackRevisions>false</trackRevisions>
    </reviewItem>
    <reviewItem>
      <errorID>7d459e4e-9e9e-4502-aefb-1a5f756fe3a5</errorID>
      <errorWord>迫害</errorWord>
      <group>L1_Word</group>
      <groupName>字词问题</groupName>
      <ability>L2_Typo</ability>
      <abilityName>字词错误</abilityName>
      <candidateList>
        <item>破坏</item>
      </candidateList>
      <explain>〈动〉❶使建筑物等损坏：～桥梁｜～文物。❷使事物受到损害：～生产｜～名誉。❸变革（社会制度、风俗习惯等）。❹违反（规章、条约等）：～协定｜～规矩。❺（物体的组织或结构）损坏：维生素C因受热而～。</explain>
      <paraID>534C29BF</paraID>
      <start>85</start>
      <end>87</end>
      <status>unmodified</status>
      <modifiedWord/>
      <trackRevisions>false</trackRevisions>
    </reviewItem>
    <reviewItem>
      <errorID>a80e3adc-ba00-4ab6-8ea4-1ac82ed5edb5</errorID>
      <errorWord> </errorWord>
      <group>L1_Format</group>
      <groupName>格式问题</groupName>
      <ability>L2_Whitespace</ability>
      <abilityName>空白字符</abilityName>
      <candidateList>
        <item/>
      </candidateList>
      <explain>文本间存在多余的空白字符。</explain>
      <paraID>798C4A9F</paraID>
      <start>3</start>
      <end>4</end>
      <status>unmodified</status>
      <modifiedWord/>
      <trackRevisions>false</trackRevisions>
    </reviewItem>
    <reviewItem>
      <errorID>1ed03ede-77ac-4d48-9e7e-85be636ef8c3</errorID>
      <errorWord> </errorWord>
      <group>L1_Format</group>
      <groupName>格式问题</groupName>
      <ability>L2_Whitespace</ability>
      <abilityName>空白字符</abilityName>
      <candidateList>
        <item/>
      </candidateList>
      <explain>文本间存在多余的空白字符。</explain>
      <paraID>769C720C</paraID>
      <start>3</start>
      <end>4</end>
      <status>unmodified</status>
      <modifiedWord/>
      <trackRevisions>false</trackRevisions>
    </reviewItem>
    <reviewItem>
      <errorID>06cd4390-d1cc-4738-abc6-56b322e1ffa1</errorID>
      <errorWord>程</errorWord>
      <group>L1_Word</group>
      <groupName>字词问题</groupName>
      <ability>L2_Typo</ability>
      <abilityName>字词错误</abilityName>
      <candidateList>
        <item>程中</item>
      </candidateList>
      <explain/>
      <paraID>17BB0D05</paraID>
      <start>120</start>
      <end>121</end>
      <status>unmodified</status>
      <modifiedWord/>
      <trackRevisions>false</trackRevisions>
    </reviewItem>
    <reviewItem>
      <errorID>6288a52b-b813-49d2-a481-97c46fe704f6</errorID>
      <errorWord> </errorWord>
      <group>L1_Format</group>
      <groupName>格式问题</groupName>
      <ability>L2_Whitespace</ability>
      <abilityName>空白字符</abilityName>
      <candidateList>
        <item/>
      </candidateList>
      <explain>文本间存在多余的空白字符。</explain>
      <paraID>77006A3E</paraID>
      <start>3</start>
      <end>4</end>
      <status>unmodified</status>
      <modifiedWord/>
      <trackRevisions>false</trackRevisions>
    </reviewItem>
    <reviewItem>
      <errorID>014c9ec2-33b0-477f-a2a9-93f6fd5e49c1</errorID>
      <errorWord> </errorWord>
      <group>L1_Format</group>
      <groupName>格式问题</groupName>
      <ability>L2_Whitespace</ability>
      <abilityName>空白字符</abilityName>
      <candidateList>
        <item/>
      </candidateList>
      <explain>文本间存在多余的空白字符。</explain>
      <paraID>3B807BFB</paraID>
      <start>3</start>
      <end>4</end>
      <status>unmodified</status>
      <modifiedWord/>
      <trackRevisions>false</trackRevisions>
    </reviewItem>
    <reviewItem>
      <errorID>1107980c-dd1a-4ce5-9ee9-089ddfe4db74</errorID>
      <errorWord> </errorWord>
      <group>L1_Format</group>
      <groupName>格式问题</groupName>
      <ability>L2_Whitespace</ability>
      <abilityName>空白字符</abilityName>
      <candidateList>
        <item/>
      </candidateList>
      <explain>文本间存在多余的空白字符。</explain>
      <paraID>2317FDCE</paraID>
      <start>1</start>
      <end>2</end>
      <status>unmodified</status>
      <modifiedWord/>
      <trackRevisions>false</trackRevisions>
    </reviewItem>
    <reviewItem>
      <errorID>79c3465a-ab84-4abe-a7e7-dca89435ca19</errorID>
      <errorWord> </errorWord>
      <group>L1_Format</group>
      <groupName>格式问题</groupName>
      <ability>L2_Whitespace</ability>
      <abilityName>空白字符</abilityName>
      <candidateList>
        <item/>
      </candidateList>
      <explain>文本间存在多余的空白字符。</explain>
      <paraID>1321F4B2</paraID>
      <start>3</start>
      <end>4</end>
      <status>unmodified</status>
      <modifiedWord/>
      <trackRevisions>false</trackRevisions>
    </reviewItem>
    <reviewItem>
      <errorID>235b42a3-9cd8-44da-a921-31da5a146759</errorID>
      <errorWord>     </errorWord>
      <group>L1_Format</group>
      <groupName>格式问题</groupName>
      <ability>L2_Whitespace</ability>
      <abilityName>空白字符</abilityName>
      <candidateList>
        <item/>
      </candidateList>
      <explain>文本间存在多余的空白字符。</explain>
      <paraID>47BA1A62</paraID>
      <start>4</start>
      <end>9</end>
      <status>unmodified</status>
      <modifiedWord/>
      <trackRevisions>false</trackRevisions>
    </reviewItem>
    <reviewItem>
      <errorID>de6b1446-edd7-4df6-b4de-2c921d8efc3e</errorID>
      <errorWord>  </errorWord>
      <group>L1_Format</group>
      <groupName>格式问题</groupName>
      <ability>L2_Whitespace</ability>
      <abilityName>空白字符</abilityName>
      <candidateList>
        <item/>
      </candidateList>
      <explain>文本间存在多余的空白字符。</explain>
      <paraID>1C366A6C</paraID>
      <start>4</start>
      <end>6</end>
      <status>unmodified</status>
      <modifiedWord/>
      <trackRevisions>false</trackRevisions>
    </reviewItem>
    <reviewItem>
      <errorID>edac36cb-9f98-433f-98b4-633a41d54c97</errorID>
      <errorWord>   </errorWord>
      <group>L1_Format</group>
      <groupName>格式问题</groupName>
      <ability>L2_Whitespace</ability>
      <abilityName>空白字符</abilityName>
      <candidateList>
        <item/>
      </candidateList>
      <explain>文本间存在多余的空白字符。</explain>
      <paraID>1C366A6C</paraID>
      <start>23</start>
      <end>26</end>
      <status>unmodified</status>
      <modifiedWord/>
      <trackRevisions>false</trackRevisions>
    </reviewItem>
    <reviewItem>
      <errorID>840667a4-e86a-4aad-8164-3171b7a81732</errorID>
      <errorWord> </errorWord>
      <group>L1_Format</group>
      <groupName>格式问题</groupName>
      <ability>L2_Whitespace</ability>
      <abilityName>空白字符</abilityName>
      <candidateList>
        <item/>
      </candidateList>
      <explain>文本间存在多余的空白字符。</explain>
      <paraID>183B008F</paraID>
      <start>3</start>
      <end>4</end>
      <status>unmodified</status>
      <modifiedWord/>
      <trackRevisions>false</trackRevisions>
    </reviewItem>
    <reviewItem>
      <errorID>3fc1e78d-8e7e-47e4-a7a9-d40fe9d2d53f</errorID>
      <errorWord>   </errorWord>
      <group>L1_Format</group>
      <groupName>格式问题</groupName>
      <ability>L2_Whitespace</ability>
      <abilityName>空白字符</abilityName>
      <candidateList>
        <item/>
      </candidateList>
      <explain>文本间存在多余的空白字符。</explain>
      <paraID>6E5CA80C</paraID>
      <start>4</start>
      <end>7</end>
      <status>unmodified</status>
      <modifiedWord/>
      <trackRevisions>false</trackRevisions>
    </reviewItem>
    <reviewItem>
      <errorID>b84c5455-d597-4655-bce9-bd35505007d1</errorID>
      <errorWord> </errorWord>
      <group>L1_Format</group>
      <groupName>格式问题</groupName>
      <ability>L2_Whitespace</ability>
      <abilityName>空白字符</abilityName>
      <candidateList>
        <item/>
      </candidateList>
      <explain>文本间存在多余的空白字符。</explain>
      <paraID>2365B6F9</paraID>
      <start>1</start>
      <end>2</end>
      <status>unmodified</status>
      <modifiedWord/>
      <trackRevisions>false</trackRevisions>
    </reviewItem>
    <reviewItem>
      <errorID>e55db96e-4b73-4d6c-89af-01306742f26c</errorID>
      <errorWord> </errorWord>
      <group>L1_Format</group>
      <groupName>格式问题</groupName>
      <ability>L2_Whitespace</ability>
      <abilityName>空白字符</abilityName>
      <candidateList>
        <item/>
      </candidateList>
      <explain>文本间存在多余的空白字符。</explain>
      <paraID>1D9B6C3E</paraID>
      <start>1</start>
      <end>2</end>
      <status>unmodified</status>
      <modifiedWord/>
      <trackRevisions>false</trackRevisions>
    </reviewItem>
    <reviewItem>
      <errorID>608b1236-00be-4548-bf49-f6d9c949e96e</errorID>
      <errorWord>   </errorWord>
      <group>L1_Format</group>
      <groupName>格式问题</groupName>
      <ability>L2_Whitespace</ability>
      <abilityName>空白字符</abilityName>
      <candidateList>
        <item/>
      </candidateList>
      <explain>文本间存在多余的空白字符。</explain>
      <paraID>513C291F</paraID>
      <start>4</start>
      <end>7</end>
      <status>unmodified</status>
      <modifiedWord/>
      <trackRevisions>false</trackRevisions>
    </reviewItem>
    <reviewItem>
      <errorID>ea3f6cae-43c9-434b-b893-aa572381f627</errorID>
      <errorWord>  </errorWord>
      <group>L1_Format</group>
      <groupName>格式问题</groupName>
      <ability>L2_Whitespace</ability>
      <abilityName>空白字符</abilityName>
      <candidateList>
        <item/>
      </candidateList>
      <explain>文本间存在多余的空白字符。</explain>
      <paraID>707F5A3F</paraID>
      <start>4</start>
      <end>6</end>
      <status>unmodified</status>
      <modifiedWord/>
      <trackRevisions>false</trackRevisions>
    </reviewItem>
    <reviewItem>
      <errorID>5a965184-ca0f-414d-b75d-1106c3bd4dd1</errorID>
      <errorWord> </errorWord>
      <group>L1_Format</group>
      <groupName>格式问题</groupName>
      <ability>L2_Whitespace</ability>
      <abilityName>空白字符</abilityName>
      <candidateList>
        <item/>
      </candidateList>
      <explain>文本间存在多余的空白字符。</explain>
      <paraID>5E92EB0E</paraID>
      <start>1</start>
      <end>2</end>
      <status>unmodified</status>
      <modifiedWord/>
      <trackRevisions>false</trackRevisions>
    </reviewItem>
    <reviewItem>
      <errorID>84f3b0a4-e422-4a62-a32f-cc9e128c4490</errorID>
      <errorWord>，</errorWord>
      <group>L1_Word</group>
      <groupName>字词问题</groupName>
      <ability>L2_Typo</ability>
      <abilityName>字词错误</abilityName>
      <candidateList>
        <item>，将</item>
      </candidateList>
      <explain/>
      <paraID>25D59DF3</paraID>
      <start>69</start>
      <end>70</end>
      <status>unmodified</status>
      <modifiedWord/>
      <trackRevisions>false</trackRevisions>
    </reviewItem>
    <reviewItem>
      <errorID>99e622ef-3638-4627-8752-f2a0d2caade4</errorID>
      <errorWord> </errorWord>
      <group>L1_Format</group>
      <groupName>格式问题</groupName>
      <ability>L2_Whitespace</ability>
      <abilityName>空白字符</abilityName>
      <candidateList>
        <item/>
      </candidateList>
      <explain>文本间存在多余的空白字符。</explain>
      <paraID>3E8BDE11</paraID>
      <start>1</start>
      <end>2</end>
      <status>unmodified</status>
      <modifiedWord/>
      <trackRevisions>false</trackRevisions>
    </reviewItem>
    <reviewItem>
      <errorID>32a6755a-015b-4a99-a791-2027812265f7</errorID>
      <errorWord>提高</errorWord>
      <group>L1_Grammar</group>
      <groupName>语法问题</groupName>
      <ability>L2_Grammar</ability>
      <abilityName>语法错误</abilityName>
      <candidateList>
        <item>增强</item>
      </candidateList>
      <explain>“提高～意识”搭配不当，建议修改为“增强～意识”。</explain>
      <paraID>15BC9F4B</paraID>
      <start>45</start>
      <end>47</end>
      <status>unmodified</status>
      <modifiedWord/>
      <trackRevisions>false</trackRevisions>
    </reviewItem>
    <reviewItem>
      <errorID>bd245a71-2ca5-4786-8ad5-ee1e2aca8b47</errorID>
      <errorWord> </errorWord>
      <group>L1_Format</group>
      <groupName>格式问题</groupName>
      <ability>L2_Whitespace</ability>
      <abilityName>空白字符</abilityName>
      <candidateList>
        <item/>
      </candidateList>
      <explain>文本间存在多余的空白字符。</explain>
      <paraID> B49532F</paraID>
      <start>3</start>
      <end>4</end>
      <status>unmodified</status>
      <modifiedWord/>
      <trackRevisions>false</trackRevisions>
    </reviewItem>
    <reviewItem>
      <errorID>a545946c-b220-4d80-a748-bf4f5351db05</errorID>
      <errorWord> </errorWord>
      <group>L1_Format</group>
      <groupName>格式问题</groupName>
      <ability>L2_Whitespace</ability>
      <abilityName>空白字符</abilityName>
      <candidateList>
        <item/>
      </candidateList>
      <explain>文本间存在多余的空白字符。</explain>
      <paraID>283589DC</paraID>
      <start>1</start>
      <end>2</end>
      <status>unmodified</status>
      <modifiedWord/>
      <trackRevisions>false</trackRevisions>
    </reviewItem>
    <reviewItem>
      <errorID>420ffbf5-f827-4509-b231-ef8743d7ca48</errorID>
      <errorWord> </errorWord>
      <group>L1_Format</group>
      <groupName>格式问题</groupName>
      <ability>L2_Whitespace</ability>
      <abilityName>空白字符</abilityName>
      <candidateList>
        <item/>
      </candidateList>
      <explain>文本间存在多余的空白字符。</explain>
      <paraID> C31DBF5</paraID>
      <start>3</start>
      <end>4</end>
      <status>unmodified</status>
      <modifiedWord/>
      <trackRevisions>false</trackRevisions>
    </reviewItem>
    <reviewItem>
      <errorID>7b6acfe3-3ab3-4885-ae37-eb51af1439e5</errorID>
      <errorWord> </errorWord>
      <group>L1_Format</group>
      <groupName>格式问题</groupName>
      <ability>L2_Whitespace</ability>
      <abilityName>空白字符</abilityName>
      <candidateList>
        <item/>
      </candidateList>
      <explain>文本间存在多余的空白字符。</explain>
      <paraID>28C27C58</paraID>
      <start>1</start>
      <end>2</end>
      <status>unmodified</status>
      <modifiedWord/>
      <trackRevisions>false</trackRevisions>
    </reviewItem>
    <reviewItem>
      <errorID>9a8d2497-7d1f-4f4d-ba89-d6ba60782b20</errorID>
      <errorWord> </errorWord>
      <group>L1_Format</group>
      <groupName>格式问题</groupName>
      <ability>L2_Whitespace</ability>
      <abilityName>空白字符</abilityName>
      <candidateList>
        <item/>
      </candidateList>
      <explain>文本间存在多余的空白字符。</explain>
      <paraID>5DF0A6F4</paraID>
      <start>1</start>
      <end>2</end>
      <status>unmodified</status>
      <modifiedWord/>
      <trackRevisions>false</trackRevisions>
    </reviewItem>
    <reviewItem>
      <errorID>4ac0184a-6e9e-4d2a-999f-7b9c5b5e9124</errorID>
      <errorWord> </errorWord>
      <group>L1_Format</group>
      <groupName>格式问题</groupName>
      <ability>L2_Whitespace</ability>
      <abilityName>空白字符</abilityName>
      <candidateList>
        <item/>
      </candidateList>
      <explain>文本间存在多余的空白字符。</explain>
      <paraID>688C47F5</paraID>
      <start>1</start>
      <end>2</end>
      <status>unmodified</status>
      <modifiedWord/>
      <trackRevisions>false</trackRevisions>
    </reviewItem>
    <reviewItem>
      <errorID>66234494-9493-492b-b984-a33fe7bd47c8</errorID>
      <errorWord> </errorWord>
      <group>L1_Format</group>
      <groupName>格式问题</groupName>
      <ability>L2_Whitespace</ability>
      <abilityName>空白字符</abilityName>
      <candidateList>
        <item/>
      </candidateList>
      <explain>文本间存在多余的空白字符。</explain>
      <paraID>29C9D2D8</paraID>
      <start>3</start>
      <end>4</end>
      <status>unmodified</status>
      <modifiedWord/>
      <trackRevisions>false</trackRevisions>
    </reviewItem>
    <reviewItem>
      <errorID>e090eb74-0e2b-4d8c-af41-4f4f40074b02</errorID>
      <errorWord> </errorWord>
      <group>L1_Format</group>
      <groupName>格式问题</groupName>
      <ability>L2_Whitespace</ability>
      <abilityName>空白字符</abilityName>
      <candidateList>
        <item/>
      </candidateList>
      <explain>文本间存在多余的空白字符。</explain>
      <paraID>715FF0A8</paraID>
      <start>3</start>
      <end>4</end>
      <status>unmodified</status>
      <modifiedWord/>
      <trackRevisions>false</trackRevisions>
    </reviewItem>
    <reviewItem>
      <errorID>96649a2e-991e-4ead-8997-24b6c849785f</errorID>
      <errorWord> </errorWord>
      <group>L1_Format</group>
      <groupName>格式问题</groupName>
      <ability>L2_Whitespace</ability>
      <abilityName>空白字符</abilityName>
      <candidateList>
        <item/>
      </candidateList>
      <explain>文本间存在多余的空白字符。</explain>
      <paraID>31901C03</paraID>
      <start>1</start>
      <end>2</end>
      <status>unmodified</status>
      <modifiedWord/>
      <trackRevisions>false</trackRevisions>
    </reviewItem>
    <reviewItem>
      <errorID>cc8c27f4-d4f7-49a8-92c4-f2a0e71a1d35</errorID>
      <errorWord> </errorWord>
      <group>L1_Format</group>
      <groupName>格式问题</groupName>
      <ability>L2_Whitespace</ability>
      <abilityName>空白字符</abilityName>
      <candidateList>
        <item/>
      </candidateList>
      <explain>文本间存在多余的空白字符。</explain>
      <paraID>622D99AB</paraID>
      <start>1</start>
      <end>2</end>
      <status>unmodified</status>
      <modifiedWord/>
      <trackRevisions>false</trackRevisions>
    </reviewItem>
    <reviewItem>
      <errorID>f2bd7e2b-189d-4da7-8246-f2bc06acc83b</errorID>
      <errorWord>提高</errorWord>
      <group>L1_Grammar</group>
      <groupName>语法问题</groupName>
      <ability>L2_Grammar</ability>
      <abilityName>语法错误</abilityName>
      <candidateList>
        <item>增强</item>
      </candidateList>
      <explain>“提高～意识”搭配不当，建议修改为“增强～意识”。</explain>
      <paraID>79B39DBD</paraID>
      <start>10</start>
      <end>12</end>
      <status>unmodified</status>
      <modifiedWord/>
      <trackRevisions>false</trackRevisions>
    </reviewItem>
    <reviewItem>
      <errorID>6d8b58c5-d7d5-4ba3-8861-7b400ad14c96</errorID>
      <errorWord>   </errorWord>
      <group>L1_Format</group>
      <groupName>格式问题</groupName>
      <ability>L2_Whitespace</ability>
      <abilityName>空白字符</abilityName>
      <candidateList>
        <item/>
      </candidateList>
      <explain>文本间存在多余的空白字符。</explain>
      <paraID> 28C009E</paraID>
      <start>4</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605a2-5d5b-4964-b018-6a16b88b2370}">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53</Pages>
  <Words>51</Words>
  <Characters>77</Characters>
  <Lines>1</Lines>
  <Paragraphs>1</Paragraphs>
  <TotalTime>141</TotalTime>
  <ScaleCrop>false</ScaleCrop>
  <LinksUpToDate>false</LinksUpToDate>
  <CharactersWithSpaces>77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Administrator</cp:lastModifiedBy>
  <cp:lastPrinted>2020-12-24T01:50:00Z</cp:lastPrinted>
  <dcterms:modified xsi:type="dcterms:W3CDTF">2026-06-01T03:12:15Z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7697ED7EC40C431CA1C69549C60B7FCE_13</vt:lpwstr>
  </property>
  <property fmtid="{D5CDD505-2E9C-101B-9397-08002B2CF9AE}" pid="4" name="KSOTemplateDocerSaveRecord">
    <vt:lpwstr>eyJoZGlkIjoiMzU0Nzg5MDhiYWNlODhjOWFjNGJjNmU1YWIyZmY2MWMiLCJ1c2VySWQiOiIxMzAzNzMwMTgxIn0=</vt:lpwstr>
  </property>
</Properties>
</file>