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rPr>
      </w:pPr>
      <w:bookmarkStart w:id="0" w:name="_Hlk57883707"/>
    </w:p>
    <w:p>
      <w:pPr>
        <w:rPr>
          <w:rFonts w:ascii="仿宋_GB2312" w:hAnsi="仿宋_GB2312" w:eastAsia="仿宋_GB2312" w:cs="仿宋_GB2312"/>
          <w:color w:val="auto"/>
          <w:sz w:val="36"/>
          <w:szCs w:val="36"/>
        </w:rPr>
      </w:pPr>
      <w:r>
        <w:rPr>
          <w:rFonts w:ascii="仿宋_GB2312" w:hAnsi="仿宋_GB2312" w:eastAsia="仿宋_GB2312" w:cs="仿宋_GB2312"/>
          <w:color w:val="auto"/>
          <w:sz w:val="36"/>
          <w:szCs w:val="36"/>
        </w:rPr>
        <w:drawing>
          <wp:anchor distT="0" distB="0" distL="114300" distR="114300" simplePos="0" relativeHeight="251661312" behindDoc="0" locked="0" layoutInCell="1" allowOverlap="1">
            <wp:simplePos x="0" y="0"/>
            <wp:positionH relativeFrom="column">
              <wp:posOffset>221615</wp:posOffset>
            </wp:positionH>
            <wp:positionV relativeFrom="paragraph">
              <wp:posOffset>553085</wp:posOffset>
            </wp:positionV>
            <wp:extent cx="5408930" cy="6730365"/>
            <wp:effectExtent l="0" t="0" r="1270" b="13335"/>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rcRect l="4752" t="8335" r="8923" b="10840"/>
                    <a:stretch>
                      <a:fillRect/>
                    </a:stretch>
                  </pic:blipFill>
                  <pic:spPr>
                    <a:xfrm>
                      <a:off x="0" y="0"/>
                      <a:ext cx="5408930" cy="6730365"/>
                    </a:xfrm>
                    <a:prstGeom prst="rect">
                      <a:avLst/>
                    </a:prstGeom>
                    <a:noFill/>
                    <a:ln>
                      <a:noFill/>
                    </a:ln>
                  </pic:spPr>
                </pic:pic>
              </a:graphicData>
            </a:graphic>
          </wp:anchor>
        </w:drawing>
      </w:r>
    </w:p>
    <w:bookmarkEnd w:id="0"/>
    <w:p>
      <w:pPr>
        <w:pStyle w:val="3"/>
        <w:bidi w:val="0"/>
        <w:jc w:val="center"/>
      </w:pPr>
      <w:r>
        <w:rPr>
          <w:rFonts w:hint="eastAsia"/>
        </w:rPr>
        <w:t>一、建设项目基本情况</w:t>
      </w:r>
    </w:p>
    <w:tbl>
      <w:tblPr>
        <w:tblStyle w:val="21"/>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68"/>
        <w:gridCol w:w="1342"/>
        <w:gridCol w:w="1954"/>
        <w:gridCol w:w="2123"/>
        <w:gridCol w:w="30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建设项目名称</w:t>
            </w:r>
          </w:p>
        </w:tc>
        <w:tc>
          <w:tcPr>
            <w:tcW w:w="7129" w:type="dxa"/>
            <w:gridSpan w:val="3"/>
            <w:noWrap w:val="0"/>
            <w:vAlign w:val="center"/>
          </w:tcPr>
          <w:p>
            <w:pPr>
              <w:pStyle w:val="6"/>
              <w:suppressLineNumbers w:val="0"/>
              <w:bidi w:val="0"/>
              <w:spacing w:before="0" w:beforeAutospacing="0" w:after="0" w:afterAutospacing="0"/>
              <w:ind w:left="0" w:right="0"/>
              <w:rPr>
                <w:rFonts w:hint="default"/>
                <w:lang w:val="en-US"/>
              </w:rPr>
            </w:pPr>
            <w:r>
              <w:rPr>
                <w:rFonts w:hint="eastAsia"/>
                <w:lang w:val="en-US" w:eastAsia="zh-CN"/>
              </w:rPr>
              <w:t>铁干里克镇托格拉克勒克村防渗渠建设项目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项目代码</w:t>
            </w:r>
            <w:bookmarkStart w:id="8" w:name="_GoBack"/>
            <w:bookmarkEnd w:id="8"/>
          </w:p>
        </w:tc>
        <w:tc>
          <w:tcPr>
            <w:tcW w:w="7129" w:type="dxa"/>
            <w:gridSpan w:val="3"/>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建设单位联系人</w:t>
            </w:r>
          </w:p>
        </w:tc>
        <w:tc>
          <w:tcPr>
            <w:tcW w:w="1954" w:type="dxa"/>
            <w:noWrap w:val="0"/>
            <w:vAlign w:val="center"/>
          </w:tcPr>
          <w:p>
            <w:pPr>
              <w:pStyle w:val="6"/>
              <w:suppressLineNumbers w:val="0"/>
              <w:bidi w:val="0"/>
              <w:spacing w:before="0" w:beforeAutospacing="0" w:after="0" w:afterAutospacing="0"/>
              <w:ind w:left="0" w:right="0"/>
              <w:rPr>
                <w:rFonts w:hint="default"/>
                <w:highlight w:val="yellow"/>
                <w:lang w:val="en-US" w:eastAsia="zh-CN"/>
              </w:rPr>
            </w:pPr>
          </w:p>
        </w:tc>
        <w:tc>
          <w:tcPr>
            <w:tcW w:w="2123" w:type="dxa"/>
            <w:noWrap w:val="0"/>
            <w:vAlign w:val="center"/>
          </w:tcPr>
          <w:p>
            <w:pPr>
              <w:pStyle w:val="6"/>
              <w:suppressLineNumbers w:val="0"/>
              <w:bidi w:val="0"/>
              <w:spacing w:before="0" w:beforeAutospacing="0" w:after="0" w:afterAutospacing="0"/>
              <w:ind w:left="0" w:right="0"/>
              <w:rPr>
                <w:rFonts w:hint="default"/>
                <w:highlight w:val="yellow"/>
              </w:rPr>
            </w:pPr>
          </w:p>
        </w:tc>
        <w:tc>
          <w:tcPr>
            <w:tcW w:w="3052" w:type="dxa"/>
            <w:noWrap w:val="0"/>
            <w:vAlign w:val="center"/>
          </w:tcPr>
          <w:p>
            <w:pPr>
              <w:pStyle w:val="6"/>
              <w:suppressLineNumbers w:val="0"/>
              <w:bidi w:val="0"/>
              <w:spacing w:before="0" w:beforeAutospacing="0" w:after="0" w:afterAutospacing="0"/>
              <w:ind w:left="0" w:right="0"/>
              <w:rPr>
                <w:rFonts w:hint="default"/>
                <w:highlight w:val="yellow"/>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建设地点</w:t>
            </w:r>
          </w:p>
        </w:tc>
        <w:tc>
          <w:tcPr>
            <w:tcW w:w="7129" w:type="dxa"/>
            <w:gridSpan w:val="3"/>
            <w:noWrap w:val="0"/>
            <w:vAlign w:val="center"/>
          </w:tcPr>
          <w:p>
            <w:pPr>
              <w:pStyle w:val="6"/>
              <w:suppressLineNumbers w:val="0"/>
              <w:bidi w:val="0"/>
              <w:spacing w:before="0" w:beforeAutospacing="0" w:after="0" w:afterAutospacing="0"/>
              <w:ind w:left="0" w:right="0"/>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地理坐标</w:t>
            </w:r>
          </w:p>
        </w:tc>
        <w:tc>
          <w:tcPr>
            <w:tcW w:w="7129" w:type="dxa"/>
            <w:gridSpan w:val="3"/>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建设项目</w:t>
            </w:r>
          </w:p>
          <w:p>
            <w:pPr>
              <w:pStyle w:val="6"/>
              <w:suppressLineNumbers w:val="0"/>
              <w:bidi w:val="0"/>
              <w:spacing w:before="0" w:beforeAutospacing="0" w:after="0" w:afterAutospacing="0"/>
              <w:ind w:left="0" w:right="0"/>
              <w:rPr>
                <w:rFonts w:hint="default"/>
              </w:rPr>
            </w:pPr>
            <w:r>
              <w:rPr>
                <w:rFonts w:hint="eastAsia"/>
              </w:rPr>
              <w:t>行业类别</w:t>
            </w:r>
          </w:p>
        </w:tc>
        <w:tc>
          <w:tcPr>
            <w:tcW w:w="1954" w:type="dxa"/>
            <w:noWrap w:val="0"/>
            <w:vAlign w:val="center"/>
          </w:tcPr>
          <w:p>
            <w:pPr>
              <w:pStyle w:val="6"/>
              <w:suppressLineNumbers w:val="0"/>
              <w:bidi w:val="0"/>
              <w:spacing w:before="0" w:beforeAutospacing="0" w:after="0" w:afterAutospacing="0"/>
              <w:ind w:left="0" w:right="0"/>
              <w:rPr>
                <w:rFonts w:hint="default"/>
              </w:rPr>
            </w:pPr>
            <w:r>
              <w:rPr>
                <w:rFonts w:hint="default"/>
                <w:lang w:eastAsia="zh-CN"/>
              </w:rPr>
              <w:t>五十一、水利</w:t>
            </w:r>
            <w:r>
              <w:rPr>
                <w:rFonts w:hint="default"/>
                <w:lang w:val="en-US" w:eastAsia="zh-CN"/>
              </w:rPr>
              <w:t>-125灌区工程（不含水源工程的）-其他（不含高标准农田、滴灌等节水改造工程）</w:t>
            </w:r>
          </w:p>
        </w:tc>
        <w:tc>
          <w:tcPr>
            <w:tcW w:w="2123" w:type="dxa"/>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用地（用海）面积（m</w:t>
            </w:r>
            <w:r>
              <w:rPr>
                <w:rFonts w:hint="default"/>
                <w:highlight w:val="none"/>
                <w:vertAlign w:val="superscript"/>
              </w:rPr>
              <w:t>2</w:t>
            </w:r>
            <w:r>
              <w:rPr>
                <w:rFonts w:hint="default"/>
                <w:highlight w:val="none"/>
              </w:rPr>
              <w:t>）/长度（km）</w:t>
            </w:r>
          </w:p>
        </w:tc>
        <w:tc>
          <w:tcPr>
            <w:tcW w:w="3052"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占地面积</w:t>
            </w:r>
            <w:r>
              <w:rPr>
                <w:rFonts w:hint="eastAsia"/>
                <w:highlight w:val="none"/>
                <w:lang w:val="en-US" w:eastAsia="zh-CN"/>
              </w:rPr>
              <w:t>27507</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，其中永久占地面积</w:t>
            </w:r>
            <w:r>
              <w:rPr>
                <w:rFonts w:hint="eastAsia"/>
                <w:highlight w:val="none"/>
                <w:lang w:val="en-US" w:eastAsia="zh-CN"/>
              </w:rPr>
              <w:t>14507</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、临时占地面积</w:t>
            </w:r>
            <w:r>
              <w:rPr>
                <w:rFonts w:hint="eastAsia"/>
                <w:highlight w:val="none"/>
                <w:lang w:val="en-US" w:eastAsia="zh-CN"/>
              </w:rPr>
              <w:t>13000</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。防渗改造长度</w:t>
            </w:r>
            <w:r>
              <w:rPr>
                <w:rFonts w:hint="eastAsia"/>
                <w:highlight w:val="none"/>
                <w:lang w:val="en-US" w:eastAsia="zh-CN"/>
              </w:rPr>
              <w:t>5.338</w:t>
            </w:r>
            <w:r>
              <w:rPr>
                <w:rFonts w:hint="default"/>
                <w:highlight w:val="none"/>
                <w:lang w:val="en-US" w:eastAsia="zh-CN"/>
              </w:rPr>
              <w:t>km</w:t>
            </w:r>
            <w:r>
              <w:rPr>
                <w:rFonts w:hint="default"/>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建设性质</w:t>
            </w:r>
          </w:p>
        </w:tc>
        <w:tc>
          <w:tcPr>
            <w:tcW w:w="1954" w:type="dxa"/>
            <w:noWrap w:val="0"/>
            <w:vAlign w:val="center"/>
          </w:tcPr>
          <w:p>
            <w:pPr>
              <w:pStyle w:val="6"/>
              <w:suppressLineNumbers w:val="0"/>
              <w:bidi w:val="0"/>
              <w:spacing w:before="0" w:beforeAutospacing="0" w:after="0" w:afterAutospacing="0"/>
              <w:ind w:left="0" w:right="0"/>
              <w:jc w:val="left"/>
              <w:rPr>
                <w:rFonts w:hint="default"/>
              </w:rPr>
            </w:pPr>
            <w:r>
              <w:rPr>
                <w:rFonts w:hint="default"/>
                <w:lang w:eastAsia="zh-CN"/>
              </w:rPr>
              <w:t>□</w:t>
            </w:r>
            <w:r>
              <w:rPr>
                <w:rFonts w:hint="default"/>
              </w:rPr>
              <w:t>新建（迁建）</w:t>
            </w:r>
          </w:p>
          <w:p>
            <w:pPr>
              <w:pStyle w:val="6"/>
              <w:suppressLineNumbers w:val="0"/>
              <w:bidi w:val="0"/>
              <w:spacing w:before="0" w:beforeAutospacing="0" w:after="0" w:afterAutospacing="0"/>
              <w:ind w:left="0" w:right="0"/>
              <w:jc w:val="left"/>
              <w:rPr>
                <w:rFonts w:hint="default"/>
              </w:rPr>
            </w:pPr>
            <w:r>
              <w:rPr>
                <w:rFonts w:hint="default"/>
                <w:lang w:eastAsia="zh-CN"/>
              </w:rPr>
              <w:t>☑</w:t>
            </w:r>
            <w:r>
              <w:rPr>
                <w:rFonts w:hint="default"/>
              </w:rPr>
              <w:t>改建</w:t>
            </w:r>
          </w:p>
          <w:p>
            <w:pPr>
              <w:pStyle w:val="6"/>
              <w:suppressLineNumbers w:val="0"/>
              <w:bidi w:val="0"/>
              <w:spacing w:before="0" w:beforeAutospacing="0" w:after="0" w:afterAutospacing="0"/>
              <w:ind w:left="0" w:right="0"/>
              <w:jc w:val="left"/>
              <w:rPr>
                <w:rFonts w:hint="default"/>
              </w:rPr>
            </w:pPr>
            <w:r>
              <w:rPr>
                <w:rFonts w:hint="eastAsia"/>
                <w:lang w:eastAsia="zh-CN"/>
              </w:rPr>
              <w:t>□</w:t>
            </w:r>
            <w:r>
              <w:rPr>
                <w:rFonts w:hint="default"/>
              </w:rPr>
              <w:t>扩建</w:t>
            </w:r>
          </w:p>
          <w:p>
            <w:pPr>
              <w:pStyle w:val="6"/>
              <w:suppressLineNumbers w:val="0"/>
              <w:bidi w:val="0"/>
              <w:spacing w:before="0" w:beforeAutospacing="0" w:after="0" w:afterAutospacing="0"/>
              <w:ind w:left="0" w:right="0"/>
              <w:jc w:val="left"/>
              <w:rPr>
                <w:rFonts w:hint="default"/>
              </w:rPr>
            </w:pPr>
            <w:r>
              <w:rPr>
                <w:rFonts w:hint="eastAsia"/>
                <w:lang w:eastAsia="zh-CN"/>
              </w:rPr>
              <w:t>□</w:t>
            </w:r>
            <w:r>
              <w:rPr>
                <w:rFonts w:hint="default"/>
              </w:rPr>
              <w:t>技术改造</w:t>
            </w:r>
          </w:p>
        </w:tc>
        <w:tc>
          <w:tcPr>
            <w:tcW w:w="2123" w:type="dxa"/>
            <w:noWrap w:val="0"/>
            <w:vAlign w:val="center"/>
          </w:tcPr>
          <w:p>
            <w:pPr>
              <w:pStyle w:val="6"/>
              <w:suppressLineNumbers w:val="0"/>
              <w:bidi w:val="0"/>
              <w:spacing w:before="0" w:beforeAutospacing="0" w:after="0" w:afterAutospacing="0"/>
              <w:ind w:left="0" w:right="0"/>
              <w:rPr>
                <w:rFonts w:hint="default"/>
              </w:rPr>
            </w:pPr>
            <w:r>
              <w:rPr>
                <w:rFonts w:hint="default"/>
              </w:rPr>
              <w:t>建设项目</w:t>
            </w:r>
          </w:p>
          <w:p>
            <w:pPr>
              <w:pStyle w:val="6"/>
              <w:suppressLineNumbers w:val="0"/>
              <w:bidi w:val="0"/>
              <w:spacing w:before="0" w:beforeAutospacing="0" w:after="0" w:afterAutospacing="0"/>
              <w:ind w:left="0" w:right="0"/>
              <w:rPr>
                <w:rFonts w:hint="default"/>
              </w:rPr>
            </w:pPr>
            <w:r>
              <w:rPr>
                <w:rFonts w:hint="default"/>
              </w:rPr>
              <w:t>申报情形</w:t>
            </w:r>
          </w:p>
        </w:tc>
        <w:tc>
          <w:tcPr>
            <w:tcW w:w="3052" w:type="dxa"/>
            <w:noWrap w:val="0"/>
            <w:vAlign w:val="center"/>
          </w:tcPr>
          <w:p>
            <w:pPr>
              <w:pStyle w:val="6"/>
              <w:suppressLineNumbers w:val="0"/>
              <w:bidi w:val="0"/>
              <w:spacing w:before="0" w:beforeAutospacing="0" w:after="0" w:afterAutospacing="0"/>
              <w:ind w:left="0" w:right="0"/>
              <w:jc w:val="left"/>
              <w:rPr>
                <w:rFonts w:hint="default"/>
              </w:rPr>
            </w:pPr>
            <w:r>
              <w:rPr>
                <w:rFonts w:hint="default"/>
                <w:lang w:eastAsia="zh-CN"/>
              </w:rPr>
              <w:t>☑</w:t>
            </w:r>
            <w:r>
              <w:rPr>
                <w:rFonts w:hint="default"/>
              </w:rPr>
              <w:t>首次申报项目</w:t>
            </w:r>
          </w:p>
          <w:p>
            <w:pPr>
              <w:pStyle w:val="6"/>
              <w:suppressLineNumbers w:val="0"/>
              <w:bidi w:val="0"/>
              <w:spacing w:before="0" w:beforeAutospacing="0" w:after="0" w:afterAutospacing="0"/>
              <w:ind w:left="0" w:right="0"/>
              <w:jc w:val="left"/>
              <w:rPr>
                <w:rFonts w:hint="default"/>
              </w:rPr>
            </w:pPr>
            <w:r>
              <w:rPr>
                <w:rFonts w:hint="eastAsia"/>
                <w:lang w:eastAsia="zh-CN"/>
              </w:rPr>
              <w:t>□</w:t>
            </w:r>
            <w:r>
              <w:rPr>
                <w:rFonts w:hint="default"/>
              </w:rPr>
              <w:t>不予批准后再次申报项目</w:t>
            </w:r>
          </w:p>
          <w:p>
            <w:pPr>
              <w:pStyle w:val="6"/>
              <w:suppressLineNumbers w:val="0"/>
              <w:bidi w:val="0"/>
              <w:spacing w:before="0" w:beforeAutospacing="0" w:after="0" w:afterAutospacing="0"/>
              <w:ind w:left="0" w:right="0"/>
              <w:jc w:val="left"/>
              <w:rPr>
                <w:rFonts w:hint="default"/>
              </w:rPr>
            </w:pPr>
            <w:r>
              <w:rPr>
                <w:rFonts w:hint="eastAsia"/>
                <w:lang w:eastAsia="zh-CN"/>
              </w:rPr>
              <w:t>□</w:t>
            </w:r>
            <w:r>
              <w:rPr>
                <w:rFonts w:hint="default"/>
              </w:rPr>
              <w:t>超五年重新审核项目</w:t>
            </w:r>
          </w:p>
          <w:p>
            <w:pPr>
              <w:pStyle w:val="6"/>
              <w:suppressLineNumbers w:val="0"/>
              <w:bidi w:val="0"/>
              <w:spacing w:before="0" w:beforeAutospacing="0" w:after="0" w:afterAutospacing="0"/>
              <w:ind w:left="0" w:right="0"/>
              <w:jc w:val="left"/>
              <w:rPr>
                <w:rFonts w:hint="default"/>
              </w:rPr>
            </w:pPr>
            <w:r>
              <w:rPr>
                <w:rFonts w:hint="eastAsia"/>
                <w:lang w:eastAsia="zh-CN"/>
              </w:rPr>
              <w:t>□</w:t>
            </w:r>
            <w:r>
              <w:rPr>
                <w:rFonts w:hint="default"/>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项目审批（核准</w:t>
            </w:r>
            <w:r>
              <w:rPr>
                <w:rFonts w:hint="default"/>
              </w:rPr>
              <w:t>/</w:t>
            </w:r>
          </w:p>
          <w:p>
            <w:pPr>
              <w:pStyle w:val="6"/>
              <w:suppressLineNumbers w:val="0"/>
              <w:bidi w:val="0"/>
              <w:spacing w:before="0" w:beforeAutospacing="0" w:after="0" w:afterAutospacing="0"/>
              <w:ind w:left="0" w:right="0"/>
              <w:rPr>
                <w:rFonts w:hint="default"/>
              </w:rPr>
            </w:pPr>
            <w:r>
              <w:rPr>
                <w:rFonts w:hint="eastAsia"/>
              </w:rPr>
              <w:t>备案）部门（选填）</w:t>
            </w:r>
          </w:p>
        </w:tc>
        <w:tc>
          <w:tcPr>
            <w:tcW w:w="1954" w:type="dxa"/>
            <w:noWrap w:val="0"/>
            <w:vAlign w:val="center"/>
          </w:tcPr>
          <w:p>
            <w:pPr>
              <w:pStyle w:val="6"/>
              <w:suppressLineNumbers w:val="0"/>
              <w:bidi w:val="0"/>
              <w:spacing w:before="0" w:beforeAutospacing="0" w:after="0" w:afterAutospacing="0"/>
              <w:ind w:left="0" w:right="0"/>
              <w:rPr>
                <w:rFonts w:hint="default"/>
                <w:highlight w:val="none"/>
                <w:lang w:val="en-US"/>
              </w:rPr>
            </w:pPr>
            <w:r>
              <w:rPr>
                <w:rFonts w:hint="eastAsia"/>
                <w:highlight w:val="none"/>
                <w:lang w:val="en-US" w:eastAsia="zh-CN"/>
              </w:rPr>
              <w:t>若羌</w:t>
            </w:r>
            <w:r>
              <w:rPr>
                <w:rFonts w:hint="default"/>
                <w:highlight w:val="none"/>
                <w:lang w:val="en-US" w:eastAsia="zh-CN"/>
              </w:rPr>
              <w:t>县发展和改革委员会</w:t>
            </w:r>
          </w:p>
        </w:tc>
        <w:tc>
          <w:tcPr>
            <w:tcW w:w="2123" w:type="dxa"/>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项目审批（核准/</w:t>
            </w:r>
          </w:p>
          <w:p>
            <w:pPr>
              <w:pStyle w:val="6"/>
              <w:suppressLineNumbers w:val="0"/>
              <w:bidi w:val="0"/>
              <w:spacing w:before="0" w:beforeAutospacing="0" w:after="0" w:afterAutospacing="0"/>
              <w:ind w:left="0" w:right="0"/>
              <w:rPr>
                <w:rFonts w:hint="default"/>
                <w:highlight w:val="none"/>
              </w:rPr>
            </w:pPr>
            <w:r>
              <w:rPr>
                <w:rFonts w:hint="default"/>
                <w:highlight w:val="none"/>
              </w:rPr>
              <w:t>备案）文号（选填）</w:t>
            </w:r>
          </w:p>
        </w:tc>
        <w:tc>
          <w:tcPr>
            <w:tcW w:w="3052" w:type="dxa"/>
            <w:noWrap w:val="0"/>
            <w:vAlign w:val="center"/>
          </w:tcPr>
          <w:p>
            <w:pPr>
              <w:pStyle w:val="6"/>
              <w:suppressLineNumbers w:val="0"/>
              <w:bidi w:val="0"/>
              <w:spacing w:before="0" w:beforeAutospacing="0" w:after="0" w:afterAutospacing="0"/>
              <w:ind w:left="0" w:right="0"/>
              <w:rPr>
                <w:rFonts w:hint="default"/>
                <w:highlight w:val="none"/>
                <w:lang w:val="en-US"/>
              </w:rPr>
            </w:pPr>
            <w:r>
              <w:rPr>
                <w:rFonts w:hint="eastAsia"/>
                <w:highlight w:val="none"/>
                <w:lang w:val="en-US" w:eastAsia="zh-CN"/>
              </w:rPr>
              <w:t>若发改字</w:t>
            </w:r>
            <w:r>
              <w:rPr>
                <w:rFonts w:hint="default"/>
                <w:highlight w:val="none"/>
                <w:lang w:val="en-US" w:eastAsia="zh-CN"/>
              </w:rPr>
              <w:t>〔20</w:t>
            </w:r>
            <w:r>
              <w:rPr>
                <w:rFonts w:hint="eastAsia"/>
                <w:highlight w:val="none"/>
                <w:lang w:val="en-US" w:eastAsia="zh-CN"/>
              </w:rPr>
              <w:t>26</w:t>
            </w:r>
            <w:r>
              <w:rPr>
                <w:rFonts w:hint="default"/>
                <w:highlight w:val="none"/>
                <w:lang w:val="en-US" w:eastAsia="zh-CN"/>
              </w:rPr>
              <w:t>〕</w:t>
            </w:r>
            <w:r>
              <w:rPr>
                <w:rFonts w:hint="eastAsia"/>
                <w:highlight w:val="none"/>
                <w:lang w:val="en-US" w:eastAsia="zh-CN"/>
              </w:rPr>
              <w:t>68号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总投资（万元）</w:t>
            </w:r>
          </w:p>
        </w:tc>
        <w:tc>
          <w:tcPr>
            <w:tcW w:w="1954"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252</w:t>
            </w:r>
          </w:p>
        </w:tc>
        <w:tc>
          <w:tcPr>
            <w:tcW w:w="2123" w:type="dxa"/>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环保投资（万元）</w:t>
            </w:r>
          </w:p>
        </w:tc>
        <w:tc>
          <w:tcPr>
            <w:tcW w:w="3052" w:type="dxa"/>
            <w:noWrap w:val="0"/>
            <w:vAlign w:val="center"/>
          </w:tcPr>
          <w:p>
            <w:pPr>
              <w:pStyle w:val="6"/>
              <w:suppressLineNumbers w:val="0"/>
              <w:bidi w:val="0"/>
              <w:spacing w:before="0" w:beforeAutospacing="0" w:after="0" w:afterAutospacing="0"/>
              <w:ind w:left="0" w:right="0"/>
              <w:jc w:val="center"/>
              <w:rPr>
                <w:rFonts w:hint="default"/>
                <w:highlight w:val="none"/>
                <w:lang w:val="en-US" w:eastAsia="zh-CN"/>
              </w:rPr>
            </w:pPr>
            <w:r>
              <w:rPr>
                <w:rFonts w:hint="eastAsia"/>
                <w:highlight w:val="none"/>
                <w:lang w:val="en-US" w:eastAsia="zh-CN"/>
              </w:rPr>
              <w:t>13.6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环保投资占比（</w:t>
            </w:r>
            <w:r>
              <w:rPr>
                <w:rFonts w:hint="default"/>
              </w:rPr>
              <w:t>%</w:t>
            </w:r>
            <w:r>
              <w:rPr>
                <w:rFonts w:hint="eastAsia"/>
              </w:rPr>
              <w:t>）</w:t>
            </w:r>
          </w:p>
        </w:tc>
        <w:tc>
          <w:tcPr>
            <w:tcW w:w="1954"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5.4%</w:t>
            </w:r>
          </w:p>
        </w:tc>
        <w:tc>
          <w:tcPr>
            <w:tcW w:w="2123" w:type="dxa"/>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施工工期</w:t>
            </w:r>
          </w:p>
        </w:tc>
        <w:tc>
          <w:tcPr>
            <w:tcW w:w="3052"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4</w:t>
            </w:r>
            <w:r>
              <w:rPr>
                <w:rFonts w:hint="default"/>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是否开工建设</w:t>
            </w:r>
          </w:p>
        </w:tc>
        <w:tc>
          <w:tcPr>
            <w:tcW w:w="7129" w:type="dxa"/>
            <w:gridSpan w:val="3"/>
            <w:noWrap w:val="0"/>
            <w:vAlign w:val="center"/>
          </w:tcPr>
          <w:p>
            <w:pPr>
              <w:pStyle w:val="6"/>
              <w:suppressLineNumbers w:val="0"/>
              <w:bidi w:val="0"/>
              <w:spacing w:before="0" w:beforeAutospacing="0" w:after="0" w:afterAutospacing="0"/>
              <w:ind w:left="0" w:right="0"/>
              <w:jc w:val="left"/>
              <w:rPr>
                <w:rFonts w:hint="default"/>
              </w:rPr>
            </w:pPr>
            <w:r>
              <w:rPr>
                <w:rFonts w:hint="eastAsia"/>
                <w:lang w:eastAsia="zh-CN"/>
              </w:rPr>
              <w:t>☑</w:t>
            </w:r>
            <w:r>
              <w:rPr>
                <w:rFonts w:hint="eastAsia"/>
              </w:rPr>
              <w:t>否</w:t>
            </w:r>
          </w:p>
          <w:p>
            <w:pPr>
              <w:pStyle w:val="6"/>
              <w:suppressLineNumbers w:val="0"/>
              <w:bidi w:val="0"/>
              <w:spacing w:before="0" w:beforeAutospacing="0" w:after="0" w:afterAutospacing="0"/>
              <w:ind w:left="0" w:right="0"/>
              <w:jc w:val="left"/>
              <w:rPr>
                <w:rFonts w:hint="default"/>
              </w:rPr>
            </w:pPr>
            <w:r>
              <w:rPr>
                <w:rFonts w:hint="eastAsia"/>
              </w:rPr>
              <w:t>□是：</w:t>
            </w:r>
            <w:r>
              <w:rPr>
                <w:rFonts w:hint="default"/>
              </w:rPr>
              <w:t xml:space="preserve"> </w:t>
            </w:r>
            <w:r>
              <w:rPr>
                <w:rFonts w:hint="eastAsia"/>
              </w:rPr>
              <w:t xml:space="preserve">                     </w:t>
            </w:r>
            <w:r>
              <w:rPr>
                <w:rFonts w:hint="default"/>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1"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专项评价设置情况</w:t>
            </w:r>
          </w:p>
        </w:tc>
        <w:tc>
          <w:tcPr>
            <w:tcW w:w="7129" w:type="dxa"/>
            <w:gridSpan w:val="3"/>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本项目为生态影响类建设项目，不涉及大气、地表水、地下水、噪声、土壤、环境风险等专项评价触发条件，且不涉及特殊生态敏感区，根据《建设项目环境影响报告表编制技术指南（生态影响类）（试行）》，不设置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95"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规划情况</w:t>
            </w:r>
          </w:p>
        </w:tc>
        <w:tc>
          <w:tcPr>
            <w:tcW w:w="7129" w:type="dxa"/>
            <w:gridSpan w:val="3"/>
            <w:noWrap w:val="0"/>
            <w:tcMar>
              <w:top w:w="16" w:type="dxa"/>
              <w:left w:w="16" w:type="dxa"/>
              <w:right w:w="16" w:type="dxa"/>
            </w:tcMar>
            <w:vAlign w:val="center"/>
          </w:tcPr>
          <w:p>
            <w:pPr>
              <w:pStyle w:val="6"/>
              <w:suppressLineNumbers w:val="0"/>
              <w:bidi w:val="0"/>
              <w:spacing w:before="0" w:beforeAutospacing="0" w:after="0" w:afterAutospacing="0"/>
              <w:ind w:left="0" w:right="0"/>
              <w:jc w:val="both"/>
              <w:rPr>
                <w:rFonts w:hint="eastAsia"/>
                <w:lang w:val="en-US" w:eastAsia="zh-CN"/>
              </w:rPr>
            </w:pPr>
            <w:r>
              <w:rPr>
                <w:rFonts w:hint="eastAsia"/>
                <w:lang w:val="en-US" w:eastAsia="zh-CN"/>
              </w:rPr>
              <w:t>规划文件：《若羌县铁干里克镇国土空间总体规划（2021—2035年）》；</w:t>
            </w:r>
          </w:p>
          <w:p>
            <w:pPr>
              <w:pStyle w:val="6"/>
              <w:suppressLineNumbers w:val="0"/>
              <w:bidi w:val="0"/>
              <w:spacing w:before="0" w:beforeAutospacing="0" w:after="0" w:afterAutospacing="0"/>
              <w:ind w:left="0" w:right="0"/>
              <w:jc w:val="both"/>
              <w:rPr>
                <w:rFonts w:hint="eastAsia"/>
                <w:lang w:val="en-US" w:eastAsia="zh-CN"/>
              </w:rPr>
            </w:pPr>
            <w:r>
              <w:rPr>
                <w:rFonts w:hint="eastAsia"/>
                <w:lang w:val="en-US" w:eastAsia="zh-CN"/>
              </w:rPr>
              <w:t>审批机关：巴州人民政府；</w:t>
            </w:r>
          </w:p>
          <w:p>
            <w:pPr>
              <w:pStyle w:val="6"/>
              <w:suppressLineNumbers w:val="0"/>
              <w:bidi w:val="0"/>
              <w:spacing w:before="0" w:beforeAutospacing="0" w:after="0" w:afterAutospacing="0"/>
              <w:ind w:left="0" w:right="0"/>
              <w:jc w:val="both"/>
              <w:rPr>
                <w:rFonts w:hint="default"/>
                <w:lang w:val="en-US" w:eastAsia="zh-CN"/>
              </w:rPr>
            </w:pPr>
            <w:r>
              <w:rPr>
                <w:rFonts w:hint="eastAsia"/>
                <w:lang w:val="en-US" w:eastAsia="zh-CN"/>
              </w:rPr>
              <w:t>审批文件名称及文号：《关于对若羌县铁干里克镇等3个乡镇国土空间总体规划（2021—2035年）的批复》。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02" w:hRule="atLeast"/>
        </w:trPr>
        <w:tc>
          <w:tcPr>
            <w:tcW w:w="1910" w:type="dxa"/>
            <w:gridSpan w:val="2"/>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规划环境影响</w:t>
            </w:r>
          </w:p>
          <w:p>
            <w:pPr>
              <w:pStyle w:val="6"/>
              <w:suppressLineNumbers w:val="0"/>
              <w:bidi w:val="0"/>
              <w:spacing w:before="0" w:beforeAutospacing="0" w:after="0" w:afterAutospacing="0"/>
              <w:ind w:left="0" w:right="0"/>
              <w:rPr>
                <w:rFonts w:hint="default"/>
              </w:rPr>
            </w:pPr>
            <w:r>
              <w:rPr>
                <w:rFonts w:hint="eastAsia"/>
              </w:rPr>
              <w:t>评价情况</w:t>
            </w:r>
          </w:p>
        </w:tc>
        <w:tc>
          <w:tcPr>
            <w:tcW w:w="7129" w:type="dxa"/>
            <w:gridSpan w:val="3"/>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568" w:type="dxa"/>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rPr>
            </w:pPr>
            <w:r>
              <w:rPr>
                <w:rFonts w:hint="eastAsia"/>
              </w:rPr>
              <w:t>规划及规划环境影响评价符合性分析</w:t>
            </w:r>
          </w:p>
        </w:tc>
        <w:tc>
          <w:tcPr>
            <w:tcW w:w="8471" w:type="dxa"/>
            <w:gridSpan w:val="4"/>
            <w:noWrap w:val="0"/>
            <w:tcMar>
              <w:top w:w="16" w:type="dxa"/>
              <w:left w:w="16" w:type="dxa"/>
              <w:right w:w="16" w:type="dxa"/>
            </w:tcMar>
            <w:vAlign w:val="center"/>
          </w:tcPr>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 与《若羌县铁干里克镇国土空间总体规划（2021-2035）》符合性分析</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以镇域现状产业布局为基础，不断提升产业发展力度，继续大力发展精品红枣产业和积极培育特色经济作物，引导和扶持农民组建专业协会、农村合作社等多种农村新型经济组织，大力发展现代服务型农业和乡村休闲旅游业，形成农旅融合发展的产业格局；</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2、打破城乡二元结构，构建城乡融合发展新格局；建立健全休闲农业生产体系，推进传统农业向休闲农业、产业融合转变，大力发展农产品深加工业。</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3、至规划期末，力争把铁干里克镇建设标准化、规 划化、产业化的农副产品生产基地、乡村生态旅游示范镇。</w:t>
            </w:r>
          </w:p>
          <w:p>
            <w:pPr>
              <w:keepNext w:val="0"/>
              <w:keepLines w:val="0"/>
              <w:suppressLineNumbers w:val="0"/>
              <w:bidi w:val="0"/>
              <w:spacing w:before="0" w:beforeAutospacing="0" w:after="0" w:afterAutospacing="0"/>
              <w:ind w:left="0" w:right="0"/>
              <w:rPr>
                <w:rFonts w:hint="default"/>
              </w:rPr>
            </w:pPr>
            <w:r>
              <w:rPr>
                <w:rFonts w:hint="eastAsia"/>
                <w:lang w:val="en-US" w:eastAsia="zh-CN"/>
              </w:rPr>
              <w:t>本项目属于防渗渠节水改造项目，核心为输水灌溉，本项目实施后，可减少渗漏损失，增加有效水量，降低地下水位，改善灌溉条件，提高作物产量，增加生态用水，具有良好的经济、生态、社会效益，项目的实施将为灌区经济的可持续发展奠定坚实的基础，35条渠道及其附属构筑物的实施能够有效保障项目区灌区2230亩的灌溉用水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568" w:type="dxa"/>
            <w:noWrap w:val="0"/>
            <w:tcMar>
              <w:top w:w="16" w:type="dxa"/>
              <w:left w:w="16" w:type="dxa"/>
              <w:right w:w="16" w:type="dxa"/>
            </w:tcMar>
            <w:vAlign w:val="center"/>
          </w:tcPr>
          <w:p>
            <w:pPr>
              <w:pStyle w:val="6"/>
              <w:suppressLineNumbers w:val="0"/>
              <w:bidi w:val="0"/>
              <w:spacing w:before="0" w:beforeAutospacing="0" w:after="0" w:afterAutospacing="0"/>
              <w:ind w:left="0" w:right="0"/>
              <w:rPr>
                <w:rFonts w:hint="default" w:ascii="宋体" w:hAnsi="宋体" w:cs="宋体"/>
                <w:color w:val="auto"/>
                <w:kern w:val="0"/>
                <w:szCs w:val="21"/>
              </w:rPr>
            </w:pPr>
            <w:bookmarkStart w:id="1" w:name="_Hlk56690880"/>
            <w:r>
              <w:rPr>
                <w:rFonts w:hint="eastAsia"/>
              </w:rPr>
              <w:t>其他符合性分析</w:t>
            </w:r>
            <w:bookmarkEnd w:id="1"/>
          </w:p>
        </w:tc>
        <w:tc>
          <w:tcPr>
            <w:tcW w:w="8471" w:type="dxa"/>
            <w:gridSpan w:val="4"/>
            <w:noWrap w:val="0"/>
            <w:tcMar>
              <w:top w:w="16" w:type="dxa"/>
              <w:left w:w="16" w:type="dxa"/>
              <w:right w:w="16" w:type="dxa"/>
            </w:tcMar>
            <w:vAlign w:val="center"/>
          </w:tcPr>
          <w:p>
            <w:pPr>
              <w:pStyle w:val="3"/>
              <w:keepLines w:val="0"/>
              <w:suppressLineNumbers w:val="0"/>
              <w:bidi w:val="0"/>
              <w:spacing w:before="0" w:beforeAutospacing="0" w:after="0" w:afterAutospacing="0"/>
              <w:ind w:right="0"/>
              <w:rPr>
                <w:rFonts w:hint="eastAsia"/>
              </w:rPr>
            </w:pPr>
            <w:r>
              <w:rPr>
                <w:rFonts w:hint="eastAsia"/>
                <w:lang w:val="en-US" w:eastAsia="zh-CN"/>
              </w:rPr>
              <w:t xml:space="preserve">1 </w:t>
            </w:r>
            <w:r>
              <w:rPr>
                <w:rFonts w:hint="eastAsia"/>
              </w:rPr>
              <w:t>产业政策符合性分析</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本项目属于防渗渠节水改造项目，根据《产业结构调整指导目录（2024年本）》，项目属于</w:t>
            </w:r>
            <w:r>
              <w:rPr>
                <w:rFonts w:hint="eastAsia" w:ascii="宋体" w:hAnsi="宋体" w:eastAsia="宋体" w:cs="宋体"/>
                <w:color w:val="auto"/>
                <w:sz w:val="24"/>
                <w:szCs w:val="24"/>
                <w:lang w:eastAsia="zh-CN"/>
              </w:rPr>
              <w:t>“</w:t>
            </w:r>
            <w:r>
              <w:rPr>
                <w:rFonts w:hint="default" w:ascii="Times New Roman" w:hAnsi="Times New Roman" w:cs="Times New Roman"/>
                <w:color w:val="auto"/>
                <w:sz w:val="24"/>
                <w:szCs w:val="24"/>
                <w:lang w:val="en-US" w:eastAsia="zh-CN"/>
              </w:rPr>
              <w:t>一、农林牧渔业 3.农业节水改造和精细化管理：更新改造不符合灌溉节水标准的灌区，旱作节水农业，水资源短缺和超载地区发展雨养农业，干旱半干旱地区推广以雨养和节水为导向的绿化模式</w:t>
            </w:r>
            <w:r>
              <w:rPr>
                <w:rFonts w:hint="eastAsia" w:ascii="宋体" w:hAnsi="宋体" w:eastAsia="宋体" w:cs="宋体"/>
                <w:color w:val="auto"/>
                <w:sz w:val="24"/>
                <w:szCs w:val="24"/>
                <w:lang w:eastAsia="zh-CN"/>
              </w:rPr>
              <w:t>”</w:t>
            </w:r>
            <w:r>
              <w:rPr>
                <w:rFonts w:hint="default" w:ascii="Times New Roman" w:hAnsi="Times New Roman" w:cs="Times New Roman"/>
                <w:color w:val="auto"/>
                <w:sz w:val="24"/>
                <w:szCs w:val="24"/>
                <w:lang w:val="en-US" w:eastAsia="zh-CN"/>
              </w:rPr>
              <w:t>中提及的</w:t>
            </w:r>
            <w:r>
              <w:rPr>
                <w:rFonts w:hint="eastAsia" w:ascii="宋体" w:hAnsi="宋体" w:eastAsia="宋体" w:cs="宋体"/>
                <w:color w:val="auto"/>
                <w:sz w:val="24"/>
                <w:szCs w:val="24"/>
                <w:lang w:val="en-US" w:eastAsia="zh-CN"/>
              </w:rPr>
              <w:t>“</w:t>
            </w:r>
            <w:r>
              <w:rPr>
                <w:rFonts w:hint="default" w:ascii="Times New Roman" w:hAnsi="Times New Roman" w:cs="Times New Roman"/>
                <w:color w:val="auto"/>
                <w:sz w:val="24"/>
                <w:szCs w:val="24"/>
                <w:lang w:val="en-US" w:eastAsia="zh-CN"/>
              </w:rPr>
              <w:t>更新改造不符合灌溉节水标准的灌区</w:t>
            </w:r>
            <w:r>
              <w:rPr>
                <w:rFonts w:hint="eastAsia" w:ascii="宋体" w:hAnsi="宋体" w:eastAsia="宋体" w:cs="宋体"/>
                <w:color w:val="auto"/>
                <w:sz w:val="24"/>
                <w:szCs w:val="24"/>
                <w:lang w:val="en-US" w:eastAsia="zh-CN"/>
              </w:rPr>
              <w:t>”</w:t>
            </w:r>
            <w:r>
              <w:rPr>
                <w:rFonts w:hint="default" w:ascii="Times New Roman" w:hAnsi="Times New Roman" w:cs="Times New Roman"/>
                <w:color w:val="auto"/>
                <w:sz w:val="24"/>
                <w:szCs w:val="24"/>
                <w:lang w:val="en-US" w:eastAsia="zh-CN"/>
              </w:rPr>
              <w:t>，是</w:t>
            </w:r>
            <w:r>
              <w:rPr>
                <w:rFonts w:hint="default" w:ascii="Times New Roman" w:hAnsi="Times New Roman" w:eastAsia="宋体" w:cs="Times New Roman"/>
                <w:color w:val="auto"/>
                <w:sz w:val="24"/>
                <w:szCs w:val="24"/>
              </w:rPr>
              <w:t>鼓励类项目。</w:t>
            </w:r>
            <w:r>
              <w:rPr>
                <w:rFonts w:hint="default" w:ascii="Times New Roman" w:hAnsi="Times New Roman" w:eastAsia="宋体" w:cs="Times New Roman"/>
                <w:color w:val="auto"/>
                <w:sz w:val="24"/>
                <w:szCs w:val="24"/>
                <w:lang w:val="en-US" w:eastAsia="zh-CN"/>
              </w:rPr>
              <w:t>根据《新疆维吾尔自治区28个国家重点生态功能区县（市）产业准入负面清单（试行）》（新发改规划〔2017〕891号），项目不涉及</w:t>
            </w:r>
            <w:r>
              <w:rPr>
                <w:rFonts w:hint="eastAsia" w:ascii="宋体" w:hAnsi="宋体" w:eastAsia="宋体" w:cs="宋体"/>
                <w:color w:val="auto"/>
                <w:sz w:val="24"/>
                <w:szCs w:val="24"/>
                <w:lang w:val="en-US" w:eastAsia="zh-CN"/>
              </w:rPr>
              <w:t>“若羌县产业准入负面清单”</w:t>
            </w:r>
            <w:r>
              <w:rPr>
                <w:rFonts w:hint="default" w:ascii="Times New Roman" w:hAnsi="Times New Roman" w:eastAsia="宋体" w:cs="Times New Roman"/>
                <w:color w:val="auto"/>
                <w:sz w:val="24"/>
                <w:szCs w:val="24"/>
                <w:lang w:val="en-US" w:eastAsia="zh-CN"/>
              </w:rPr>
              <w:t>中限制类和禁止类产业。</w:t>
            </w:r>
            <w:r>
              <w:rPr>
                <w:rFonts w:hint="default" w:ascii="Times New Roman" w:hAnsi="Times New Roman" w:eastAsia="宋体" w:cs="Times New Roman"/>
                <w:color w:val="auto"/>
                <w:sz w:val="24"/>
                <w:szCs w:val="24"/>
              </w:rPr>
              <w:t>因此，本项目建设符合国家</w:t>
            </w:r>
            <w:r>
              <w:rPr>
                <w:rFonts w:hint="default" w:ascii="Times New Roman" w:hAnsi="Times New Roman" w:eastAsia="宋体" w:cs="Times New Roman"/>
                <w:color w:val="auto"/>
                <w:sz w:val="24"/>
                <w:szCs w:val="24"/>
                <w:lang w:val="en-US" w:eastAsia="zh-CN"/>
              </w:rPr>
              <w:t>及地方</w:t>
            </w:r>
            <w:r>
              <w:rPr>
                <w:rFonts w:hint="default" w:ascii="Times New Roman" w:hAnsi="Times New Roman" w:eastAsia="宋体" w:cs="Times New Roman"/>
                <w:color w:val="auto"/>
                <w:sz w:val="24"/>
                <w:szCs w:val="24"/>
              </w:rPr>
              <w:t>产业政策。</w:t>
            </w:r>
          </w:p>
          <w:p>
            <w:pPr>
              <w:pStyle w:val="3"/>
              <w:keepLines w:val="0"/>
              <w:suppressLineNumbers w:val="0"/>
              <w:bidi w:val="0"/>
              <w:spacing w:before="0" w:beforeAutospacing="0" w:after="0" w:afterAutospacing="0"/>
              <w:ind w:right="0"/>
              <w:rPr>
                <w:rFonts w:hint="eastAsia"/>
              </w:rPr>
            </w:pPr>
            <w:r>
              <w:rPr>
                <w:rFonts w:hint="eastAsia"/>
                <w:lang w:val="en-US" w:eastAsia="zh-CN"/>
              </w:rPr>
              <w:t xml:space="preserve">2 </w:t>
            </w:r>
            <w:r>
              <w:rPr>
                <w:rFonts w:hint="eastAsia"/>
              </w:rPr>
              <w:t>“生态环境分区管控方案”符合性分析</w:t>
            </w:r>
          </w:p>
          <w:p>
            <w:pPr>
              <w:keepNext w:val="0"/>
              <w:keepLines w:val="0"/>
              <w:suppressLineNumbers w:val="0"/>
              <w:bidi w:val="0"/>
              <w:spacing w:before="0" w:beforeAutospacing="0" w:after="0" w:afterAutospacing="0"/>
              <w:ind w:left="0" w:right="0"/>
              <w:rPr>
                <w:rFonts w:hint="eastAsia"/>
              </w:rPr>
            </w:pPr>
            <w:r>
              <w:rPr>
                <w:rFonts w:hint="eastAsia"/>
                <w:lang w:val="en-US" w:eastAsia="zh-CN"/>
              </w:rPr>
              <w:t>（1）与《</w:t>
            </w:r>
            <w:r>
              <w:rPr>
                <w:rFonts w:hint="eastAsia"/>
              </w:rPr>
              <w:t>新疆维吾尔自治区“三线一单”生态环境分区管控方案</w:t>
            </w:r>
            <w:r>
              <w:rPr>
                <w:rFonts w:hint="eastAsia"/>
                <w:lang w:val="en-US" w:eastAsia="zh-CN"/>
              </w:rPr>
              <w:t>》符合性分析</w:t>
            </w:r>
          </w:p>
          <w:p>
            <w:pPr>
              <w:pStyle w:val="5"/>
              <w:suppressLineNumbers w:val="0"/>
              <w:bidi w:val="0"/>
              <w:spacing w:before="0" w:after="0"/>
              <w:ind w:left="0" w:right="0"/>
              <w:rPr>
                <w:rFonts w:hint="eastAsia"/>
                <w:lang w:val="en-US" w:eastAsia="zh-CN"/>
              </w:rPr>
            </w:pPr>
            <w:r>
              <w:rPr>
                <w:rFonts w:hint="eastAsia"/>
                <w:lang w:val="en-US" w:eastAsia="zh-CN"/>
              </w:rPr>
              <w:t>表1-1  《新疆维吾尔自治区“三线一单”生态环境分区管控方案》符合性分析</w:t>
            </w:r>
          </w:p>
          <w:tbl>
            <w:tblPr>
              <w:tblStyle w:val="2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121"/>
              <w:gridCol w:w="3770"/>
              <w:gridCol w:w="2078"/>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8" w:type="dxa"/>
                  <w:gridSpan w:val="2"/>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管控维度</w:t>
                  </w:r>
                </w:p>
              </w:tc>
              <w:tc>
                <w:tcPr>
                  <w:tcW w:w="3727"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管控要求</w:t>
                  </w:r>
                </w:p>
              </w:tc>
              <w:tc>
                <w:tcPr>
                  <w:tcW w:w="2054"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本项目情况</w:t>
                  </w:r>
                </w:p>
              </w:tc>
              <w:tc>
                <w:tcPr>
                  <w:tcW w:w="352"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A1空间布局约束</w:t>
                  </w:r>
                </w:p>
              </w:tc>
              <w:tc>
                <w:tcPr>
                  <w:tcW w:w="1108" w:type="dxa"/>
                  <w:vMerge w:val="restart"/>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A1.1禁止开发建设的活动</w:t>
                  </w:r>
                </w:p>
              </w:tc>
              <w:tc>
                <w:tcPr>
                  <w:tcW w:w="3727"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〔A1.1-1〕禁止新建、扩建《产业结构调整指导目录</w:t>
                  </w:r>
                  <w:r>
                    <w:rPr>
                      <w:rFonts w:hint="eastAsia" w:ascii="Times New Roman" w:hAnsi="Times New Roman" w:cs="Times New Roman"/>
                      <w:lang w:val="en-US" w:eastAsia="zh-CN"/>
                    </w:rPr>
                    <w:t>（</w:t>
                  </w:r>
                  <w:r>
                    <w:rPr>
                      <w:rFonts w:hint="default" w:ascii="Times New Roman" w:hAnsi="Times New Roman" w:cs="Times New Roman"/>
                      <w:lang w:val="en-US" w:eastAsia="zh-CN"/>
                    </w:rPr>
                    <w:t>2024年本</w:t>
                  </w:r>
                  <w:r>
                    <w:rPr>
                      <w:rFonts w:hint="eastAsia" w:ascii="Times New Roman" w:hAnsi="Times New Roman" w:cs="Times New Roman"/>
                      <w:lang w:val="en-US" w:eastAsia="zh-CN"/>
                    </w:rPr>
                    <w:t>）</w:t>
                  </w:r>
                  <w:r>
                    <w:rPr>
                      <w:rFonts w:hint="default" w:ascii="Times New Roman" w:hAnsi="Times New Roman" w:cs="Times New Roman"/>
                      <w:lang w:val="en-US" w:eastAsia="zh-CN"/>
                    </w:rPr>
                    <w:t>》中淘汰类项目。禁止引入《市场准入负面清单</w:t>
                  </w:r>
                  <w:r>
                    <w:rPr>
                      <w:rFonts w:hint="eastAsia" w:ascii="Times New Roman" w:hAnsi="Times New Roman" w:cs="Times New Roman"/>
                      <w:lang w:val="en-US" w:eastAsia="zh-CN"/>
                    </w:rPr>
                    <w:t>（</w:t>
                  </w:r>
                  <w:r>
                    <w:rPr>
                      <w:rFonts w:hint="default" w:ascii="Times New Roman" w:hAnsi="Times New Roman" w:cs="Times New Roman"/>
                      <w:lang w:val="en-US" w:eastAsia="zh-CN"/>
                    </w:rPr>
                    <w:t>2022年版</w:t>
                  </w:r>
                  <w:r>
                    <w:rPr>
                      <w:rFonts w:hint="eastAsia" w:ascii="Times New Roman" w:hAnsi="Times New Roman" w:cs="Times New Roman"/>
                      <w:lang w:val="en-US" w:eastAsia="zh-CN"/>
                    </w:rPr>
                    <w:t>）</w:t>
                  </w:r>
                  <w:r>
                    <w:rPr>
                      <w:rFonts w:hint="default" w:ascii="Times New Roman" w:hAnsi="Times New Roman" w:cs="Times New Roman"/>
                      <w:lang w:val="en-US" w:eastAsia="zh-CN"/>
                    </w:rPr>
                    <w:t>》禁止准入类事项。</w:t>
                  </w:r>
                </w:p>
              </w:tc>
              <w:tc>
                <w:tcPr>
                  <w:tcW w:w="2054"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本项目属于防渗渠节水改造项目，根据《产业结构调整指导目录（2024年本）》属于鼓励类项目。</w:t>
                  </w:r>
                </w:p>
              </w:tc>
              <w:tc>
                <w:tcPr>
                  <w:tcW w:w="352"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p>
              </w:tc>
              <w:tc>
                <w:tcPr>
                  <w:tcW w:w="1108" w:type="dxa"/>
                  <w:vMerge w:val="continue"/>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p>
              </w:tc>
              <w:tc>
                <w:tcPr>
                  <w:tcW w:w="3727"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〔A1.1-6〕禁止在自治区行政区域内引进能</w:t>
                  </w:r>
                  <w:r>
                    <w:rPr>
                      <w:rFonts w:hint="eastAsia" w:cs="Times New Roman"/>
                      <w:lang w:val="en-US" w:eastAsia="zh-CN"/>
                    </w:rPr>
                    <w:t>（</w:t>
                  </w:r>
                  <w:r>
                    <w:rPr>
                      <w:rFonts w:hint="default" w:ascii="Times New Roman" w:hAnsi="Times New Roman" w:cs="Times New Roman"/>
                      <w:lang w:val="en-US" w:eastAsia="zh-CN"/>
                    </w:rPr>
                    <w:t>水</w:t>
                  </w:r>
                  <w:r>
                    <w:rPr>
                      <w:rFonts w:hint="eastAsia" w:cs="Times New Roman"/>
                      <w:lang w:val="en-US" w:eastAsia="zh-CN"/>
                    </w:rPr>
                    <w:t>）</w:t>
                  </w:r>
                  <w:r>
                    <w:rPr>
                      <w:rFonts w:hint="default" w:ascii="Times New Roman" w:hAnsi="Times New Roman" w:cs="Times New Roman"/>
                      <w:lang w:val="en-US" w:eastAsia="zh-CN"/>
                    </w:rPr>
                    <w:t>耗不符合相关国家标准中准入值要求且污染物排放和环境风险防控不符合国家</w:t>
                  </w:r>
                  <w:r>
                    <w:rPr>
                      <w:rFonts w:hint="eastAsia" w:ascii="Times New Roman" w:hAnsi="Times New Roman" w:cs="Times New Roman"/>
                      <w:lang w:val="en-US" w:eastAsia="zh-CN"/>
                    </w:rPr>
                    <w:t>（</w:t>
                  </w:r>
                  <w:r>
                    <w:rPr>
                      <w:rFonts w:hint="default" w:ascii="Times New Roman" w:hAnsi="Times New Roman" w:cs="Times New Roman"/>
                      <w:lang w:val="en-US" w:eastAsia="zh-CN"/>
                    </w:rPr>
                    <w:t>地方</w:t>
                  </w:r>
                  <w:r>
                    <w:rPr>
                      <w:rFonts w:hint="eastAsia" w:ascii="Times New Roman" w:hAnsi="Times New Roman" w:cs="Times New Roman"/>
                      <w:lang w:val="en-US" w:eastAsia="zh-CN"/>
                    </w:rPr>
                    <w:t>）</w:t>
                  </w:r>
                  <w:r>
                    <w:rPr>
                      <w:rFonts w:hint="default" w:ascii="Times New Roman" w:hAnsi="Times New Roman" w:cs="Times New Roman"/>
                      <w:lang w:val="en-US" w:eastAsia="zh-CN"/>
                    </w:rPr>
                    <w:t>标准及有关产业准入条件的高污染</w:t>
                  </w:r>
                  <w:r>
                    <w:rPr>
                      <w:rFonts w:hint="eastAsia" w:ascii="Times New Roman" w:hAnsi="Times New Roman" w:cs="Times New Roman"/>
                      <w:lang w:val="en-US" w:eastAsia="zh-CN"/>
                    </w:rPr>
                    <w:t>（</w:t>
                  </w:r>
                  <w:r>
                    <w:rPr>
                      <w:rFonts w:hint="default" w:ascii="Times New Roman" w:hAnsi="Times New Roman" w:cs="Times New Roman"/>
                      <w:lang w:val="en-US" w:eastAsia="zh-CN"/>
                    </w:rPr>
                    <w:t>排放</w:t>
                  </w:r>
                  <w:r>
                    <w:rPr>
                      <w:rFonts w:hint="eastAsia" w:ascii="Times New Roman" w:hAnsi="Times New Roman" w:cs="Times New Roman"/>
                      <w:lang w:val="en-US" w:eastAsia="zh-CN"/>
                    </w:rPr>
                    <w:t>）</w:t>
                  </w:r>
                  <w:r>
                    <w:rPr>
                      <w:rFonts w:hint="default" w:ascii="Times New Roman" w:hAnsi="Times New Roman" w:cs="Times New Roman"/>
                      <w:lang w:val="en-US" w:eastAsia="zh-CN"/>
                    </w:rPr>
                    <w:t>、高能</w:t>
                  </w:r>
                  <w:r>
                    <w:rPr>
                      <w:rFonts w:hint="eastAsia" w:ascii="Times New Roman" w:hAnsi="Times New Roman" w:cs="Times New Roman"/>
                      <w:lang w:val="en-US" w:eastAsia="zh-CN"/>
                    </w:rPr>
                    <w:t>（</w:t>
                  </w:r>
                  <w:r>
                    <w:rPr>
                      <w:rFonts w:hint="default" w:ascii="Times New Roman" w:hAnsi="Times New Roman" w:cs="Times New Roman"/>
                      <w:lang w:val="en-US" w:eastAsia="zh-CN"/>
                    </w:rPr>
                    <w:t>水</w:t>
                  </w:r>
                  <w:r>
                    <w:rPr>
                      <w:rFonts w:hint="eastAsia" w:ascii="Times New Roman" w:hAnsi="Times New Roman" w:cs="Times New Roman"/>
                      <w:lang w:val="en-US" w:eastAsia="zh-CN"/>
                    </w:rPr>
                    <w:t>）</w:t>
                  </w:r>
                  <w:r>
                    <w:rPr>
                      <w:rFonts w:hint="default" w:ascii="Times New Roman" w:hAnsi="Times New Roman" w:cs="Times New Roman"/>
                      <w:lang w:val="en-US" w:eastAsia="zh-CN"/>
                    </w:rPr>
                    <w:t>耗、高环境风险的工业项目。</w:t>
                  </w:r>
                </w:p>
              </w:tc>
              <w:tc>
                <w:tcPr>
                  <w:tcW w:w="2054"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项目不属于高能</w:t>
                  </w:r>
                  <w:r>
                    <w:rPr>
                      <w:rFonts w:hint="eastAsia" w:ascii="Times New Roman" w:hAnsi="Times New Roman" w:cs="Times New Roman"/>
                      <w:lang w:val="en-US" w:eastAsia="zh-CN"/>
                    </w:rPr>
                    <w:t>（</w:t>
                  </w:r>
                  <w:r>
                    <w:rPr>
                      <w:rFonts w:hint="default" w:ascii="Times New Roman" w:hAnsi="Times New Roman" w:cs="Times New Roman"/>
                      <w:lang w:val="en-US" w:eastAsia="zh-CN"/>
                    </w:rPr>
                    <w:t>水</w:t>
                  </w:r>
                  <w:r>
                    <w:rPr>
                      <w:rFonts w:hint="eastAsia" w:ascii="Times New Roman" w:hAnsi="Times New Roman" w:cs="Times New Roman"/>
                      <w:lang w:val="en-US" w:eastAsia="zh-CN"/>
                    </w:rPr>
                    <w:t>）</w:t>
                  </w:r>
                  <w:r>
                    <w:rPr>
                      <w:rFonts w:hint="default" w:ascii="Times New Roman" w:hAnsi="Times New Roman" w:cs="Times New Roman"/>
                      <w:lang w:val="en-US" w:eastAsia="zh-CN"/>
                    </w:rPr>
                    <w:t>耗、高环境风险的工业项目。</w:t>
                  </w:r>
                </w:p>
              </w:tc>
              <w:tc>
                <w:tcPr>
                  <w:tcW w:w="352"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p>
              </w:tc>
              <w:tc>
                <w:tcPr>
                  <w:tcW w:w="1108"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A1.2限制开发建设的活动</w:t>
                  </w:r>
                </w:p>
              </w:tc>
              <w:tc>
                <w:tcPr>
                  <w:tcW w:w="3727"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〔A1.2-1〕严格控制缺水地区、水污染严重区域和敏感区域高耗水、高污染行业发展。</w:t>
                  </w:r>
                </w:p>
              </w:tc>
              <w:tc>
                <w:tcPr>
                  <w:tcW w:w="2054"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本项目不属于高耗水、高污染行业。</w:t>
                  </w:r>
                </w:p>
              </w:tc>
              <w:tc>
                <w:tcPr>
                  <w:tcW w:w="352"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A2污染物排放管控</w:t>
                  </w:r>
                </w:p>
              </w:tc>
              <w:tc>
                <w:tcPr>
                  <w:tcW w:w="1108"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A2.2污染控制措施要求</w:t>
                  </w:r>
                </w:p>
              </w:tc>
              <w:tc>
                <w:tcPr>
                  <w:tcW w:w="3727"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〔A2.2-4〕强化用水定额管理。推进地下水超采综合治理。开展河湖生态流量</w:t>
                  </w:r>
                  <w:r>
                    <w:rPr>
                      <w:rFonts w:hint="eastAsia" w:ascii="Times New Roman" w:hAnsi="Times New Roman" w:cs="Times New Roman"/>
                      <w:lang w:val="en-US" w:eastAsia="zh-CN"/>
                    </w:rPr>
                    <w:t>（</w:t>
                  </w:r>
                  <w:r>
                    <w:rPr>
                      <w:rFonts w:hint="default" w:ascii="Times New Roman" w:hAnsi="Times New Roman" w:cs="Times New Roman"/>
                      <w:lang w:val="en-US" w:eastAsia="zh-CN"/>
                    </w:rPr>
                    <w:t>水量</w:t>
                  </w:r>
                  <w:r>
                    <w:rPr>
                      <w:rFonts w:hint="eastAsia" w:ascii="Times New Roman" w:hAnsi="Times New Roman" w:cs="Times New Roman"/>
                      <w:lang w:val="en-US" w:eastAsia="zh-CN"/>
                    </w:rPr>
                    <w:t>）</w:t>
                  </w:r>
                  <w:r>
                    <w:rPr>
                      <w:rFonts w:hint="default" w:ascii="Times New Roman" w:hAnsi="Times New Roman" w:cs="Times New Roman"/>
                      <w:lang w:val="en-US" w:eastAsia="zh-CN"/>
                    </w:rPr>
                    <w:t>确定工作，强化生态用水保障。</w:t>
                  </w:r>
                </w:p>
              </w:tc>
              <w:tc>
                <w:tcPr>
                  <w:tcW w:w="2054" w:type="dxa"/>
                  <w:noWrap w:val="0"/>
                  <w:vAlign w:val="center"/>
                </w:tcPr>
                <w:p>
                  <w:pPr>
                    <w:pStyle w:val="6"/>
                    <w:suppressLineNumbers w:val="0"/>
                    <w:bidi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本项目不涉及地下水开采。</w:t>
                  </w:r>
                </w:p>
              </w:tc>
              <w:tc>
                <w:tcPr>
                  <w:tcW w:w="352" w:type="dxa"/>
                  <w:noWrap w:val="0"/>
                  <w:vAlign w:val="center"/>
                </w:tcPr>
                <w:p>
                  <w:pPr>
                    <w:pStyle w:val="6"/>
                    <w:suppressLineNumbers w:val="0"/>
                    <w:bidi w:val="0"/>
                    <w:spacing w:before="0" w:beforeAutospacing="0" w:after="0" w:afterAutospacing="0"/>
                    <w:ind w:left="0" w:right="0"/>
                    <w:rPr>
                      <w:rFonts w:hint="default" w:ascii="Times New Roman" w:hAnsi="Times New Roman" w:cs="Times New Roman"/>
                      <w:lang w:val="en-US" w:eastAsia="zh-CN"/>
                    </w:rPr>
                  </w:pPr>
                  <w:r>
                    <w:rPr>
                      <w:rFonts w:hint="default" w:ascii="Times New Roman" w:hAnsi="Times New Roman" w:cs="Times New Roman"/>
                      <w:lang w:val="en-US" w:eastAsia="zh-CN"/>
                    </w:rPr>
                    <w:t>符合</w:t>
                  </w:r>
                </w:p>
              </w:tc>
            </w:tr>
          </w:tbl>
          <w:p>
            <w:pPr>
              <w:keepNext w:val="0"/>
              <w:keepLines w:val="0"/>
              <w:suppressLineNumbers w:val="0"/>
              <w:bidi w:val="0"/>
              <w:spacing w:before="0" w:beforeAutospacing="0" w:after="0" w:afterAutospacing="0"/>
              <w:ind w:left="0" w:right="0"/>
              <w:rPr>
                <w:rFonts w:hint="eastAsia" w:ascii="宋体" w:hAnsi="宋体" w:eastAsia="宋体" w:cs="宋体"/>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与《巴音郭楞蒙古自治州“三线一单”生态环境分区管控动态更新成果（</w:t>
            </w:r>
            <w:r>
              <w:rPr>
                <w:rFonts w:hint="default" w:ascii="Times New Roman" w:hAnsi="Times New Roman" w:eastAsia="宋体" w:cs="Times New Roman"/>
                <w:b w:val="0"/>
                <w:bCs w:val="0"/>
                <w:color w:val="auto"/>
                <w:sz w:val="24"/>
                <w:szCs w:val="24"/>
                <w:lang w:val="en-US" w:eastAsia="zh-CN"/>
              </w:rPr>
              <w:t>2023</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符合性分析</w:t>
            </w:r>
          </w:p>
          <w:p>
            <w:pPr>
              <w:keepNext w:val="0"/>
              <w:keepLines w:val="0"/>
              <w:suppressLineNumbers w:val="0"/>
              <w:bidi w:val="0"/>
              <w:spacing w:before="0" w:beforeAutospacing="0" w:after="0" w:afterAutospacing="0"/>
              <w:ind w:left="0" w:right="0"/>
              <w:rPr>
                <w:rFonts w:hint="eastAsia"/>
              </w:rPr>
            </w:pPr>
            <w:r>
              <w:rPr>
                <w:rFonts w:hint="eastAsia"/>
                <w:lang w:val="en-US" w:eastAsia="zh-CN"/>
              </w:rPr>
              <w:t>项目位于新疆巴音郭楞蒙古自治州若羌县铁干里克镇托格拉克勒克村，根据《巴音郭楞蒙古自治州“三线一单”生态环境分区管控动态更新成果（2023年）》（巴政办发〔2024〕32号）</w:t>
            </w:r>
            <w:r>
              <w:rPr>
                <w:rFonts w:hint="eastAsia"/>
                <w:lang w:eastAsia="zh-CN"/>
              </w:rPr>
              <w:t>，</w:t>
            </w:r>
            <w:r>
              <w:rPr>
                <w:rFonts w:hint="eastAsia"/>
              </w:rPr>
              <w:t>本项目位于</w:t>
            </w:r>
            <w:r>
              <w:rPr>
                <w:rFonts w:hint="eastAsia"/>
                <w:lang w:val="en-US" w:eastAsia="zh-CN"/>
              </w:rPr>
              <w:t>一般</w:t>
            </w:r>
            <w:r>
              <w:rPr>
                <w:rFonts w:hint="eastAsia"/>
              </w:rPr>
              <w:t>管控单元</w:t>
            </w:r>
            <w:r>
              <w:rPr>
                <w:rFonts w:hint="eastAsia"/>
                <w:lang w:eastAsia="zh-CN"/>
              </w:rPr>
              <w:t>，</w:t>
            </w:r>
            <w:r>
              <w:rPr>
                <w:rFonts w:hint="eastAsia"/>
                <w:lang w:val="en-US" w:eastAsia="zh-CN"/>
              </w:rPr>
              <w:t>其符合性分析见下表</w:t>
            </w:r>
            <w:r>
              <w:rPr>
                <w:rFonts w:hint="eastAsia"/>
              </w:rPr>
              <w:t>。</w:t>
            </w:r>
          </w:p>
          <w:p>
            <w:pPr>
              <w:pStyle w:val="5"/>
              <w:suppressLineNumbers w:val="0"/>
              <w:bidi w:val="0"/>
              <w:spacing w:before="0" w:after="0"/>
              <w:ind w:left="0" w:right="0"/>
              <w:rPr>
                <w:rFonts w:hint="eastAsia"/>
              </w:rPr>
            </w:pPr>
            <w:r>
              <w:rPr>
                <w:rFonts w:hint="eastAsia"/>
              </w:rPr>
              <w:t>表1</w:t>
            </w:r>
            <w:r>
              <w:rPr>
                <w:rFonts w:hint="eastAsia"/>
                <w:lang w:val="en-US" w:eastAsia="zh-CN"/>
              </w:rPr>
              <w:t>-2</w:t>
            </w:r>
            <w:r>
              <w:rPr>
                <w:rFonts w:hint="eastAsia"/>
              </w:rPr>
              <w:t xml:space="preserve">  与</w:t>
            </w:r>
            <w:r>
              <w:rPr>
                <w:rFonts w:hint="eastAsia"/>
                <w:lang w:val="en-US" w:eastAsia="zh-CN"/>
              </w:rPr>
              <w:t>若羌县一般管控区</w:t>
            </w:r>
            <w:r>
              <w:rPr>
                <w:rFonts w:hint="eastAsia"/>
              </w:rPr>
              <w:t>符</w:t>
            </w:r>
            <w:r>
              <w:rPr>
                <w:rFonts w:hint="eastAsia"/>
                <w:lang w:val="en-US" w:eastAsia="zh-CN"/>
              </w:rPr>
              <w:t>合</w:t>
            </w:r>
            <w:r>
              <w:rPr>
                <w:rFonts w:hint="eastAsia"/>
              </w:rPr>
              <w:t>性分析</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654"/>
              <w:gridCol w:w="5084"/>
              <w:gridCol w:w="1519"/>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pct"/>
                  <w:gridSpan w:val="2"/>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环境管控单元编码</w:t>
                  </w:r>
                </w:p>
              </w:tc>
              <w:tc>
                <w:tcPr>
                  <w:tcW w:w="3015"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ZH65282430001</w:t>
                  </w:r>
                </w:p>
              </w:tc>
              <w:tc>
                <w:tcPr>
                  <w:tcW w:w="901" w:type="pct"/>
                  <w:vMerge w:val="restart"/>
                  <w:noWrap w:val="0"/>
                  <w:vAlign w:val="center"/>
                </w:tcPr>
                <w:p>
                  <w:pPr>
                    <w:pStyle w:val="6"/>
                    <w:suppressLineNumbers w:val="0"/>
                    <w:bidi w:val="0"/>
                    <w:spacing w:before="0" w:beforeAutospacing="0" w:after="0" w:afterAutospacing="0"/>
                    <w:ind w:left="0" w:right="0"/>
                    <w:rPr>
                      <w:rFonts w:hint="default"/>
                      <w:lang w:eastAsia="zh-CN"/>
                    </w:rPr>
                  </w:pPr>
                  <w:r>
                    <w:rPr>
                      <w:rFonts w:hint="default"/>
                      <w:lang w:val="en-US" w:eastAsia="zh-CN"/>
                    </w:rPr>
                    <w:t>本工程情况</w:t>
                  </w:r>
                </w:p>
              </w:tc>
              <w:tc>
                <w:tcPr>
                  <w:tcW w:w="400" w:type="pct"/>
                  <w:vMerge w:val="restar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pct"/>
                  <w:gridSpan w:val="2"/>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环境管控单元名称</w:t>
                  </w:r>
                </w:p>
              </w:tc>
              <w:tc>
                <w:tcPr>
                  <w:tcW w:w="3015"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若羌县一般管控区</w:t>
                  </w:r>
                </w:p>
              </w:tc>
              <w:tc>
                <w:tcPr>
                  <w:tcW w:w="901" w:type="pct"/>
                  <w:vMerge w:val="continue"/>
                  <w:noWrap w:val="0"/>
                  <w:vAlign w:val="center"/>
                </w:tcPr>
                <w:p>
                  <w:pPr>
                    <w:pStyle w:val="6"/>
                    <w:suppressLineNumbers w:val="0"/>
                    <w:bidi w:val="0"/>
                    <w:spacing w:before="0" w:beforeAutospacing="0" w:after="0" w:afterAutospacing="0"/>
                    <w:ind w:left="0" w:right="0"/>
                    <w:rPr>
                      <w:rFonts w:hint="default"/>
                      <w:lang w:eastAsia="zh-CN"/>
                    </w:rPr>
                  </w:pPr>
                </w:p>
              </w:tc>
              <w:tc>
                <w:tcPr>
                  <w:tcW w:w="400" w:type="pct"/>
                  <w:vMerge w:val="continue"/>
                  <w:noWrap w:val="0"/>
                  <w:vAlign w:val="center"/>
                </w:tcPr>
                <w:p>
                  <w:pPr>
                    <w:pStyle w:val="6"/>
                    <w:suppressLineNumbers w:val="0"/>
                    <w:bidi w:val="0"/>
                    <w:spacing w:before="0" w:beforeAutospacing="0" w:after="0" w:afterAutospacing="0"/>
                    <w:ind w:left="0" w:right="0"/>
                    <w:rPr>
                      <w:rFonts w:hint="defaul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1" w:type="pct"/>
                  <w:gridSpan w:val="2"/>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rPr>
                    <w:t>环境管控单元类别</w:t>
                  </w:r>
                </w:p>
              </w:tc>
              <w:tc>
                <w:tcPr>
                  <w:tcW w:w="3015"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一般管控单元</w:t>
                  </w:r>
                </w:p>
              </w:tc>
              <w:tc>
                <w:tcPr>
                  <w:tcW w:w="901" w:type="pct"/>
                  <w:vMerge w:val="continue"/>
                  <w:noWrap w:val="0"/>
                  <w:vAlign w:val="center"/>
                </w:tcPr>
                <w:p>
                  <w:pPr>
                    <w:pStyle w:val="6"/>
                    <w:suppressLineNumbers w:val="0"/>
                    <w:bidi w:val="0"/>
                    <w:spacing w:before="0" w:beforeAutospacing="0" w:after="0" w:afterAutospacing="0"/>
                    <w:ind w:left="0" w:right="0"/>
                    <w:rPr>
                      <w:rFonts w:hint="default"/>
                      <w:lang w:eastAsia="zh-CN"/>
                    </w:rPr>
                  </w:pPr>
                </w:p>
              </w:tc>
              <w:tc>
                <w:tcPr>
                  <w:tcW w:w="400" w:type="pct"/>
                  <w:vMerge w:val="continue"/>
                  <w:noWrap w:val="0"/>
                  <w:vAlign w:val="center"/>
                </w:tcPr>
                <w:p>
                  <w:pPr>
                    <w:pStyle w:val="6"/>
                    <w:suppressLineNumbers w:val="0"/>
                    <w:bidi w:val="0"/>
                    <w:spacing w:before="0" w:beforeAutospacing="0" w:after="0" w:afterAutospacing="0"/>
                    <w:ind w:left="0" w:right="0"/>
                    <w:rPr>
                      <w:rFonts w:hint="default"/>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Merge w:val="restart"/>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管控要求</w:t>
                  </w:r>
                </w:p>
              </w:tc>
              <w:tc>
                <w:tcPr>
                  <w:tcW w:w="388"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空间布局约束</w:t>
                  </w:r>
                </w:p>
              </w:tc>
              <w:tc>
                <w:tcPr>
                  <w:tcW w:w="3015" w:type="pct"/>
                  <w:noWrap w:val="0"/>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1.建设项目用地原则上不得占用基本农田，确需占用基本农田的建设项目须符合《中华人民共和国基本农田保护条例》中相关要求，占用耕地、林地或草地的建设项目须按照国家、自治区相关补偿要求进行补偿。</w:t>
                  </w:r>
                </w:p>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3.永久基本农田集中区域禁止规划新建可能造成土壤污染的建设项目。涉及有毒有害物质可能造成土壤污染的新(改、扩)建项目，提出并落实土壤和地下水污染防治要求。</w:t>
                  </w:r>
                </w:p>
              </w:tc>
              <w:tc>
                <w:tcPr>
                  <w:tcW w:w="901" w:type="pct"/>
                  <w:noWrap w:val="0"/>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本项目属于防渗渠节水改造项目，</w:t>
                  </w:r>
                  <w:r>
                    <w:rPr>
                      <w:rFonts w:hint="eastAsia"/>
                      <w:lang w:val="en-US" w:eastAsia="zh-CN"/>
                    </w:rPr>
                    <w:t>不涉及侵占基本农田。</w:t>
                  </w:r>
                </w:p>
              </w:tc>
              <w:tc>
                <w:tcPr>
                  <w:tcW w:w="400"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c>
                <w:tcPr>
                  <w:tcW w:w="388"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污染物排放管控</w:t>
                  </w:r>
                </w:p>
              </w:tc>
              <w:tc>
                <w:tcPr>
                  <w:tcW w:w="3015" w:type="pct"/>
                  <w:noWrap w:val="0"/>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1.强化畜禽粪污资源化利用，改善养殖场通风环境，提高畜禽粪污综合利用率，减少氨挥发排放。鼓励和支持散养密集区实行畜禽粪污分户收集、集中处理。</w:t>
                  </w:r>
                </w:p>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2.严格控制林地、草地、园地农药使用量，禁止使用高毒、高残留农药。</w:t>
                  </w:r>
                </w:p>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4.对化学品生产企业、工业集聚区、尾矿库、矿山开采区、危险废物处置场、垃圾填埋场等地下水污染源及周边区域，逐步开展地下水环境状况调查评估，加强风险管控。</w:t>
                  </w:r>
                </w:p>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5.严控土壤重金属污染，加强油（气）田开发土壤污染防治，以历史遗留工业企业污染场地为重点，开展土壤污染风险管控与修复工程。</w:t>
                  </w:r>
                </w:p>
              </w:tc>
              <w:tc>
                <w:tcPr>
                  <w:tcW w:w="901" w:type="pct"/>
                  <w:noWrap w:val="0"/>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项目为生态类项目，不涉及污染物排放；施工期废水不外排。</w:t>
                  </w:r>
                </w:p>
              </w:tc>
              <w:tc>
                <w:tcPr>
                  <w:tcW w:w="400" w:type="pct"/>
                  <w:noWrap w:val="0"/>
                  <w:vAlign w:val="center"/>
                </w:tcPr>
                <w:p>
                  <w:pPr>
                    <w:pStyle w:val="6"/>
                    <w:suppressLineNumbers w:val="0"/>
                    <w:bidi w:val="0"/>
                    <w:spacing w:before="0" w:beforeAutospacing="0" w:after="0" w:afterAutospacing="0"/>
                    <w:ind w:left="0" w:right="0"/>
                    <w:rPr>
                      <w:rFonts w:hint="default"/>
                      <w:lang w:eastAsia="zh-CN"/>
                    </w:rPr>
                  </w:pPr>
                  <w:r>
                    <w:rPr>
                      <w:rFonts w:hint="default"/>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c>
                <w:tcPr>
                  <w:tcW w:w="388"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环境风险防控</w:t>
                  </w:r>
                </w:p>
              </w:tc>
              <w:tc>
                <w:tcPr>
                  <w:tcW w:w="3015" w:type="pct"/>
                  <w:noWrap w:val="0"/>
                  <w:vAlign w:val="center"/>
                </w:tcPr>
                <w:p>
                  <w:pPr>
                    <w:pStyle w:val="6"/>
                    <w:suppressLineNumbers w:val="0"/>
                    <w:bidi w:val="0"/>
                    <w:spacing w:before="0" w:beforeAutospacing="0" w:after="0" w:afterAutospacing="0"/>
                    <w:ind w:left="0" w:right="0"/>
                    <w:jc w:val="center"/>
                    <w:rPr>
                      <w:rFonts w:hint="default"/>
                      <w:highlight w:val="none"/>
                      <w:lang w:val="en-US" w:eastAsia="zh-CN"/>
                    </w:rPr>
                  </w:pPr>
                  <w:r>
                    <w:rPr>
                      <w:rFonts w:hint="default"/>
                      <w:highlight w:val="none"/>
                      <w:lang w:val="en-US" w:eastAsia="zh-CN"/>
                    </w:rPr>
                    <w:t>3.依法推行农用地分类管理制度，强化受污染耕地安全利用和风险管控。因地制宜制定实施安全利用方案，鼓励采取种植结构调整等措施，确保受污染耕地全部实现安全利用。</w:t>
                  </w:r>
                </w:p>
                <w:p>
                  <w:pPr>
                    <w:pStyle w:val="6"/>
                    <w:suppressLineNumbers w:val="0"/>
                    <w:bidi w:val="0"/>
                    <w:spacing w:before="0" w:beforeAutospacing="0" w:after="0" w:afterAutospacing="0"/>
                    <w:ind w:left="0" w:right="0"/>
                    <w:jc w:val="center"/>
                    <w:rPr>
                      <w:rFonts w:hint="default"/>
                      <w:highlight w:val="yellow"/>
                      <w:lang w:val="en-US" w:eastAsia="zh-CN"/>
                    </w:rPr>
                  </w:pPr>
                  <w:r>
                    <w:rPr>
                      <w:rFonts w:hint="default"/>
                      <w:highlight w:val="none"/>
                      <w:lang w:val="en-US" w:eastAsia="zh-CN"/>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901" w:type="pct"/>
                  <w:noWrap w:val="0"/>
                  <w:vAlign w:val="center"/>
                </w:tcPr>
                <w:p>
                  <w:pPr>
                    <w:pStyle w:val="6"/>
                    <w:suppressLineNumbers w:val="0"/>
                    <w:bidi w:val="0"/>
                    <w:spacing w:before="0" w:beforeAutospacing="0" w:after="0" w:afterAutospacing="0"/>
                    <w:ind w:left="0" w:right="0"/>
                    <w:jc w:val="center"/>
                    <w:rPr>
                      <w:rFonts w:hint="default"/>
                      <w:highlight w:val="yellow"/>
                      <w:lang w:val="en-US" w:eastAsia="zh-CN"/>
                    </w:rPr>
                  </w:pPr>
                  <w:r>
                    <w:rPr>
                      <w:rFonts w:hint="default"/>
                      <w:highlight w:val="none"/>
                      <w:lang w:val="en-US" w:eastAsia="zh-CN"/>
                    </w:rPr>
                    <w:t>本项目运营期无污染物排放，施工期无废水外排；固体废物储存场所等配备完善的防扬散、防流失、防渗漏措施</w:t>
                  </w:r>
                  <w:r>
                    <w:rPr>
                      <w:rFonts w:hint="eastAsia"/>
                      <w:highlight w:val="none"/>
                      <w:lang w:val="en-US" w:eastAsia="zh-CN"/>
                    </w:rPr>
                    <w:t>，强化水土保持措施落实，严格控制施工扰动范围，做好临时堆土、开挖面、施工便道的防风固沙与拦挡、苫盖、洒水等防护，防止水土流失与风蚀沙化</w:t>
                  </w:r>
                  <w:r>
                    <w:rPr>
                      <w:rFonts w:hint="default"/>
                      <w:highlight w:val="none"/>
                      <w:lang w:val="en-US" w:eastAsia="zh-CN"/>
                    </w:rPr>
                    <w:t>。</w:t>
                  </w:r>
                </w:p>
              </w:tc>
              <w:tc>
                <w:tcPr>
                  <w:tcW w:w="400" w:type="pct"/>
                  <w:noWrap w:val="0"/>
                  <w:vAlign w:val="center"/>
                </w:tcPr>
                <w:p>
                  <w:pPr>
                    <w:pStyle w:val="6"/>
                    <w:suppressLineNumbers w:val="0"/>
                    <w:bidi w:val="0"/>
                    <w:spacing w:before="0" w:beforeAutospacing="0" w:after="0" w:afterAutospacing="0"/>
                    <w:ind w:left="0" w:right="0"/>
                    <w:rPr>
                      <w:rFonts w:hint="default"/>
                      <w:lang w:eastAsia="zh-CN"/>
                    </w:rPr>
                  </w:pPr>
                  <w:r>
                    <w:rPr>
                      <w:rFonts w:hint="default"/>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c>
                <w:tcPr>
                  <w:tcW w:w="388"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资源利用效率</w:t>
                  </w:r>
                </w:p>
              </w:tc>
              <w:tc>
                <w:tcPr>
                  <w:tcW w:w="3015" w:type="pct"/>
                  <w:noWrap w:val="0"/>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3.推广渠道防渗、管道输水、喷灌、微灌等节水灌溉技术，完善灌溉用水计量设施。推进规模化高效节水灌溉，推广农作物节水抗旱技术。建立灌区墒情测报网络，提高农业用水效率，降低农业用水比重。</w:t>
                  </w:r>
                </w:p>
              </w:tc>
              <w:tc>
                <w:tcPr>
                  <w:tcW w:w="901" w:type="pct"/>
                  <w:noWrap w:val="0"/>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项目属于防渗渠节水改造项目，能够完善灌溉用水设施。</w:t>
                  </w:r>
                </w:p>
              </w:tc>
              <w:tc>
                <w:tcPr>
                  <w:tcW w:w="400" w:type="pct"/>
                  <w:noWrap w:val="0"/>
                  <w:vAlign w:val="center"/>
                </w:tcPr>
                <w:p>
                  <w:pPr>
                    <w:pStyle w:val="6"/>
                    <w:suppressLineNumbers w:val="0"/>
                    <w:bidi w:val="0"/>
                    <w:spacing w:before="0" w:beforeAutospacing="0" w:after="0" w:afterAutospacing="0"/>
                    <w:ind w:left="0" w:right="0"/>
                    <w:rPr>
                      <w:rFonts w:hint="default"/>
                      <w:lang w:eastAsia="zh-CN"/>
                    </w:rPr>
                  </w:pPr>
                  <w:r>
                    <w:rPr>
                      <w:rFonts w:hint="default"/>
                      <w:lang w:val="en-US" w:eastAsia="zh-CN"/>
                    </w:rPr>
                    <w:t>符合</w:t>
                  </w:r>
                </w:p>
              </w:tc>
            </w:tr>
          </w:tbl>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3 与《新疆生态环境保护“十四五”规划》符合性分析</w:t>
            </w:r>
          </w:p>
          <w:p>
            <w:pPr>
              <w:keepNext w:val="0"/>
              <w:keepLines w:val="0"/>
              <w:pageBreakBefore w:val="0"/>
              <w:suppressLineNumbers w:val="0"/>
              <w:kinsoku/>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《新疆生态环境保护</w:t>
            </w:r>
            <w:r>
              <w:rPr>
                <w:rFonts w:hint="eastAsia" w:ascii="宋体" w:hAnsi="宋体" w:eastAsia="宋体" w:cs="宋体"/>
                <w:color w:val="auto"/>
                <w:sz w:val="24"/>
                <w:szCs w:val="24"/>
                <w:highlight w:val="none"/>
              </w:rPr>
              <w:t>“十四五”</w:t>
            </w:r>
            <w:r>
              <w:rPr>
                <w:rFonts w:hint="default" w:ascii="Times New Roman" w:hAnsi="Times New Roman" w:eastAsia="宋体" w:cs="Times New Roman"/>
                <w:color w:val="auto"/>
                <w:sz w:val="24"/>
                <w:szCs w:val="24"/>
                <w:highlight w:val="none"/>
              </w:rPr>
              <w:t>规划》</w:t>
            </w:r>
            <w:r>
              <w:rPr>
                <w:rFonts w:hint="default" w:ascii="Times New Roman" w:hAnsi="Times New Roman" w:eastAsia="宋体" w:cs="Times New Roman"/>
                <w:color w:val="auto"/>
                <w:sz w:val="24"/>
                <w:szCs w:val="24"/>
                <w:highlight w:val="none"/>
                <w:lang w:eastAsia="zh-CN"/>
              </w:rPr>
              <w:t>中</w:t>
            </w:r>
            <w:r>
              <w:rPr>
                <w:rFonts w:hint="default" w:ascii="Times New Roman" w:hAnsi="Times New Roman" w:eastAsia="宋体" w:cs="Times New Roman"/>
                <w:color w:val="auto"/>
                <w:sz w:val="24"/>
                <w:szCs w:val="24"/>
                <w:highlight w:val="none"/>
              </w:rPr>
              <w:t>第六章强化</w:t>
            </w:r>
            <w:r>
              <w:rPr>
                <w:rFonts w:hint="eastAsia" w:ascii="宋体" w:hAnsi="宋体" w:eastAsia="宋体" w:cs="宋体"/>
                <w:color w:val="auto"/>
                <w:sz w:val="24"/>
                <w:szCs w:val="24"/>
                <w:highlight w:val="none"/>
              </w:rPr>
              <w:t>“三水”</w:t>
            </w:r>
            <w:r>
              <w:rPr>
                <w:rFonts w:hint="default" w:ascii="Times New Roman" w:hAnsi="Times New Roman" w:eastAsia="宋体" w:cs="Times New Roman"/>
                <w:color w:val="auto"/>
                <w:sz w:val="24"/>
                <w:szCs w:val="24"/>
                <w:highlight w:val="none"/>
              </w:rPr>
              <w:t>统筹，提升水生态环境第一节推进</w:t>
            </w:r>
            <w:r>
              <w:rPr>
                <w:rFonts w:hint="eastAsia" w:ascii="宋体" w:hAnsi="宋体" w:eastAsia="宋体" w:cs="宋体"/>
                <w:color w:val="auto"/>
                <w:sz w:val="24"/>
                <w:szCs w:val="24"/>
                <w:highlight w:val="none"/>
              </w:rPr>
              <w:t>“三水”</w:t>
            </w:r>
            <w:r>
              <w:rPr>
                <w:rFonts w:hint="default" w:ascii="Times New Roman" w:hAnsi="Times New Roman" w:eastAsia="宋体" w:cs="Times New Roman"/>
                <w:color w:val="auto"/>
                <w:sz w:val="24"/>
                <w:szCs w:val="24"/>
                <w:highlight w:val="none"/>
              </w:rPr>
              <w:t>统筹管理</w:t>
            </w:r>
            <w:r>
              <w:rPr>
                <w:rFonts w:hint="default" w:ascii="Times New Roman" w:hAnsi="Times New Roman" w:eastAsia="宋体" w:cs="Times New Roman"/>
                <w:color w:val="auto"/>
                <w:sz w:val="24"/>
                <w:szCs w:val="24"/>
                <w:highlight w:val="none"/>
                <w:lang w:eastAsia="zh-CN"/>
              </w:rPr>
              <w:t>明确了</w:t>
            </w:r>
            <w:r>
              <w:rPr>
                <w:rFonts w:hint="default" w:ascii="Times New Roman" w:hAnsi="Times New Roman" w:eastAsia="宋体" w:cs="Times New Roman"/>
                <w:color w:val="auto"/>
                <w:sz w:val="24"/>
                <w:szCs w:val="24"/>
                <w:highlight w:val="none"/>
              </w:rPr>
              <w:t>加强水资源、水生态、水环境系统管理。强化水资源刚性约束，深入推进最严格水资源管理制度，严格实行区域用水总量和强度控制，强化节水约束性指标管理。严格河湖生态流量管理，增加生态用水保障，促进水生态恢复。到2025年，全疆用水总量控制在539.27亿立方米以内（其中兵团用水总量控制在117.38亿立方米以内），农业灌溉水有效利用系数提高到0.58。建立和完善统一的污染物总量控制和监督管理系统，制定从源头准入到污染物排放许可控制的水污染减排方案。全面落实河（湖）长制，实施水陆统筹的水污染减排机制，严格执行污染物排放总量控制，整体推进水功能区水质稳中向好。巩固提升城市黑臭水体治理成效，推动实现长治久清。</w:t>
            </w:r>
          </w:p>
          <w:p>
            <w:pPr>
              <w:keepNext w:val="0"/>
              <w:keepLines w:val="0"/>
              <w:pageBreakBefore w:val="0"/>
              <w:suppressLineNumbers w:val="0"/>
              <w:kinsoku/>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第八章推进农业绿色生产，改善农村生态环境第一节大力发展节水农业</w:t>
            </w:r>
            <w:r>
              <w:rPr>
                <w:rFonts w:hint="default" w:ascii="Times New Roman" w:hAnsi="Times New Roman" w:eastAsia="宋体" w:cs="Times New Roman"/>
                <w:color w:val="auto"/>
                <w:sz w:val="24"/>
                <w:szCs w:val="24"/>
                <w:highlight w:val="none"/>
                <w:lang w:eastAsia="zh-CN"/>
              </w:rPr>
              <w:t>中明确了要</w:t>
            </w:r>
            <w:r>
              <w:rPr>
                <w:rFonts w:hint="default" w:ascii="Times New Roman" w:hAnsi="Times New Roman" w:eastAsia="宋体" w:cs="Times New Roman"/>
                <w:color w:val="auto"/>
                <w:sz w:val="24"/>
                <w:szCs w:val="24"/>
                <w:highlight w:val="none"/>
              </w:rPr>
              <w:t>因地制宜调整农业结构和种植结构，改进耕作方式，减少高耗水作物种植规模，发展节水农业。推进以水定地、量水生产、适水种植，严控灌溉规模，稳妥有序推进退地减水工作。加强工程节水，推进农田水利设施提档升级，加快大中型灌区续建配套与节水改造，在有条件的地方开展重点灌区现代化改造，发展农业高效节水灌溉，提高用水效率和效益。持续推进高标准农田建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0" w:firstLineChars="200"/>
              <w:textAlignment w:val="auto"/>
              <w:rPr>
                <w:rFonts w:hint="eastAsia" w:ascii="宋体" w:hAnsi="宋体" w:eastAsia="宋体" w:cs="宋体"/>
                <w:b/>
                <w:bCs/>
                <w:color w:val="auto"/>
                <w:sz w:val="24"/>
                <w:szCs w:val="24"/>
                <w:lang w:val="en-US" w:eastAsia="zh-CN"/>
              </w:rPr>
            </w:pPr>
            <w:r>
              <w:rPr>
                <w:rFonts w:hint="default" w:ascii="Times New Roman" w:hAnsi="Times New Roman" w:eastAsia="宋体" w:cs="Times New Roman"/>
                <w:color w:val="auto"/>
                <w:sz w:val="24"/>
                <w:szCs w:val="24"/>
                <w:highlight w:val="none"/>
              </w:rPr>
              <w:t>本项目属于防渗渠节水改造项目</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该工程</w:t>
            </w:r>
            <w:r>
              <w:rPr>
                <w:rFonts w:hint="default" w:ascii="Times New Roman" w:hAnsi="Times New Roman" w:eastAsia="宋体" w:cs="Times New Roman"/>
                <w:color w:val="auto"/>
                <w:sz w:val="24"/>
                <w:szCs w:val="24"/>
                <w:highlight w:val="none"/>
                <w:lang w:eastAsia="zh-CN"/>
              </w:rPr>
              <w:t>建设能有效</w:t>
            </w:r>
            <w:r>
              <w:rPr>
                <w:rFonts w:hint="eastAsia" w:ascii="Times New Roman" w:hAnsi="Times New Roman" w:eastAsia="宋体" w:cs="Times New Roman"/>
                <w:color w:val="auto"/>
                <w:sz w:val="24"/>
                <w:szCs w:val="24"/>
                <w:highlight w:val="none"/>
                <w:lang w:eastAsia="zh-CN"/>
              </w:rPr>
              <w:t>地</w:t>
            </w:r>
            <w:r>
              <w:rPr>
                <w:rFonts w:hint="default" w:ascii="Times New Roman" w:hAnsi="Times New Roman" w:eastAsia="宋体" w:cs="Times New Roman"/>
                <w:color w:val="auto"/>
                <w:sz w:val="24"/>
                <w:szCs w:val="24"/>
                <w:highlight w:val="none"/>
                <w:lang w:eastAsia="zh-CN"/>
              </w:rPr>
              <w:t>提高</w:t>
            </w:r>
            <w:r>
              <w:rPr>
                <w:rFonts w:hint="default" w:ascii="Times New Roman" w:hAnsi="Times New Roman" w:eastAsia="宋体" w:cs="Times New Roman"/>
                <w:color w:val="auto"/>
                <w:sz w:val="24"/>
                <w:szCs w:val="24"/>
                <w:highlight w:val="none"/>
              </w:rPr>
              <w:t>农业灌溉水有效利用系数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发展农业高效节水灌溉，提高</w:t>
            </w:r>
            <w:r>
              <w:rPr>
                <w:rFonts w:hint="default" w:ascii="Times New Roman" w:hAnsi="Times New Roman" w:eastAsia="宋体" w:cs="Times New Roman"/>
                <w:color w:val="auto"/>
                <w:sz w:val="24"/>
                <w:szCs w:val="24"/>
                <w:highlight w:val="none"/>
                <w:lang w:eastAsia="zh-CN"/>
              </w:rPr>
              <w:t>了</w:t>
            </w:r>
            <w:r>
              <w:rPr>
                <w:rFonts w:hint="default" w:ascii="Times New Roman" w:hAnsi="Times New Roman" w:eastAsia="宋体" w:cs="Times New Roman"/>
                <w:color w:val="auto"/>
                <w:sz w:val="24"/>
                <w:szCs w:val="24"/>
                <w:highlight w:val="none"/>
              </w:rPr>
              <w:t>用水效率和效益</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本项目的建设符合规划要求。</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4 项目与《若羌县国民经济和社会发展第十四个五年规划和2035年远景目标》符合性分析</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第三节 加强水利基础设施建设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进重点水源工程建设。重点实施若羌河水库引输水工程、瓦石峡水库工程建设；加快车尔臣河调水、古尔嘎赫德河调水等重大水利工程前期工作，力争“十四五”期末开工，规划建设一批山前小型水库、平原拦洪蓄水工程，切实发挥水资源调配效益，着力提高水资源调蓄能力；加快抗旱水源工程建设，通过科学配置和优化调度，发挥水源调节互补的抗旱作用，解决群众生活生产用水问题，增强城乡供水保障和应急能力。加强城市应急和备用水源建设，完善城市水源格局，增强城市应急供水能力，提高城市供水水源安全保障能力。</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落实最严格的水资源管理制度。严守水资源利用“三条红线”。落实以水定需，严格控制水资源开发利用上限。根据水资源承载能力区域分类，实施差别化管控措施，完善主要农作物、工业产品和生活服务业先进用水定额体系。推进重大规划和产业布局水资源论证，严格实行取水许可制度，加强对重点用水户、特殊用水行业用水户的监督管理。加强农业节水，推进退地减水，推广节水灌溉技术，完善灌溉用水计量设施，建设高效节水示范区。加强工业水循环利用。实施再生水利用工程，高标准节水灌溉工程。严格控制地下水开采，实施好地下水超采区治理工程。推进水价改革，探索梯级用水制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夯实农村水利基础设施。大力实施农田水利工程，加强农村供水设施改造与建设，提升农村水利基本公共服务水平。加强中小型农田水利设施建设。积极实施农村饮水提质增效工程，推进农村饮水安全巩固提升工程，提高农村饮用水处理能力，提升供水保证率、水质达标率和供水保障程度。实施水利规划信息化建设，配套水源骨干工程、防洪、灌区、农村供水、水资源监控、水环境监测等自动化控制系统，提高全县水利信息化水平。加大水土保持监管力度，严格执行水土保持“三同时”（水土保持与项目主体工程同时设计、同时施工、同时竣工验收投入使用），依法征收水土保持补偿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本项目属于防渗渠节水改造项目，以若羌河地表水为水源，核心为输水灌溉，本项目</w:t>
            </w:r>
            <w:r>
              <w:rPr>
                <w:rFonts w:hint="default" w:ascii="Times New Roman" w:hAnsi="Times New Roman" w:eastAsia="宋体" w:cs="Times New Roman"/>
                <w:color w:val="auto"/>
                <w:sz w:val="24"/>
                <w:szCs w:val="24"/>
                <w:lang w:val="en-US" w:eastAsia="zh-CN"/>
              </w:rPr>
              <w:t>实施后，可减少渗漏损失，增加有效水量，改善灌溉条件，提高作物产量，增加生态用水，具有良好的经济、生态、社会效益，项目的实施将为灌区经济的可持续发展奠定坚实的基础，</w:t>
            </w:r>
            <w:r>
              <w:rPr>
                <w:rFonts w:hint="eastAsia" w:cs="Times New Roman"/>
                <w:color w:val="auto"/>
                <w:sz w:val="24"/>
                <w:szCs w:val="24"/>
                <w:lang w:val="en-US" w:eastAsia="zh-CN"/>
              </w:rPr>
              <w:t>35</w:t>
            </w:r>
            <w:r>
              <w:rPr>
                <w:rFonts w:hint="default" w:ascii="Times New Roman" w:hAnsi="Times New Roman" w:eastAsia="宋体" w:cs="Times New Roman"/>
                <w:color w:val="auto"/>
                <w:sz w:val="24"/>
                <w:szCs w:val="24"/>
                <w:lang w:val="en-US" w:eastAsia="zh-CN"/>
              </w:rPr>
              <w:t>条渠道</w:t>
            </w:r>
            <w:r>
              <w:rPr>
                <w:rFonts w:hint="eastAsia" w:cs="Times New Roman"/>
                <w:color w:val="auto"/>
                <w:sz w:val="24"/>
                <w:szCs w:val="24"/>
                <w:lang w:val="en-US" w:eastAsia="zh-CN"/>
              </w:rPr>
              <w:t>及其附属构筑物</w:t>
            </w:r>
            <w:r>
              <w:rPr>
                <w:rFonts w:hint="default" w:ascii="Times New Roman" w:hAnsi="Times New Roman" w:eastAsia="宋体" w:cs="Times New Roman"/>
                <w:color w:val="auto"/>
                <w:sz w:val="24"/>
                <w:szCs w:val="24"/>
                <w:lang w:val="en-US" w:eastAsia="zh-CN"/>
              </w:rPr>
              <w:t>的实施能够有效保障项目区灌区</w:t>
            </w:r>
            <w:r>
              <w:rPr>
                <w:rFonts w:hint="eastAsia" w:cs="Times New Roman"/>
                <w:color w:val="auto"/>
                <w:sz w:val="24"/>
                <w:szCs w:val="24"/>
                <w:highlight w:val="none"/>
                <w:lang w:val="en-US" w:eastAsia="zh-CN"/>
              </w:rPr>
              <w:t>2230</w:t>
            </w:r>
            <w:r>
              <w:rPr>
                <w:rFonts w:hint="default" w:ascii="Times New Roman" w:hAnsi="Times New Roman" w:eastAsia="宋体" w:cs="Times New Roman"/>
                <w:color w:val="auto"/>
                <w:sz w:val="24"/>
                <w:szCs w:val="24"/>
                <w:highlight w:val="none"/>
                <w:lang w:val="en-US" w:eastAsia="zh-CN"/>
              </w:rPr>
              <w:t>亩的灌溉用水量</w:t>
            </w:r>
            <w:r>
              <w:rPr>
                <w:rFonts w:hint="default" w:ascii="Times New Roman" w:hAnsi="Times New Roman" w:eastAsia="宋体" w:cs="Times New Roman"/>
                <w:color w:val="auto"/>
                <w:sz w:val="24"/>
                <w:szCs w:val="24"/>
                <w:lang w:val="en-US" w:eastAsia="zh-CN"/>
              </w:rPr>
              <w:t>。</w:t>
            </w:r>
          </w:p>
          <w:p>
            <w:pPr>
              <w:pStyle w:val="3"/>
              <w:keepLines w:val="0"/>
              <w:suppressLineNumbers w:val="0"/>
              <w:bidi w:val="0"/>
              <w:spacing w:before="0" w:beforeAutospacing="0" w:after="0" w:afterAutospacing="0"/>
              <w:ind w:right="0"/>
              <w:rPr>
                <w:rFonts w:hint="default"/>
              </w:rPr>
            </w:pPr>
            <w:r>
              <w:rPr>
                <w:rFonts w:hint="eastAsia"/>
                <w:lang w:val="en-US" w:eastAsia="zh-CN"/>
              </w:rPr>
              <w:t xml:space="preserve">5 </w:t>
            </w:r>
            <w:r>
              <w:rPr>
                <w:rFonts w:hint="default"/>
              </w:rPr>
              <w:t>与区域水环境功能区划符合性分析</w:t>
            </w:r>
          </w:p>
          <w:p>
            <w:pPr>
              <w:pStyle w:val="5"/>
              <w:suppressLineNumbers w:val="0"/>
              <w:bidi w:val="0"/>
              <w:spacing w:before="0" w:after="0"/>
              <w:ind w:left="0" w:right="0"/>
              <w:rPr>
                <w:rFonts w:hint="default"/>
              </w:rPr>
            </w:pPr>
            <w:r>
              <w:rPr>
                <w:rFonts w:hint="default"/>
                <w:lang w:val="en-US" w:eastAsia="zh-CN"/>
              </w:rPr>
              <w:t>表1-</w:t>
            </w:r>
            <w:r>
              <w:rPr>
                <w:rFonts w:hint="eastAsia"/>
                <w:lang w:val="en-US" w:eastAsia="zh-CN"/>
              </w:rPr>
              <w:t xml:space="preserve">3 </w:t>
            </w:r>
            <w:r>
              <w:rPr>
                <w:rFonts w:hint="default"/>
                <w:lang w:val="en-US" w:eastAsia="zh-CN"/>
              </w:rPr>
              <w:t xml:space="preserve"> 与《巴州若羌县若羌河流域规划环评报告》符合性分析</w:t>
            </w:r>
          </w:p>
          <w:tbl>
            <w:tblPr>
              <w:tblStyle w:val="22"/>
              <w:tblW w:w="8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3000"/>
              <w:gridCol w:w="328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8" w:type="dxa"/>
                  <w:gridSpan w:val="2"/>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相关内容</w:t>
                  </w:r>
                </w:p>
              </w:tc>
              <w:tc>
                <w:tcPr>
                  <w:tcW w:w="3286"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本项目</w:t>
                  </w:r>
                </w:p>
              </w:tc>
              <w:tc>
                <w:tcPr>
                  <w:tcW w:w="672"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水资源利用及配置</w:t>
                  </w:r>
                </w:p>
              </w:tc>
              <w:tc>
                <w:tcPr>
                  <w:tcW w:w="300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若羌河年均径流量为1.28亿立方米，需均衡保障工业、生活及农业灌溉用水。然而，现存传统土渠渗漏问题突出，致使大量水资源在输送途中流</w:t>
                  </w:r>
                  <w:r>
                    <w:rPr>
                      <w:rFonts w:hint="eastAsia"/>
                      <w:lang w:val="en-US" w:eastAsia="zh-CN"/>
                    </w:rPr>
                    <w:t>失。</w:t>
                  </w:r>
                </w:p>
              </w:tc>
              <w:tc>
                <w:tcPr>
                  <w:tcW w:w="3286"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防渗渠能够有效削减渠道输水时的渗漏损失，促使若羌河水资源更精准地惠及村庄农田灌溉，极</w:t>
                  </w:r>
                  <w:r>
                    <w:rPr>
                      <w:rFonts w:hint="eastAsia"/>
                      <w:lang w:val="en-US" w:eastAsia="zh-CN"/>
                    </w:rPr>
                    <w:t>大地</w:t>
                  </w:r>
                  <w:r>
                    <w:rPr>
                      <w:rFonts w:hint="default"/>
                      <w:lang w:val="en-US" w:eastAsia="zh-CN"/>
                    </w:rPr>
                    <w:t>优化</w:t>
                  </w:r>
                  <w:r>
                    <w:rPr>
                      <w:rFonts w:hint="eastAsia"/>
                      <w:lang w:val="en-US" w:eastAsia="zh-CN"/>
                    </w:rPr>
                    <w:t>了</w:t>
                  </w:r>
                  <w:r>
                    <w:rPr>
                      <w:rFonts w:hint="default"/>
                      <w:lang w:val="en-US" w:eastAsia="zh-CN"/>
                    </w:rPr>
                    <w:t>农业灌溉领域的水资源配置</w:t>
                  </w:r>
                  <w:r>
                    <w:rPr>
                      <w:rFonts w:hint="eastAsia"/>
                      <w:lang w:val="en-US" w:eastAsia="zh-CN"/>
                    </w:rPr>
                    <w:t>。</w:t>
                  </w:r>
                </w:p>
              </w:tc>
              <w:tc>
                <w:tcPr>
                  <w:tcW w:w="672"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灌溉方式</w:t>
                  </w:r>
                </w:p>
              </w:tc>
              <w:tc>
                <w:tcPr>
                  <w:tcW w:w="300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若羌县正大力推进农业灌溉向高效、智能化转型</w:t>
                  </w:r>
                  <w:r>
                    <w:rPr>
                      <w:rFonts w:hint="eastAsia"/>
                      <w:lang w:val="en-US" w:eastAsia="zh-CN"/>
                    </w:rPr>
                    <w:t>。</w:t>
                  </w:r>
                </w:p>
              </w:tc>
              <w:tc>
                <w:tcPr>
                  <w:tcW w:w="3286"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本项目虽未直接对田间灌溉方式进行变革，但通过构建稳定输水的防渗渠，为后续推广滴灌、喷灌等智能化灌溉模式筑牢基础，有效降低输水波动与水量损耗，有力确保先进灌溉设备的稳定运行</w:t>
                  </w:r>
                  <w:r>
                    <w:rPr>
                      <w:rFonts w:hint="eastAsia"/>
                      <w:lang w:val="en-US" w:eastAsia="zh-CN"/>
                    </w:rPr>
                    <w:t>。</w:t>
                  </w:r>
                </w:p>
              </w:tc>
              <w:tc>
                <w:tcPr>
                  <w:tcW w:w="672"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灌溉定额</w:t>
                  </w:r>
                </w:p>
              </w:tc>
              <w:tc>
                <w:tcPr>
                  <w:tcW w:w="300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项目区周边村庄当前灌溉亩均用水量较大，水资源浪费现象较为显著</w:t>
                  </w:r>
                  <w:r>
                    <w:rPr>
                      <w:rFonts w:hint="eastAsia"/>
                      <w:lang w:val="en-US" w:eastAsia="zh-CN"/>
                    </w:rPr>
                    <w:t>。</w:t>
                  </w:r>
                </w:p>
              </w:tc>
              <w:tc>
                <w:tcPr>
                  <w:tcW w:w="3286"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防渗渠建设可减少输水过程中的无效消耗，在充分满足农作物生长需水要求的基础上，大幅降低单位面积灌溉用水</w:t>
                  </w:r>
                  <w:r>
                    <w:rPr>
                      <w:rFonts w:hint="eastAsia"/>
                      <w:lang w:val="en-US" w:eastAsia="zh-CN"/>
                    </w:rPr>
                    <w:t>。</w:t>
                  </w:r>
                </w:p>
              </w:tc>
              <w:tc>
                <w:tcPr>
                  <w:tcW w:w="672"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灌溉用水保证率</w:t>
                  </w:r>
                </w:p>
              </w:tc>
              <w:tc>
                <w:tcPr>
                  <w:tcW w:w="300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若羌河水资源具有明显的季节性变化特征，严重影响村庄农业生产灌溉用水的稳定性</w:t>
                  </w:r>
                  <w:r>
                    <w:rPr>
                      <w:rFonts w:hint="eastAsia"/>
                      <w:lang w:val="en-US" w:eastAsia="zh-CN"/>
                    </w:rPr>
                    <w:t>。</w:t>
                  </w:r>
                </w:p>
              </w:tc>
              <w:tc>
                <w:tcPr>
                  <w:tcW w:w="3286"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防渗渠建设有效减少渠道渗漏，显著增强输水的稳定性与可靠性，尤其在枯水期，能够切实保障一定规模的灌溉用水供应</w:t>
                  </w:r>
                  <w:r>
                    <w:rPr>
                      <w:rFonts w:hint="eastAsia"/>
                      <w:lang w:val="en-US" w:eastAsia="zh-CN"/>
                    </w:rPr>
                    <w:t>。</w:t>
                  </w:r>
                </w:p>
              </w:tc>
              <w:tc>
                <w:tcPr>
                  <w:tcW w:w="672"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灌溉水有效利用系数</w:t>
                  </w:r>
                </w:p>
              </w:tc>
              <w:tc>
                <w:tcPr>
                  <w:tcW w:w="300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目前农业灌溉水有效利用系数，整体处于较低水平</w:t>
                  </w:r>
                  <w:r>
                    <w:rPr>
                      <w:rFonts w:hint="eastAsia"/>
                      <w:lang w:val="en-US" w:eastAsia="zh-CN"/>
                    </w:rPr>
                    <w:t>。</w:t>
                  </w:r>
                </w:p>
              </w:tc>
              <w:tc>
                <w:tcPr>
                  <w:tcW w:w="3286"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防渗渠建设能够切实减少输水渗漏损失，可将灌溉水有效利用</w:t>
                  </w:r>
                  <w:r>
                    <w:rPr>
                      <w:rFonts w:hint="eastAsia"/>
                      <w:lang w:val="en-US" w:eastAsia="zh-CN"/>
                    </w:rPr>
                    <w:t>。</w:t>
                  </w:r>
                </w:p>
              </w:tc>
              <w:tc>
                <w:tcPr>
                  <w:tcW w:w="672"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综上所述，</w:t>
            </w:r>
            <w:r>
              <w:rPr>
                <w:rFonts w:hint="eastAsia" w:cs="Times New Roman"/>
                <w:color w:val="auto"/>
                <w:sz w:val="24"/>
                <w:szCs w:val="24"/>
                <w:highlight w:val="none"/>
                <w:lang w:val="en-US" w:eastAsia="zh-CN"/>
              </w:rPr>
              <w:t>项目符合</w:t>
            </w:r>
            <w:r>
              <w:rPr>
                <w:rFonts w:hint="default" w:ascii="Times New Roman" w:hAnsi="Times New Roman" w:eastAsia="宋体" w:cs="Times New Roman"/>
                <w:color w:val="auto"/>
                <w:sz w:val="24"/>
                <w:szCs w:val="24"/>
                <w:highlight w:val="none"/>
                <w:lang w:val="en-US" w:eastAsia="zh-CN"/>
              </w:rPr>
              <w:t>《巴州若羌县若羌河流域规划环评报告》</w:t>
            </w:r>
            <w:r>
              <w:rPr>
                <w:rFonts w:hint="eastAsia" w:cs="Times New Roman"/>
                <w:color w:val="auto"/>
                <w:sz w:val="24"/>
                <w:szCs w:val="24"/>
                <w:highlight w:val="none"/>
                <w:lang w:val="en-US" w:eastAsia="zh-CN"/>
              </w:rPr>
              <w:t>相关要求</w:t>
            </w:r>
            <w:r>
              <w:rPr>
                <w:rFonts w:hint="default" w:ascii="Times New Roman" w:hAnsi="Times New Roman" w:eastAsia="宋体" w:cs="Times New Roman"/>
                <w:color w:val="auto"/>
                <w:sz w:val="24"/>
                <w:szCs w:val="24"/>
                <w:highlight w:val="none"/>
                <w:lang w:val="en-US" w:eastAsia="zh-CN"/>
              </w:rPr>
              <w:t>。</w:t>
            </w:r>
          </w:p>
          <w:p>
            <w:pPr>
              <w:pStyle w:val="3"/>
              <w:keepLines w:val="0"/>
              <w:suppressLineNumbers w:val="0"/>
              <w:bidi w:val="0"/>
              <w:spacing w:before="0" w:beforeAutospacing="0" w:after="0" w:afterAutospacing="0"/>
              <w:ind w:right="0"/>
              <w:rPr>
                <w:rFonts w:hint="eastAsia"/>
                <w:highlight w:val="none"/>
                <w:lang w:val="en-US" w:eastAsia="zh-CN"/>
              </w:rPr>
            </w:pPr>
            <w:r>
              <w:rPr>
                <w:rFonts w:hint="eastAsia"/>
                <w:highlight w:val="none"/>
                <w:lang w:val="en-US" w:eastAsia="zh-CN"/>
              </w:rPr>
              <w:t>6 《中华人民共和国水土保持法》（2010 年修订）的符合性分析</w:t>
            </w:r>
          </w:p>
          <w:p>
            <w:pPr>
              <w:pStyle w:val="5"/>
              <w:suppressLineNumbers w:val="0"/>
              <w:bidi w:val="0"/>
              <w:spacing w:before="0" w:after="0"/>
              <w:ind w:left="0" w:right="0"/>
              <w:rPr>
                <w:rFonts w:hint="eastAsia"/>
                <w:lang w:val="en-US" w:eastAsia="zh-CN"/>
              </w:rPr>
            </w:pPr>
            <w:r>
              <w:rPr>
                <w:rFonts w:hint="eastAsia"/>
                <w:lang w:val="en-US" w:eastAsia="zh-CN"/>
              </w:rPr>
              <w:t>表1-4  与《中华人民共和国水土保持法》符合性分析</w:t>
            </w:r>
          </w:p>
          <w:tbl>
            <w:tblPr>
              <w:tblStyle w:val="22"/>
              <w:tblW w:w="8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9"/>
              <w:gridCol w:w="221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9"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文件</w:t>
                  </w:r>
                  <w:r>
                    <w:rPr>
                      <w:rFonts w:hint="eastAsia"/>
                    </w:rPr>
                    <w:t>要求</w:t>
                  </w:r>
                </w:p>
              </w:tc>
              <w:tc>
                <w:tcPr>
                  <w:tcW w:w="2217"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rPr>
                    <w:t>本项目情况</w:t>
                  </w:r>
                </w:p>
              </w:tc>
              <w:tc>
                <w:tcPr>
                  <w:tcW w:w="88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9" w:type="dxa"/>
                  <w:vAlign w:val="center"/>
                </w:tcPr>
                <w:p>
                  <w:pPr>
                    <w:pStyle w:val="6"/>
                    <w:suppressLineNumbers w:val="0"/>
                    <w:bidi w:val="0"/>
                    <w:spacing w:before="0" w:beforeAutospacing="0" w:after="0" w:afterAutospacing="0"/>
                    <w:ind w:left="0" w:right="0"/>
                    <w:jc w:val="center"/>
                    <w:rPr>
                      <w:rFonts w:hint="eastAsia" w:ascii="宋体" w:hAnsi="宋体" w:eastAsia="宋体" w:cs="宋体"/>
                      <w:lang w:val="en-US" w:eastAsia="zh-CN"/>
                    </w:rPr>
                  </w:pPr>
                  <w:r>
                    <w:rPr>
                      <w:rFonts w:hint="eastAsia" w:ascii="宋体" w:hAnsi="宋体" w:eastAsia="宋体" w:cs="宋体"/>
                      <w:lang w:val="en-US" w:eastAsia="zh-CN"/>
                    </w:rPr>
                    <w:t>第二十七条 依法应当编制水土保持方案的生产建设项目中的水土保持设施,应当与主体工程同时设计、同时施工、同时投产使用</w:t>
                  </w:r>
                  <w:r>
                    <w:rPr>
                      <w:rFonts w:hint="eastAsia" w:ascii="宋体" w:hAnsi="宋体" w:cs="宋体"/>
                      <w:lang w:val="en-US" w:eastAsia="zh-CN"/>
                    </w:rPr>
                    <w:t>；</w:t>
                  </w:r>
                  <w:r>
                    <w:rPr>
                      <w:rFonts w:hint="eastAsia" w:ascii="宋体" w:hAnsi="宋体" w:eastAsia="宋体" w:cs="宋体"/>
                      <w:lang w:val="en-US" w:eastAsia="zh-CN"/>
                    </w:rPr>
                    <w:t>生产建设项目竣工验收,应当验收水土保持设施</w:t>
                  </w:r>
                  <w:r>
                    <w:rPr>
                      <w:rFonts w:hint="eastAsia" w:ascii="宋体" w:hAnsi="宋体" w:cs="宋体"/>
                      <w:lang w:val="en-US" w:eastAsia="zh-CN"/>
                    </w:rPr>
                    <w:t>；</w:t>
                  </w:r>
                  <w:r>
                    <w:rPr>
                      <w:rFonts w:hint="eastAsia" w:ascii="宋体" w:hAnsi="宋体" w:eastAsia="宋体" w:cs="宋体"/>
                      <w:lang w:val="en-US" w:eastAsia="zh-CN"/>
                    </w:rPr>
                    <w:t>水土保持设施未经验收或者验收不合格的</w:t>
                  </w:r>
                  <w:r>
                    <w:rPr>
                      <w:rFonts w:hint="eastAsia" w:ascii="宋体" w:hAnsi="宋体" w:cs="宋体"/>
                      <w:lang w:val="en-US" w:eastAsia="zh-CN"/>
                    </w:rPr>
                    <w:t>，</w:t>
                  </w:r>
                  <w:r>
                    <w:rPr>
                      <w:rFonts w:hint="eastAsia" w:ascii="宋体" w:hAnsi="宋体" w:eastAsia="宋体" w:cs="宋体"/>
                      <w:lang w:val="en-US" w:eastAsia="zh-CN"/>
                    </w:rPr>
                    <w:t>生产建设项目不得投产使用。</w:t>
                  </w:r>
                </w:p>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第二十八条 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tc>
              <w:tc>
                <w:tcPr>
                  <w:tcW w:w="2217" w:type="dxa"/>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本项目严格依法编制水土保持方案，严格落实水土保持设施与主体工程同时设计、同时施工、同时投入使用的“三同时”制度；项目竣工后，将按规定依规开展水土保持设施验收工作。</w:t>
                  </w:r>
                </w:p>
                <w:p>
                  <w:pPr>
                    <w:pStyle w:val="6"/>
                    <w:suppressLineNumbers w:val="0"/>
                    <w:bidi w:val="0"/>
                    <w:spacing w:before="0" w:beforeAutospacing="0" w:after="0" w:afterAutospacing="0"/>
                    <w:ind w:left="0" w:right="0"/>
                    <w:rPr>
                      <w:rFonts w:hint="default"/>
                      <w:lang w:val="en-US" w:eastAsia="zh-CN"/>
                    </w:rPr>
                  </w:pPr>
                  <w:r>
                    <w:rPr>
                      <w:rFonts w:hint="eastAsia"/>
                      <w:lang w:val="en-US" w:eastAsia="zh-CN"/>
                    </w:rPr>
                    <w:t>本项目产生的弃土用于填筑渠堤、沿渠道摊平压实。</w:t>
                  </w:r>
                </w:p>
              </w:tc>
              <w:tc>
                <w:tcPr>
                  <w:tcW w:w="88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9" w:type="dxa"/>
                  <w:vAlign w:val="center"/>
                </w:tcPr>
                <w:p>
                  <w:pPr>
                    <w:pStyle w:val="6"/>
                    <w:suppressLineNumbers w:val="0"/>
                    <w:bidi w:val="0"/>
                    <w:spacing w:before="0" w:beforeAutospacing="0" w:after="0" w:afterAutospacing="0"/>
                    <w:ind w:left="0" w:right="0"/>
                    <w:jc w:val="center"/>
                    <w:rPr>
                      <w:rFonts w:hint="eastAsia" w:ascii="宋体" w:hAnsi="宋体" w:eastAsia="宋体" w:cs="宋体"/>
                      <w:lang w:val="en-US" w:eastAsia="zh-CN"/>
                    </w:rPr>
                  </w:pPr>
                  <w:r>
                    <w:rPr>
                      <w:rFonts w:hint="eastAsia" w:ascii="宋体" w:hAnsi="宋体" w:eastAsia="宋体" w:cs="宋体"/>
                      <w:lang w:val="en-US" w:eastAsia="zh-CN"/>
                    </w:rPr>
                    <w:t>第三十二条 开办生产建设项目或者从事其他生产建设活动造成水土流失的</w:t>
                  </w:r>
                  <w:r>
                    <w:rPr>
                      <w:rFonts w:hint="eastAsia" w:ascii="宋体" w:hAnsi="宋体" w:cs="宋体"/>
                      <w:lang w:val="en-US" w:eastAsia="zh-CN"/>
                    </w:rPr>
                    <w:t>，</w:t>
                  </w:r>
                  <w:r>
                    <w:rPr>
                      <w:rFonts w:hint="eastAsia" w:ascii="宋体" w:hAnsi="宋体" w:eastAsia="宋体" w:cs="宋体"/>
                      <w:lang w:val="en-US" w:eastAsia="zh-CN"/>
                    </w:rPr>
                    <w:t>应当进行治理</w:t>
                  </w:r>
                  <w:r>
                    <w:rPr>
                      <w:rFonts w:hint="eastAsia" w:ascii="宋体" w:hAnsi="宋体" w:cs="宋体"/>
                      <w:lang w:val="en-US" w:eastAsia="zh-CN"/>
                    </w:rPr>
                    <w:t>。</w:t>
                  </w:r>
                  <w:r>
                    <w:rPr>
                      <w:rFonts w:hint="eastAsia" w:ascii="宋体" w:hAnsi="宋体" w:eastAsia="宋体" w:cs="宋体"/>
                      <w:lang w:val="en-US" w:eastAsia="zh-CN"/>
                    </w:rPr>
                    <w:t>在山区、丘陵区、风沙区以及水土保持规划确定的容易发生水土流失的其他区域开办生产建设项目或者从事其他生产建设活动</w:t>
                  </w:r>
                  <w:r>
                    <w:rPr>
                      <w:rFonts w:hint="eastAsia" w:ascii="宋体" w:hAnsi="宋体" w:cs="宋体"/>
                      <w:lang w:val="en-US" w:eastAsia="zh-CN"/>
                    </w:rPr>
                    <w:t>，</w:t>
                  </w:r>
                  <w:r>
                    <w:rPr>
                      <w:rFonts w:hint="eastAsia" w:ascii="宋体" w:hAnsi="宋体" w:eastAsia="宋体" w:cs="宋体"/>
                      <w:lang w:val="en-US" w:eastAsia="zh-CN"/>
                    </w:rPr>
                    <w:t>损坏水土保持设施、地貌植被</w:t>
                  </w:r>
                  <w:r>
                    <w:rPr>
                      <w:rFonts w:hint="eastAsia" w:ascii="宋体" w:hAnsi="宋体" w:cs="宋体"/>
                      <w:lang w:val="en-US" w:eastAsia="zh-CN"/>
                    </w:rPr>
                    <w:t>，</w:t>
                  </w:r>
                  <w:r>
                    <w:rPr>
                      <w:rFonts w:hint="eastAsia" w:ascii="宋体" w:hAnsi="宋体" w:eastAsia="宋体" w:cs="宋体"/>
                      <w:lang w:val="en-US" w:eastAsia="zh-CN"/>
                    </w:rPr>
                    <w:t>不能恢复原有水土保持功能的</w:t>
                  </w:r>
                  <w:r>
                    <w:rPr>
                      <w:rFonts w:hint="eastAsia" w:ascii="宋体" w:hAnsi="宋体" w:cs="宋体"/>
                      <w:lang w:val="en-US" w:eastAsia="zh-CN"/>
                    </w:rPr>
                    <w:t>，</w:t>
                  </w:r>
                  <w:r>
                    <w:rPr>
                      <w:rFonts w:hint="eastAsia" w:ascii="宋体" w:hAnsi="宋体" w:eastAsia="宋体" w:cs="宋体"/>
                      <w:lang w:val="en-US" w:eastAsia="zh-CN"/>
                    </w:rPr>
                    <w:t>应当缴纳水土保持补偿费</w:t>
                  </w:r>
                  <w:r>
                    <w:rPr>
                      <w:rFonts w:hint="eastAsia" w:ascii="宋体" w:hAnsi="宋体" w:cs="宋体"/>
                      <w:lang w:val="en-US" w:eastAsia="zh-CN"/>
                    </w:rPr>
                    <w:t>，</w:t>
                  </w:r>
                  <w:r>
                    <w:rPr>
                      <w:rFonts w:hint="eastAsia" w:ascii="宋体" w:hAnsi="宋体" w:eastAsia="宋体" w:cs="宋体"/>
                      <w:lang w:val="en-US" w:eastAsia="zh-CN"/>
                    </w:rPr>
                    <w:t>专项用于水土流失预防和治理</w:t>
                  </w:r>
                  <w:r>
                    <w:rPr>
                      <w:rFonts w:hint="eastAsia" w:ascii="宋体" w:hAnsi="宋体" w:cs="宋体"/>
                      <w:lang w:val="en-US" w:eastAsia="zh-CN"/>
                    </w:rPr>
                    <w:t>。</w:t>
                  </w:r>
                  <w:r>
                    <w:rPr>
                      <w:rFonts w:hint="eastAsia" w:ascii="宋体" w:hAnsi="宋体" w:eastAsia="宋体" w:cs="宋体"/>
                      <w:lang w:val="en-US" w:eastAsia="zh-CN"/>
                    </w:rPr>
                    <w:t>专项水土流失预防和治理由水行政主管部门负责组织实施</w:t>
                  </w:r>
                  <w:r>
                    <w:rPr>
                      <w:rFonts w:hint="eastAsia" w:ascii="宋体" w:hAnsi="宋体" w:cs="宋体"/>
                      <w:lang w:val="en-US" w:eastAsia="zh-CN"/>
                    </w:rPr>
                    <w:t>。</w:t>
                  </w:r>
                  <w:r>
                    <w:rPr>
                      <w:rFonts w:hint="eastAsia" w:ascii="宋体" w:hAnsi="宋体" w:eastAsia="宋体" w:cs="宋体"/>
                      <w:lang w:val="en-US" w:eastAsia="zh-CN"/>
                    </w:rPr>
                    <w:t>水土保持补偿费的收取使用管理办法由国务院财政部门、国务院价格主管部门会同国务院水行政主管部门制定</w:t>
                  </w:r>
                  <w:r>
                    <w:rPr>
                      <w:rFonts w:hint="eastAsia" w:ascii="宋体" w:hAnsi="宋体" w:cs="宋体"/>
                      <w:lang w:val="en-US" w:eastAsia="zh-CN"/>
                    </w:rPr>
                    <w:t>。</w:t>
                  </w:r>
                  <w:r>
                    <w:rPr>
                      <w:rFonts w:hint="eastAsia" w:ascii="宋体" w:hAnsi="宋体" w:eastAsia="宋体" w:cs="宋体"/>
                      <w:lang w:val="en-US" w:eastAsia="zh-CN"/>
                    </w:rPr>
                    <w:t>生产建设项目在建设过程中和生产过程中发生的水土保持费用,按照国家统一的财务会计制度处理</w:t>
                  </w:r>
                  <w:r>
                    <w:rPr>
                      <w:rFonts w:hint="eastAsia" w:ascii="宋体" w:hAnsi="宋体" w:cs="宋体"/>
                      <w:lang w:val="en-US" w:eastAsia="zh-CN"/>
                    </w:rPr>
                    <w:t>。</w:t>
                  </w:r>
                </w:p>
              </w:tc>
              <w:tc>
                <w:tcPr>
                  <w:tcW w:w="2217"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项目建设将落实水土流失治理措施，及时防治施工扰动造成的水土流失；若施工损坏水土保持设施、地貌植被且无法恢复原有水土保持功能，将依法足额缴纳水土保持补偿费；项目水土保持相关费用严格按国家财务会计制度规范核算，确保合规执行</w:t>
                  </w:r>
                  <w:r>
                    <w:rPr>
                      <w:rFonts w:hint="eastAsia"/>
                      <w:lang w:val="en-US" w:eastAsia="zh-CN"/>
                    </w:rPr>
                    <w:t>。</w:t>
                  </w:r>
                </w:p>
              </w:tc>
              <w:tc>
                <w:tcPr>
                  <w:tcW w:w="880" w:type="dxa"/>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符合</w:t>
                  </w:r>
                </w:p>
              </w:tc>
            </w:tr>
          </w:tbl>
          <w:p>
            <w:pPr>
              <w:pStyle w:val="3"/>
              <w:keepLines w:val="0"/>
              <w:suppressLineNumbers w:val="0"/>
              <w:bidi w:val="0"/>
              <w:spacing w:before="0" w:beforeAutospacing="0" w:after="0" w:afterAutospacing="0"/>
              <w:ind w:right="0"/>
              <w:rPr>
                <w:rFonts w:hint="default"/>
              </w:rPr>
            </w:pPr>
            <w:r>
              <w:rPr>
                <w:rFonts w:hint="eastAsia"/>
                <w:lang w:val="en-US" w:eastAsia="zh-CN"/>
              </w:rPr>
              <w:t xml:space="preserve">7 </w:t>
            </w:r>
            <w:r>
              <w:rPr>
                <w:rFonts w:hint="default"/>
              </w:rPr>
              <w:t>与《水利建设项目（灌区工程）环境影响评价文件审批原则（试行）》的符合性分析</w:t>
            </w:r>
          </w:p>
          <w:p>
            <w:pPr>
              <w:pStyle w:val="5"/>
              <w:suppressLineNumbers w:val="0"/>
              <w:bidi w:val="0"/>
              <w:spacing w:before="0" w:after="0"/>
              <w:ind w:left="0" w:right="0"/>
              <w:rPr>
                <w:rFonts w:hint="default"/>
              </w:rPr>
            </w:pPr>
            <w:r>
              <w:rPr>
                <w:rFonts w:hint="default"/>
              </w:rPr>
              <w:t>表1-</w:t>
            </w:r>
            <w:r>
              <w:rPr>
                <w:rFonts w:hint="eastAsia"/>
                <w:lang w:val="en-US" w:eastAsia="zh-CN"/>
              </w:rPr>
              <w:t>5</w:t>
            </w:r>
            <w:r>
              <w:rPr>
                <w:rFonts w:hint="default"/>
              </w:rPr>
              <w:t xml:space="preserve">  与《水利建设项目（灌区工程）环境影响评价文件审批原则（试行）》符合性分析</w:t>
            </w:r>
          </w:p>
          <w:tbl>
            <w:tblPr>
              <w:tblStyle w:val="21"/>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7"/>
              <w:gridCol w:w="294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要求</w:t>
                  </w:r>
                </w:p>
              </w:tc>
              <w:tc>
                <w:tcPr>
                  <w:tcW w:w="18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本项目情况</w:t>
                  </w:r>
                </w:p>
              </w:tc>
              <w:tc>
                <w:tcPr>
                  <w:tcW w:w="4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条 项目符合生态环境及资源相关法律法规和政策要求，与主体功能区规划、生态功能区划、水（环境）功能区划、水污染防治规划、生态环境保护规划等相协调，项目开发任务、供水量、供水范围和对象、灌区规模、种植结构等主要内容总体符合流域区域综合规划、水资源规划、灌区规划、农业生产规划、节水规划等相关规划及规划环评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项目水资源开发利用符合以水定产、以水定地原则，未超出流域区域水资源利用上限，灌溉定额、灌溉用水保证率、灌溉水有效利用系数满足流域区域用水效率控制要求。</w:t>
                  </w:r>
                </w:p>
              </w:tc>
              <w:tc>
                <w:tcPr>
                  <w:tcW w:w="18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本项目符合新疆若羌河流域综合规划中对灌区的节水要求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本工程不涉及水资源开发利用</w:t>
                  </w:r>
                  <w:r>
                    <w:rPr>
                      <w:rFonts w:hint="eastAsia" w:ascii="宋体" w:hAnsi="宋体" w:eastAsia="宋体" w:cs="宋体"/>
                      <w:color w:val="auto"/>
                      <w:sz w:val="21"/>
                      <w:szCs w:val="21"/>
                      <w:highlight w:val="none"/>
                    </w:rPr>
                    <w:t>。</w:t>
                  </w:r>
                </w:p>
              </w:tc>
              <w:tc>
                <w:tcPr>
                  <w:tcW w:w="4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7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项目选址选线、取（蓄）水工程淹没、施工布置等不占用自然保护区、风景名胜区、世界文化和自然遗产地以及其他生态保护红线中法律法规禁止占用的区域，并与饮用水水源保护区、重要湿地等环境敏感区的保护要求相协调。</w:t>
                  </w:r>
                </w:p>
              </w:tc>
              <w:tc>
                <w:tcPr>
                  <w:tcW w:w="18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本项目占地范围及施工布置不占用自然保护区、风景名胜区、世界文化和自然遗产地以及其他生态保护红线中法律法规禁止占用的区域</w:t>
                  </w:r>
                  <w:r>
                    <w:rPr>
                      <w:rFonts w:hint="eastAsia" w:ascii="宋体" w:hAnsi="宋体" w:eastAsia="宋体" w:cs="宋体"/>
                      <w:color w:val="auto"/>
                      <w:sz w:val="21"/>
                      <w:szCs w:val="21"/>
                      <w:highlight w:val="none"/>
                      <w:lang w:eastAsia="zh-CN"/>
                    </w:rPr>
                    <w:t>。</w:t>
                  </w:r>
                </w:p>
              </w:tc>
              <w:tc>
                <w:tcPr>
                  <w:tcW w:w="4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项目施工组织方案具有环境合理性，对主体工程区、料场、弃土（渣）场、施工道路等施工区域提出了水土流失防治、生态修复等措施。根据环境保护相关标准和要求，提出了施工期废（污）水、施工机械车辆尾气、扬尘、噪声、固体废物等防治措施。</w:t>
                  </w:r>
                </w:p>
              </w:tc>
              <w:tc>
                <w:tcPr>
                  <w:tcW w:w="18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本项目施工组织方案较为合理，本项目已</w:t>
                  </w:r>
                  <w:r>
                    <w:rPr>
                      <w:rFonts w:hint="eastAsia" w:ascii="宋体" w:hAnsi="宋体" w:eastAsia="宋体" w:cs="宋体"/>
                      <w:color w:val="auto"/>
                      <w:sz w:val="21"/>
                      <w:szCs w:val="21"/>
                      <w:highlight w:val="none"/>
                      <w:lang w:eastAsia="zh-CN"/>
                    </w:rPr>
                    <w:t>提出有</w:t>
                  </w:r>
                  <w:r>
                    <w:rPr>
                      <w:rFonts w:hint="eastAsia" w:ascii="宋体" w:hAnsi="宋体" w:eastAsia="宋体" w:cs="宋体"/>
                      <w:color w:val="auto"/>
                      <w:sz w:val="21"/>
                      <w:szCs w:val="21"/>
                      <w:highlight w:val="none"/>
                    </w:rPr>
                    <w:t>相应的环保措施，在实施过程中对环境产生的影响是生态破坏、废水、噪声、粉尘的产生，在采取相应的控制措施后各种影响都在可接受的范围内。本项目符合《中华人民共和国水土保持法》</w:t>
                  </w:r>
                  <w:r>
                    <w:rPr>
                      <w:rFonts w:hint="default" w:ascii="Times New Roman" w:hAnsi="Times New Roman" w:eastAsia="宋体" w:cs="Times New Roman"/>
                      <w:color w:val="auto"/>
                      <w:sz w:val="21"/>
                      <w:szCs w:val="21"/>
                      <w:highlight w:val="none"/>
                    </w:rPr>
                    <w:t>（2010 年修订）</w:t>
                  </w:r>
                  <w:r>
                    <w:rPr>
                      <w:rFonts w:hint="eastAsia" w:ascii="宋体" w:hAnsi="宋体" w:eastAsia="宋体" w:cs="宋体"/>
                      <w:color w:val="auto"/>
                      <w:sz w:val="21"/>
                      <w:szCs w:val="21"/>
                      <w:highlight w:val="none"/>
                    </w:rPr>
                    <w:t>相关要求，施工组织合理，工艺优化，最大程度减少了周边扰动，符合水土保持措施要求。</w:t>
                  </w:r>
                </w:p>
              </w:tc>
              <w:tc>
                <w:tcPr>
                  <w:tcW w:w="4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改、扩建或依托现有工程的项目，在全面梳理与项目有关的现有工程环境问题的基础上，提出了与项目相适应的“以新带老”措施。</w:t>
                  </w:r>
                </w:p>
              </w:tc>
              <w:tc>
                <w:tcPr>
                  <w:tcW w:w="18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渠道防渗改建工程，以新带老措施主要包括：对原有破损、渗漏严重的土渠进行衬砌防渗改造；对老化、损坏的闸、涵、桥等构筑物拆除重建或维修加固；完善渠系计量与控水设施，提升灌溉效率与管护水平，同步解决原有工程渗漏、淤积、坍塌、供水不均等生态与环境问题。</w:t>
                  </w:r>
                </w:p>
              </w:tc>
              <w:tc>
                <w:tcPr>
                  <w:tcW w:w="45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8 其他符合性分析</w:t>
            </w:r>
          </w:p>
          <w:p>
            <w:pPr>
              <w:pStyle w:val="5"/>
              <w:suppressLineNumbers w:val="0"/>
              <w:bidi w:val="0"/>
              <w:spacing w:before="0" w:after="0"/>
              <w:ind w:left="0" w:right="0"/>
              <w:rPr>
                <w:rFonts w:hint="default"/>
                <w:lang w:val="en-US" w:eastAsia="zh-CN"/>
              </w:rPr>
            </w:pPr>
            <w:r>
              <w:rPr>
                <w:rFonts w:hint="eastAsia"/>
                <w:lang w:val="en-US" w:eastAsia="zh-CN"/>
              </w:rPr>
              <w:t>表1-6  其他符合性分析</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4467"/>
              <w:gridCol w:w="205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674"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文件名称</w:t>
                  </w:r>
                </w:p>
              </w:tc>
              <w:tc>
                <w:tcPr>
                  <w:tcW w:w="2650" w:type="pct"/>
                  <w:vAlign w:val="center"/>
                </w:tcPr>
                <w:p>
                  <w:pPr>
                    <w:pStyle w:val="6"/>
                    <w:suppressLineNumbers w:val="0"/>
                    <w:bidi w:val="0"/>
                    <w:spacing w:before="0" w:beforeAutospacing="0" w:after="0" w:afterAutospacing="0"/>
                    <w:ind w:left="0" w:right="0"/>
                    <w:rPr>
                      <w:rFonts w:hint="eastAsia"/>
                    </w:rPr>
                  </w:pPr>
                  <w:r>
                    <w:rPr>
                      <w:rFonts w:hint="eastAsia"/>
                      <w:lang w:val="en-US" w:eastAsia="zh-CN"/>
                    </w:rPr>
                    <w:t>文件</w:t>
                  </w:r>
                  <w:r>
                    <w:rPr>
                      <w:rFonts w:hint="eastAsia"/>
                    </w:rPr>
                    <w:t>要求</w:t>
                  </w:r>
                </w:p>
              </w:tc>
              <w:tc>
                <w:tcPr>
                  <w:tcW w:w="1218" w:type="pct"/>
                  <w:vAlign w:val="center"/>
                </w:tcPr>
                <w:p>
                  <w:pPr>
                    <w:pStyle w:val="6"/>
                    <w:suppressLineNumbers w:val="0"/>
                    <w:bidi w:val="0"/>
                    <w:spacing w:before="0" w:beforeAutospacing="0" w:after="0" w:afterAutospacing="0"/>
                    <w:ind w:left="0" w:right="0"/>
                    <w:rPr>
                      <w:rFonts w:hint="eastAsia"/>
                    </w:rPr>
                  </w:pPr>
                  <w:r>
                    <w:rPr>
                      <w:rFonts w:hint="eastAsia"/>
                    </w:rPr>
                    <w:t>本项目情况</w:t>
                  </w:r>
                </w:p>
              </w:tc>
              <w:tc>
                <w:tcPr>
                  <w:tcW w:w="456" w:type="pct"/>
                  <w:vAlign w:val="center"/>
                </w:tcPr>
                <w:p>
                  <w:pPr>
                    <w:pStyle w:val="6"/>
                    <w:suppressLineNumbers w:val="0"/>
                    <w:bidi w:val="0"/>
                    <w:spacing w:before="0" w:beforeAutospacing="0" w:after="0" w:afterAutospacing="0"/>
                    <w:ind w:left="0" w:right="0"/>
                    <w:rPr>
                      <w:rFonts w:hint="eastAsia"/>
                    </w:rPr>
                  </w:pPr>
                  <w:r>
                    <w:rPr>
                      <w:rFonts w:hint="eastAsi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restart"/>
                  <w:vAlign w:val="center"/>
                </w:tcPr>
                <w:p>
                  <w:pPr>
                    <w:pStyle w:val="6"/>
                    <w:suppressLineNumbers w:val="0"/>
                    <w:bidi w:val="0"/>
                    <w:spacing w:before="0" w:beforeAutospacing="0" w:after="0" w:afterAutospacing="0"/>
                    <w:ind w:left="0" w:right="0"/>
                    <w:rPr>
                      <w:rFonts w:hint="eastAsia"/>
                    </w:rPr>
                  </w:pPr>
                  <w:r>
                    <w:rPr>
                      <w:rFonts w:hint="eastAsia"/>
                    </w:rPr>
                    <w:t>《新疆维吾尔自治区人民政府办公厅新疆生产建设兵团办公厅关于印发</w:t>
                  </w:r>
                  <w:r>
                    <w:rPr>
                      <w:rFonts w:hint="eastAsia"/>
                      <w:lang w:eastAsia="zh-CN"/>
                    </w:rPr>
                    <w:t>，</w:t>
                  </w:r>
                  <w:r>
                    <w:rPr>
                      <w:rFonts w:hint="eastAsia"/>
                    </w:rPr>
                    <w:t>新疆维吾尔自治区2025年空气质量持续改善行动实施方案</w:t>
                  </w:r>
                  <w:r>
                    <w:rPr>
                      <w:rFonts w:hint="eastAsia"/>
                      <w:lang w:eastAsia="zh-CN"/>
                    </w:rPr>
                    <w:t>〉的通知》</w:t>
                  </w:r>
                </w:p>
              </w:tc>
              <w:tc>
                <w:tcPr>
                  <w:tcW w:w="2650" w:type="pct"/>
                  <w:vAlign w:val="center"/>
                </w:tcPr>
                <w:p>
                  <w:pPr>
                    <w:pStyle w:val="6"/>
                    <w:suppressLineNumbers w:val="0"/>
                    <w:bidi w:val="0"/>
                    <w:spacing w:before="0" w:beforeAutospacing="0" w:after="0" w:afterAutospacing="0"/>
                    <w:ind w:left="0" w:right="0"/>
                    <w:rPr>
                      <w:rFonts w:hint="eastAsia"/>
                    </w:rPr>
                  </w:pPr>
                  <w:r>
                    <w:rPr>
                      <w:rFonts w:hint="eastAsia"/>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涉及产能置换的项目，被置换产能及设备关停后，新建项目方可投产。</w:t>
                  </w:r>
                </w:p>
              </w:tc>
              <w:tc>
                <w:tcPr>
                  <w:tcW w:w="1218"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本项目不属于</w:t>
                  </w:r>
                  <w:r>
                    <w:rPr>
                      <w:rFonts w:hint="eastAsia"/>
                    </w:rPr>
                    <w:t>高耗能、高排放、低水平项目</w:t>
                  </w:r>
                  <w:r>
                    <w:rPr>
                      <w:rFonts w:hint="eastAsia"/>
                      <w:lang w:eastAsia="zh-CN"/>
                    </w:rPr>
                    <w:t>。</w:t>
                  </w:r>
                </w:p>
              </w:tc>
              <w:tc>
                <w:tcPr>
                  <w:tcW w:w="456" w:type="pct"/>
                  <w:vAlign w:val="center"/>
                </w:tcPr>
                <w:p>
                  <w:pPr>
                    <w:pStyle w:val="6"/>
                    <w:suppressLineNumbers w:val="0"/>
                    <w:bidi w:val="0"/>
                    <w:spacing w:before="0" w:beforeAutospacing="0" w:after="0" w:afterAutospacing="0"/>
                    <w:ind w:left="0" w:right="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suppressLineNumbers w:val="0"/>
                    <w:bidi w:val="0"/>
                    <w:spacing w:before="0" w:beforeAutospacing="0" w:after="0" w:afterAutospacing="0"/>
                    <w:ind w:left="0" w:right="0"/>
                    <w:rPr>
                      <w:rFonts w:hint="eastAsia"/>
                    </w:rPr>
                  </w:pPr>
                </w:p>
              </w:tc>
              <w:tc>
                <w:tcPr>
                  <w:tcW w:w="2650" w:type="pct"/>
                  <w:vAlign w:val="center"/>
                </w:tcPr>
                <w:p>
                  <w:pPr>
                    <w:pStyle w:val="6"/>
                    <w:suppressLineNumbers w:val="0"/>
                    <w:bidi w:val="0"/>
                    <w:spacing w:before="0" w:beforeAutospacing="0" w:after="0" w:afterAutospacing="0"/>
                    <w:ind w:left="0" w:right="0"/>
                    <w:rPr>
                      <w:rFonts w:hint="eastAsia"/>
                    </w:rPr>
                  </w:pPr>
                  <w:r>
                    <w:rPr>
                      <w:rFonts w:hint="eastAsia"/>
                    </w:rPr>
                    <w:t>退出重点行业落后产能。严格执行《产业结构调整指导目录》，依法依规淘汰落后产能。联防联控区进一步提高落后产能能耗、环保、质量、安全、技术等要求，逐步退出限制类涉气行业工艺和装备。</w:t>
                  </w:r>
                </w:p>
              </w:tc>
              <w:tc>
                <w:tcPr>
                  <w:tcW w:w="1218"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本项目不属于落后产能。</w:t>
                  </w:r>
                </w:p>
              </w:tc>
              <w:tc>
                <w:tcPr>
                  <w:tcW w:w="456" w:type="pct"/>
                  <w:vAlign w:val="center"/>
                </w:tcPr>
                <w:p>
                  <w:pPr>
                    <w:pStyle w:val="6"/>
                    <w:suppressLineNumbers w:val="0"/>
                    <w:bidi w:val="0"/>
                    <w:spacing w:before="0" w:beforeAutospacing="0" w:after="0" w:afterAutospacing="0"/>
                    <w:ind w:left="0" w:right="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suppressLineNumbers w:val="0"/>
                    <w:bidi w:val="0"/>
                    <w:spacing w:before="0" w:beforeAutospacing="0" w:after="0" w:afterAutospacing="0"/>
                    <w:ind w:left="0" w:right="0"/>
                    <w:rPr>
                      <w:rFonts w:hint="eastAsia"/>
                    </w:rPr>
                  </w:pPr>
                </w:p>
              </w:tc>
              <w:tc>
                <w:tcPr>
                  <w:tcW w:w="2650" w:type="pct"/>
                  <w:vAlign w:val="center"/>
                </w:tcPr>
                <w:p>
                  <w:pPr>
                    <w:pStyle w:val="6"/>
                    <w:suppressLineNumbers w:val="0"/>
                    <w:bidi w:val="0"/>
                    <w:spacing w:before="0" w:beforeAutospacing="0" w:after="0" w:afterAutospacing="0"/>
                    <w:ind w:left="0" w:right="0"/>
                    <w:rPr>
                      <w:rFonts w:hint="eastAsia"/>
                    </w:rPr>
                  </w:pPr>
                  <w:r>
                    <w:rPr>
                      <w:rFonts w:hint="eastAsia"/>
                    </w:rPr>
                    <w:t>持续强化扬尘污染综合管控。施工场地严格落实“六个百分百”要求。扬尘污染防治费用纳入工程造价，3000m</w:t>
                  </w:r>
                  <w:r>
                    <w:rPr>
                      <w:rFonts w:hint="eastAsia"/>
                      <w:vertAlign w:val="superscript"/>
                    </w:rPr>
                    <w:t>2</w:t>
                  </w:r>
                  <w:r>
                    <w:rPr>
                      <w:rFonts w:hint="eastAsia"/>
                    </w:rPr>
                    <w:t>及以上建筑工地安装视频监控并接入当地监管平台。道路、水务等长距离线性工程实行分段施工。城市建成区主次干道机械化清扫率达到80%。加强城市及周边公共裸地、物料堆场等易产尘区域抑尘管理。</w:t>
                  </w:r>
                </w:p>
              </w:tc>
              <w:tc>
                <w:tcPr>
                  <w:tcW w:w="1218" w:type="pct"/>
                  <w:vAlign w:val="center"/>
                </w:tcPr>
                <w:p>
                  <w:pPr>
                    <w:pStyle w:val="6"/>
                    <w:suppressLineNumbers w:val="0"/>
                    <w:bidi w:val="0"/>
                    <w:spacing w:before="0" w:beforeAutospacing="0" w:after="0" w:afterAutospacing="0"/>
                    <w:ind w:left="0" w:right="0"/>
                    <w:rPr>
                      <w:rFonts w:hint="eastAsia"/>
                    </w:rPr>
                  </w:pPr>
                  <w:r>
                    <w:rPr>
                      <w:rFonts w:hint="eastAsia"/>
                    </w:rPr>
                    <w:t>本项目施工作业工程中</w:t>
                  </w:r>
                  <w:r>
                    <w:rPr>
                      <w:rFonts w:hint="eastAsia"/>
                      <w:lang w:val="en-US" w:eastAsia="zh-CN"/>
                    </w:rPr>
                    <w:t>应</w:t>
                  </w:r>
                  <w:r>
                    <w:rPr>
                      <w:rFonts w:hint="eastAsia"/>
                    </w:rPr>
                    <w:t>采取洒水降尘措施以减少对周边环境和环境敏感目标的影响。</w:t>
                  </w:r>
                </w:p>
              </w:tc>
              <w:tc>
                <w:tcPr>
                  <w:tcW w:w="456" w:type="pct"/>
                  <w:vAlign w:val="center"/>
                </w:tcPr>
                <w:p>
                  <w:pPr>
                    <w:pStyle w:val="6"/>
                    <w:suppressLineNumbers w:val="0"/>
                    <w:bidi w:val="0"/>
                    <w:spacing w:before="0" w:beforeAutospacing="0" w:after="0" w:afterAutospacing="0"/>
                    <w:ind w:left="0" w:right="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restart"/>
                  <w:vAlign w:val="center"/>
                </w:tcPr>
                <w:p>
                  <w:pPr>
                    <w:pStyle w:val="6"/>
                    <w:suppressLineNumbers w:val="0"/>
                    <w:bidi w:val="0"/>
                    <w:spacing w:before="0" w:beforeAutospacing="0" w:after="0" w:afterAutospacing="0"/>
                    <w:ind w:left="0" w:right="0"/>
                    <w:rPr>
                      <w:rFonts w:hint="eastAsia"/>
                    </w:rPr>
                  </w:pPr>
                  <w:r>
                    <w:rPr>
                      <w:rFonts w:hint="eastAsia"/>
                      <w:lang w:val="en-US" w:eastAsia="zh-CN"/>
                    </w:rPr>
                    <w:t>《新疆维吾尔自治区大气污染防治条例》</w:t>
                  </w:r>
                </w:p>
              </w:tc>
              <w:tc>
                <w:tcPr>
                  <w:tcW w:w="2650"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自治区对重点大气污染物排放实行总量控制制度。</w:t>
                  </w:r>
                </w:p>
                <w:p>
                  <w:pPr>
                    <w:pStyle w:val="6"/>
                    <w:suppressLineNumbers w:val="0"/>
                    <w:bidi w:val="0"/>
                    <w:spacing w:before="0" w:beforeAutospacing="0" w:after="0" w:afterAutospacing="0"/>
                    <w:ind w:left="0" w:right="0"/>
                    <w:rPr>
                      <w:rFonts w:hint="eastAsia"/>
                      <w:lang w:val="en-US" w:eastAsia="zh-CN"/>
                    </w:rPr>
                  </w:pPr>
                  <w:r>
                    <w:rPr>
                      <w:rFonts w:hint="eastAsia"/>
                      <w:lang w:val="en-US" w:eastAsia="zh-CN"/>
                    </w:rPr>
                    <w:t>自治区人民政府按照国家规定，控制或者削减自治区的重点大气污染物排放总量。</w:t>
                  </w:r>
                </w:p>
                <w:p>
                  <w:pPr>
                    <w:pStyle w:val="6"/>
                    <w:suppressLineNumbers w:val="0"/>
                    <w:bidi w:val="0"/>
                    <w:spacing w:before="0" w:beforeAutospacing="0" w:after="0" w:afterAutospacing="0"/>
                    <w:ind w:left="0" w:right="0"/>
                    <w:rPr>
                      <w:rFonts w:hint="eastAsia"/>
                    </w:rPr>
                  </w:pPr>
                  <w:r>
                    <w:rPr>
                      <w:rFonts w:hint="eastAsia"/>
                      <w:lang w:val="en-US" w:eastAsia="zh-CN"/>
                    </w:rPr>
                    <w:t>自治区人民政府可以根据大气环境质量状况和大气污染防治工作需要，对国家重点大气污染物之外的其他大气污染物排放实行总量控制或者削减。</w:t>
                  </w:r>
                </w:p>
              </w:tc>
              <w:tc>
                <w:tcPr>
                  <w:tcW w:w="1218" w:type="pct"/>
                  <w:vMerge w:val="restar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本项目属于防渗渠节水改造项目，运营期不涉及重点大气污染物排放。</w:t>
                  </w:r>
                </w:p>
              </w:tc>
              <w:tc>
                <w:tcPr>
                  <w:tcW w:w="456" w:type="pct"/>
                  <w:vAlign w:val="center"/>
                </w:tcPr>
                <w:p>
                  <w:pPr>
                    <w:pStyle w:val="6"/>
                    <w:suppressLineNumbers w:val="0"/>
                    <w:bidi w:val="0"/>
                    <w:spacing w:before="0" w:beforeAutospacing="0" w:after="0" w:afterAutospacing="0"/>
                    <w:ind w:left="0" w:right="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suppressLineNumbers w:val="0"/>
                    <w:bidi w:val="0"/>
                    <w:spacing w:before="0" w:beforeAutospacing="0" w:after="0" w:afterAutospacing="0"/>
                    <w:ind w:left="0" w:right="0"/>
                    <w:rPr>
                      <w:rFonts w:hint="eastAsia"/>
                    </w:rPr>
                  </w:pPr>
                </w:p>
              </w:tc>
              <w:tc>
                <w:tcPr>
                  <w:tcW w:w="2650"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自治区对大气污染物实行排污许可管理制度。</w:t>
                  </w:r>
                </w:p>
                <w:p>
                  <w:pPr>
                    <w:pStyle w:val="6"/>
                    <w:suppressLineNumbers w:val="0"/>
                    <w:bidi w:val="0"/>
                    <w:spacing w:before="0" w:beforeAutospacing="0" w:after="0" w:afterAutospacing="0"/>
                    <w:ind w:left="0" w:right="0"/>
                    <w:rPr>
                      <w:rFonts w:hint="eastAsia"/>
                    </w:rPr>
                  </w:pPr>
                  <w:r>
                    <w:rPr>
                      <w:rFonts w:hint="eastAsia"/>
                      <w:lang w:val="en-US" w:eastAsia="zh-CN"/>
                    </w:rPr>
                    <w:t>向大气排放工业废气或者排放国家规定的有毒有害大气污染物的企业事业单位、集中供热设施的燃煤热源生产运营单位，以及其他依法实行排污许可管理的单位，应当依法取得排污许可证。向大气排放污染物的排污单位，应当按照国家和自治区的规定，设置大气污染物排放口，并明确其标志。</w:t>
                  </w:r>
                </w:p>
              </w:tc>
              <w:tc>
                <w:tcPr>
                  <w:tcW w:w="1218" w:type="pct"/>
                  <w:vMerge w:val="continue"/>
                  <w:vAlign w:val="center"/>
                </w:tcPr>
                <w:p>
                  <w:pPr>
                    <w:pStyle w:val="6"/>
                    <w:suppressLineNumbers w:val="0"/>
                    <w:bidi w:val="0"/>
                    <w:spacing w:before="0" w:beforeAutospacing="0" w:after="0" w:afterAutospacing="0"/>
                    <w:ind w:left="0" w:right="0"/>
                    <w:rPr>
                      <w:rFonts w:hint="eastAsia"/>
                    </w:rPr>
                  </w:pPr>
                </w:p>
              </w:tc>
              <w:tc>
                <w:tcPr>
                  <w:tcW w:w="456" w:type="pct"/>
                  <w:vAlign w:val="center"/>
                </w:tcPr>
                <w:p>
                  <w:pPr>
                    <w:pStyle w:val="6"/>
                    <w:suppressLineNumbers w:val="0"/>
                    <w:bidi w:val="0"/>
                    <w:spacing w:before="0" w:beforeAutospacing="0" w:after="0" w:afterAutospacing="0"/>
                    <w:ind w:left="0" w:right="0"/>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Merge w:val="continue"/>
                  <w:vAlign w:val="center"/>
                </w:tcPr>
                <w:p>
                  <w:pPr>
                    <w:pStyle w:val="6"/>
                    <w:suppressLineNumbers w:val="0"/>
                    <w:bidi w:val="0"/>
                    <w:spacing w:before="0" w:beforeAutospacing="0" w:after="0" w:afterAutospacing="0"/>
                    <w:ind w:left="0" w:right="0"/>
                    <w:rPr>
                      <w:rFonts w:hint="eastAsia"/>
                    </w:rPr>
                  </w:pPr>
                </w:p>
              </w:tc>
              <w:tc>
                <w:tcPr>
                  <w:tcW w:w="2650"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各级人民政府应当加强对建设施工、矿产资源开采、物料运输的扬尘和沙尘污染的治理，保持道路清洁、控制料堆和渣土堆放，科学合理扩大绿地、水面、湿地、地面铺装和防风固沙绿化面积，防治扬尘污染。</w:t>
                  </w:r>
                </w:p>
              </w:tc>
              <w:tc>
                <w:tcPr>
                  <w:tcW w:w="1218" w:type="pct"/>
                  <w:vAlign w:val="center"/>
                </w:tcPr>
                <w:p>
                  <w:pPr>
                    <w:pStyle w:val="6"/>
                    <w:suppressLineNumbers w:val="0"/>
                    <w:bidi w:val="0"/>
                    <w:spacing w:before="0" w:beforeAutospacing="0" w:after="0" w:afterAutospacing="0"/>
                    <w:ind w:left="0" w:right="0"/>
                    <w:rPr>
                      <w:rFonts w:hint="eastAsia"/>
                    </w:rPr>
                  </w:pPr>
                  <w:r>
                    <w:rPr>
                      <w:rFonts w:hint="eastAsia"/>
                    </w:rPr>
                    <w:t>本项目施工作业工程中</w:t>
                  </w:r>
                  <w:r>
                    <w:rPr>
                      <w:rFonts w:hint="eastAsia"/>
                      <w:lang w:val="en-US" w:eastAsia="zh-CN"/>
                    </w:rPr>
                    <w:t>应</w:t>
                  </w:r>
                  <w:r>
                    <w:rPr>
                      <w:rFonts w:hint="eastAsia"/>
                    </w:rPr>
                    <w:t>采取洒水降尘措施以减少对周边环境和环境敏感目标的影响。</w:t>
                  </w:r>
                </w:p>
              </w:tc>
              <w:tc>
                <w:tcPr>
                  <w:tcW w:w="456" w:type="pct"/>
                  <w:vAlign w:val="center"/>
                </w:tcPr>
                <w:p>
                  <w:pPr>
                    <w:pStyle w:val="6"/>
                    <w:suppressLineNumbers w:val="0"/>
                    <w:bidi w:val="0"/>
                    <w:spacing w:before="0" w:beforeAutospacing="0" w:after="0" w:afterAutospacing="0"/>
                    <w:ind w:left="0" w:right="0"/>
                    <w:rPr>
                      <w:rFonts w:hint="eastAsia"/>
                    </w:rPr>
                  </w:pPr>
                  <w:r>
                    <w:rPr>
                      <w:rFonts w:hint="eastAsia"/>
                    </w:rPr>
                    <w:t>符合</w:t>
                  </w:r>
                </w:p>
              </w:tc>
            </w:tr>
          </w:tbl>
          <w:p>
            <w:pPr>
              <w:keepNext w:val="0"/>
              <w:keepLines w:val="0"/>
              <w:suppressLineNumbers w:val="0"/>
              <w:autoSpaceDE w:val="0"/>
              <w:autoSpaceDN w:val="0"/>
              <w:adjustRightInd w:val="0"/>
              <w:snapToGrid w:val="0"/>
              <w:spacing w:before="0" w:beforeAutospacing="0" w:after="0" w:afterAutospacing="0"/>
              <w:ind w:left="0" w:leftChars="0" w:right="0" w:firstLine="0" w:firstLineChars="0"/>
              <w:rPr>
                <w:rFonts w:hint="eastAsia" w:ascii="宋体" w:hAnsi="宋体" w:eastAsia="宋体" w:cs="宋体"/>
                <w:color w:val="auto"/>
                <w:sz w:val="24"/>
                <w:szCs w:val="24"/>
              </w:rPr>
            </w:pPr>
          </w:p>
        </w:tc>
      </w:tr>
    </w:tbl>
    <w:p>
      <w:pPr>
        <w:spacing w:line="360" w:lineRule="auto"/>
        <w:outlineLvl w:val="0"/>
        <w:rPr>
          <w:rFonts w:eastAsia="黑体"/>
          <w:color w:val="auto"/>
          <w:sz w:val="30"/>
        </w:rPr>
        <w:sectPr>
          <w:footerReference r:id="rId5" w:type="default"/>
          <w:pgSz w:w="11906" w:h="16838"/>
          <w:pgMar w:top="1701" w:right="1531" w:bottom="1701" w:left="1531" w:header="851" w:footer="1077" w:gutter="0"/>
          <w:pgNumType w:fmt="decimal" w:start="1"/>
          <w:cols w:space="720" w:num="1"/>
          <w:docGrid w:linePitch="312" w:charSpace="0"/>
        </w:sectPr>
      </w:pPr>
    </w:p>
    <w:p>
      <w:pPr>
        <w:pStyle w:val="19"/>
        <w:jc w:val="center"/>
        <w:outlineLvl w:val="0"/>
        <w:rPr>
          <w:rFonts w:ascii="黑体" w:hAnsi="黑体" w:eastAsia="黑体"/>
          <w:snapToGrid w:val="0"/>
          <w:color w:val="auto"/>
          <w:sz w:val="30"/>
          <w:szCs w:val="30"/>
          <w:vertAlign w:val="baseline"/>
        </w:rPr>
      </w:pPr>
      <w:r>
        <w:rPr>
          <w:rFonts w:hint="eastAsia" w:ascii="黑体" w:hAnsi="黑体" w:eastAsia="黑体"/>
          <w:snapToGrid w:val="0"/>
          <w:color w:val="auto"/>
          <w:sz w:val="30"/>
          <w:szCs w:val="30"/>
        </w:rPr>
        <w:t>二、建设内容</w:t>
      </w:r>
    </w:p>
    <w:tbl>
      <w:tblPr>
        <w:tblStyle w:val="22"/>
        <w:tblW w:w="53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 w:type="pct"/>
            <w:vAlign w:val="center"/>
          </w:tcPr>
          <w:p>
            <w:pPr>
              <w:pStyle w:val="6"/>
              <w:suppressLineNumbers w:val="0"/>
              <w:bidi w:val="0"/>
              <w:spacing w:before="0" w:beforeAutospacing="0" w:after="0" w:afterAutospacing="0"/>
              <w:ind w:left="0" w:right="0"/>
              <w:jc w:val="center"/>
              <w:rPr>
                <w:rFonts w:hint="default"/>
              </w:rPr>
            </w:pPr>
            <w:r>
              <w:rPr>
                <w:rFonts w:hint="eastAsia"/>
              </w:rPr>
              <w:t>地理位置</w:t>
            </w:r>
          </w:p>
        </w:tc>
        <w:tc>
          <w:tcPr>
            <w:tcW w:w="4616" w:type="pct"/>
          </w:tcPr>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 地理位置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项目位于若羌县铁干里克镇托格拉克勒克村。工程实施点距若羌县城1.5km，其地理坐标：</w:t>
            </w:r>
            <w:r>
              <w:rPr>
                <w:rFonts w:hint="default"/>
                <w:lang w:val="en-US" w:eastAsia="zh-CN"/>
              </w:rPr>
              <w:t>东经88°8′52.09</w:t>
            </w:r>
            <w:r>
              <w:rPr>
                <w:rFonts w:hint="eastAsia"/>
                <w:lang w:val="en-US" w:eastAsia="zh-CN"/>
              </w:rPr>
              <w:t>2</w:t>
            </w:r>
            <w:r>
              <w:rPr>
                <w:rFonts w:hint="default"/>
                <w:lang w:val="en-US" w:eastAsia="zh-CN"/>
              </w:rPr>
              <w:t>″~88°10′21.08</w:t>
            </w:r>
            <w:r>
              <w:rPr>
                <w:rFonts w:hint="eastAsia"/>
                <w:lang w:val="en-US" w:eastAsia="zh-CN"/>
              </w:rPr>
              <w:t>1</w:t>
            </w:r>
            <w:r>
              <w:rPr>
                <w:rFonts w:hint="default"/>
                <w:lang w:val="en-US" w:eastAsia="zh-CN"/>
              </w:rPr>
              <w:t>″，北纬39°2′38.43</w:t>
            </w:r>
            <w:r>
              <w:rPr>
                <w:rFonts w:hint="eastAsia"/>
                <w:lang w:val="en-US" w:eastAsia="zh-CN"/>
              </w:rPr>
              <w:t>4</w:t>
            </w:r>
            <w:r>
              <w:rPr>
                <w:rFonts w:hint="default"/>
                <w:lang w:val="en-US" w:eastAsia="zh-CN"/>
              </w:rPr>
              <w:t>″~39°3′46.56</w:t>
            </w:r>
            <w:r>
              <w:rPr>
                <w:rFonts w:hint="eastAsia"/>
                <w:lang w:val="en-US" w:eastAsia="zh-CN"/>
              </w:rPr>
              <w:t>6</w:t>
            </w:r>
            <w:r>
              <w:rPr>
                <w:rFonts w:hint="default"/>
                <w:lang w:val="en-US" w:eastAsia="zh-CN"/>
              </w:rPr>
              <w:t>″，</w:t>
            </w:r>
            <w:r>
              <w:rPr>
                <w:rFonts w:hint="eastAsia"/>
                <w:lang w:val="en-US" w:eastAsia="zh-CN"/>
              </w:rPr>
              <w:t>交通较便利。建设项目地理位置示意图见附图1。</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2 水资源</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项目区灌溉水源主要为若羌河地表水，年均径流量0.901亿立方米，水质符合《地表水环境质量标准》（GB3838-2002）</w:t>
            </w:r>
            <w:r>
              <w:rPr>
                <w:rFonts w:hint="eastAsia" w:ascii="微软雅黑" w:hAnsi="微软雅黑" w:eastAsia="微软雅黑" w:cs="微软雅黑"/>
                <w:lang w:val="en-US" w:eastAsia="zh-CN"/>
              </w:rPr>
              <w:t>Ⅲ</w:t>
            </w:r>
            <w:r>
              <w:rPr>
                <w:rFonts w:hint="eastAsia"/>
                <w:lang w:val="en-US" w:eastAsia="zh-CN"/>
              </w:rPr>
              <w:t>类标准，可满足农业灌溉需求。</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本项目建设内容仅对铁干里克镇托格拉克勒克村进行防渗改造，灌溉用水引自</w:t>
            </w:r>
            <w:r>
              <w:rPr>
                <w:rFonts w:hint="eastAsia"/>
                <w:highlight w:val="none"/>
                <w:lang w:val="en-US" w:eastAsia="zh-CN"/>
              </w:rPr>
              <w:t>布拉克一号</w:t>
            </w:r>
            <w:r>
              <w:rPr>
                <w:rFonts w:hint="eastAsia"/>
                <w:lang w:val="en-US" w:eastAsia="zh-CN"/>
              </w:rPr>
              <w:t>斗渠、布拉克二号斗渠、兰干村一号斗渠、托格拉克勒克村一号斗渠和托格拉克勒克村三号斗渠，不直接从河流引水。</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3 起止点坐标</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本工程涉及若羌县托格拉克勒克村，项目从斗渠引水，修建防渗渠共计35条，总长5.338</w:t>
            </w:r>
            <w:r>
              <w:rPr>
                <w:rFonts w:hint="default"/>
                <w:lang w:val="en-US" w:eastAsia="zh-CN"/>
              </w:rPr>
              <w:t>km</w:t>
            </w:r>
            <w:r>
              <w:rPr>
                <w:rFonts w:hint="eastAsia"/>
                <w:lang w:val="en-US" w:eastAsia="zh-CN"/>
              </w:rPr>
              <w:t>，渠道线路坐标见表2-1。项目总平面布置图见附图2。</w:t>
            </w: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eastAsia"/>
                <w:lang w:val="en-US" w:eastAsia="zh-CN"/>
              </w:rPr>
            </w:pPr>
          </w:p>
          <w:p>
            <w:pPr>
              <w:keepNext w:val="0"/>
              <w:keepLines w:val="0"/>
              <w:suppressLineNumbers w:val="0"/>
              <w:bidi w:val="0"/>
              <w:spacing w:before="0" w:beforeAutospacing="0" w:after="0" w:afterAutospacing="0"/>
              <w:ind w:left="0" w:right="0"/>
              <w:rPr>
                <w:rFonts w:hint="default"/>
              </w:rPr>
            </w:pPr>
          </w:p>
        </w:tc>
      </w:tr>
    </w:tbl>
    <w:p>
      <w:pPr>
        <w:pStyle w:val="19"/>
        <w:jc w:val="center"/>
        <w:outlineLvl w:val="0"/>
        <w:rPr>
          <w:rFonts w:ascii="黑体" w:hAnsi="黑体" w:eastAsia="黑体"/>
          <w:snapToGrid w:val="0"/>
          <w:color w:val="auto"/>
          <w:sz w:val="30"/>
          <w:szCs w:val="30"/>
        </w:rPr>
        <w:sectPr>
          <w:pgSz w:w="11906" w:h="16838"/>
          <w:pgMar w:top="1440" w:right="1800" w:bottom="1440" w:left="1800" w:header="851" w:footer="1077" w:gutter="0"/>
          <w:pgNumType w:fmt="decimal"/>
          <w:cols w:space="720" w:num="1"/>
          <w:docGrid w:linePitch="312"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pPr>
              <w:pStyle w:val="19"/>
              <w:keepNext w:val="0"/>
              <w:keepLines w:val="0"/>
              <w:suppressLineNumbers w:val="0"/>
              <w:ind w:left="0" w:right="0"/>
              <w:jc w:val="center"/>
              <w:outlineLvl w:val="0"/>
              <w:rPr>
                <w:rFonts w:hint="default" w:ascii="黑体" w:hAnsi="黑体" w:eastAsia="黑体"/>
                <w:snapToGrid w:val="0"/>
                <w:color w:val="auto"/>
                <w:sz w:val="30"/>
                <w:szCs w:val="30"/>
                <w:vertAlign w:val="baseline"/>
              </w:rPr>
            </w:pPr>
          </w:p>
        </w:tc>
        <w:tc>
          <w:tcPr>
            <w:tcW w:w="13221" w:type="dxa"/>
          </w:tcPr>
          <w:p>
            <w:pPr>
              <w:pStyle w:val="5"/>
              <w:suppressLineNumbers w:val="0"/>
              <w:bidi w:val="0"/>
              <w:spacing w:before="0" w:after="0"/>
              <w:ind w:left="0" w:right="0"/>
              <w:rPr>
                <w:rFonts w:hint="eastAsia"/>
                <w:lang w:val="en-US" w:eastAsia="zh-CN"/>
              </w:rPr>
            </w:pPr>
            <w:r>
              <w:rPr>
                <w:rFonts w:hint="eastAsia"/>
                <w:lang w:val="en-US" w:eastAsia="zh-CN"/>
              </w:rPr>
              <w:t>表2-1  工程起止点坐标</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228"/>
              <w:gridCol w:w="2250"/>
              <w:gridCol w:w="3331"/>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序号</w:t>
                  </w:r>
                </w:p>
              </w:tc>
              <w:tc>
                <w:tcPr>
                  <w:tcW w:w="1242"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渠道名称</w:t>
                  </w:r>
                </w:p>
              </w:tc>
              <w:tc>
                <w:tcPr>
                  <w:tcW w:w="866"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渠道长度（m）</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起点坐标</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终点坐标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一条田3号渠</w:t>
                  </w:r>
                </w:p>
              </w:tc>
              <w:tc>
                <w:tcPr>
                  <w:tcW w:w="866"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155.89</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E</w:t>
                  </w:r>
                  <w:r>
                    <w:rPr>
                      <w:rFonts w:hint="default"/>
                      <w:lang w:val="en-US" w:eastAsia="zh-CN"/>
                    </w:rPr>
                    <w:t>88°10′1.012″，</w:t>
                  </w:r>
                  <w:r>
                    <w:rPr>
                      <w:rFonts w:hint="eastAsia"/>
                      <w:lang w:val="en-US" w:eastAsia="zh-CN"/>
                    </w:rPr>
                    <w:t>N</w:t>
                  </w:r>
                  <w:r>
                    <w:rPr>
                      <w:rFonts w:hint="default"/>
                      <w:lang w:val="en-US" w:eastAsia="zh-CN"/>
                    </w:rPr>
                    <w:t>39°3′48.754″</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E88°10′7.539″，N39°3′48.836″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2</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敬老院北斗渠</w:t>
                  </w:r>
                </w:p>
              </w:tc>
              <w:tc>
                <w:tcPr>
                  <w:tcW w:w="866"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222.11</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E88°10′8.02</w:t>
                  </w:r>
                  <w:r>
                    <w:rPr>
                      <w:rFonts w:hint="eastAsia"/>
                      <w:lang w:val="en-US" w:eastAsia="zh-CN"/>
                    </w:rPr>
                    <w:t>2</w:t>
                  </w:r>
                  <w:r>
                    <w:rPr>
                      <w:rFonts w:hint="default"/>
                      <w:lang w:val="en-US" w:eastAsia="zh-CN"/>
                    </w:rPr>
                    <w:t>″，N39°3′43.486″</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E88°10′17.156″，N39°3′43.544″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3</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三队三条田阿曼吾加布拉4号渠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75.04</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E88°10′19.821″，N39°3′34.52</w:t>
                  </w:r>
                  <w:r>
                    <w:rPr>
                      <w:rFonts w:hint="eastAsia"/>
                      <w:highlight w:val="none"/>
                      <w:lang w:val="en-US" w:eastAsia="zh-CN"/>
                    </w:rPr>
                    <w:t>6</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E88°10′16.403″，N</w:t>
                  </w:r>
                  <w:r>
                    <w:rPr>
                      <w:rFonts w:hint="eastAsia"/>
                      <w:highlight w:val="none"/>
                      <w:lang w:val="en-US" w:eastAsia="zh-CN"/>
                    </w:rPr>
                    <w:t>3</w:t>
                  </w:r>
                  <w:r>
                    <w:rPr>
                      <w:rFonts w:hint="default"/>
                      <w:highlight w:val="none"/>
                      <w:lang w:val="en-US" w:eastAsia="zh-CN"/>
                    </w:rPr>
                    <w:t>9°3′34.651″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4</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三队三条田十字路口</w:t>
                  </w:r>
                  <w:r>
                    <w:rPr>
                      <w:rFonts w:hint="default"/>
                      <w:lang w:val="en-US" w:eastAsia="zh-CN"/>
                    </w:rPr>
                    <w:t>3号</w:t>
                  </w:r>
                  <w:r>
                    <w:rPr>
                      <w:rFonts w:hint="eastAsia"/>
                      <w:lang w:val="en-US" w:eastAsia="zh-CN"/>
                    </w:rPr>
                    <w:t>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178.84</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E88°10′8.44</w:t>
                  </w:r>
                  <w:r>
                    <w:rPr>
                      <w:rFonts w:hint="eastAsia"/>
                      <w:highlight w:val="none"/>
                      <w:lang w:val="en-US" w:eastAsia="zh-CN"/>
                    </w:rPr>
                    <w:t>7</w:t>
                  </w:r>
                  <w:r>
                    <w:rPr>
                      <w:rFonts w:hint="default"/>
                      <w:highlight w:val="none"/>
                      <w:lang w:val="en-US" w:eastAsia="zh-CN"/>
                    </w:rPr>
                    <w:t>″，N39°3′30.470″</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E88°10′15.631″，N39°3′30.58</w:t>
                  </w:r>
                  <w:r>
                    <w:rPr>
                      <w:rFonts w:hint="eastAsia"/>
                      <w:highlight w:val="none"/>
                      <w:lang w:val="en-US" w:eastAsia="zh-CN"/>
                    </w:rPr>
                    <w:t>6</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5</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三队三条田王秋娃2号渠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142.53</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E88°10′11.7</w:t>
                  </w:r>
                  <w:r>
                    <w:rPr>
                      <w:rFonts w:hint="eastAsia"/>
                      <w:highlight w:val="none"/>
                      <w:lang w:val="en-US" w:eastAsia="zh-CN"/>
                    </w:rPr>
                    <w:t>3</w:t>
                  </w:r>
                  <w:r>
                    <w:rPr>
                      <w:rFonts w:hint="default"/>
                      <w:highlight w:val="none"/>
                      <w:lang w:val="en-US" w:eastAsia="zh-CN"/>
                    </w:rPr>
                    <w:t>0″，N39°3′25.33</w:t>
                  </w:r>
                  <w:r>
                    <w:rPr>
                      <w:rFonts w:hint="eastAsia"/>
                      <w:highlight w:val="none"/>
                      <w:lang w:val="en-US" w:eastAsia="zh-CN"/>
                    </w:rPr>
                    <w:t>3</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E88°10′16.963″，N39°3′27.322″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三队三条田龙大志1号渠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145.73</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E88°10′8.659″，N39°3′16.488″</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E88°10′13.83</w:t>
                  </w:r>
                  <w:r>
                    <w:rPr>
                      <w:rFonts w:hint="eastAsia"/>
                      <w:highlight w:val="none"/>
                      <w:lang w:val="en-US" w:eastAsia="zh-CN"/>
                    </w:rPr>
                    <w:t>4</w:t>
                  </w:r>
                  <w:r>
                    <w:rPr>
                      <w:rFonts w:hint="default"/>
                      <w:highlight w:val="none"/>
                      <w:lang w:val="en-US" w:eastAsia="zh-CN"/>
                    </w:rPr>
                    <w:t>″，N39°3′18.32</w:t>
                  </w:r>
                  <w:r>
                    <w:rPr>
                      <w:rFonts w:hint="eastAsia"/>
                      <w:highlight w:val="none"/>
                      <w:lang w:val="en-US" w:eastAsia="zh-CN"/>
                    </w:rPr>
                    <w:t>3</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7</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村集体地1号渠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116.88</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E88°9′58.655″，N39°3′11.48</w:t>
                  </w:r>
                  <w:r>
                    <w:rPr>
                      <w:rFonts w:hint="eastAsia"/>
                      <w:highlight w:val="none"/>
                      <w:lang w:val="en-US" w:eastAsia="zh-CN"/>
                    </w:rPr>
                    <w:t>7</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E88°9′59.47</w:t>
                  </w:r>
                  <w:r>
                    <w:rPr>
                      <w:rFonts w:hint="eastAsia"/>
                      <w:highlight w:val="none"/>
                      <w:lang w:val="en-US" w:eastAsia="zh-CN"/>
                    </w:rPr>
                    <w:t>6</w:t>
                  </w:r>
                  <w:r>
                    <w:rPr>
                      <w:rFonts w:hint="default"/>
                      <w:highlight w:val="none"/>
                      <w:lang w:val="en-US" w:eastAsia="zh-CN"/>
                    </w:rPr>
                    <w:t>″，N39°3′15.35</w:t>
                  </w:r>
                  <w:r>
                    <w:rPr>
                      <w:rFonts w:hint="eastAsia"/>
                      <w:highlight w:val="none"/>
                      <w:lang w:val="en-US" w:eastAsia="zh-CN"/>
                    </w:rPr>
                    <w:t>9</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8</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村集体地2号渠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66.65</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E88°10′13.71</w:t>
                  </w:r>
                  <w:r>
                    <w:rPr>
                      <w:rFonts w:hint="eastAsia"/>
                      <w:highlight w:val="none"/>
                      <w:lang w:val="en-US" w:eastAsia="zh-CN"/>
                    </w:rPr>
                    <w:t>9</w:t>
                  </w:r>
                  <w:r>
                    <w:rPr>
                      <w:rFonts w:hint="default"/>
                      <w:highlight w:val="none"/>
                      <w:lang w:val="en-US" w:eastAsia="zh-CN"/>
                    </w:rPr>
                    <w:t>″，N39°3′15.47</w:t>
                  </w:r>
                  <w:r>
                    <w:rPr>
                      <w:rFonts w:hint="eastAsia"/>
                      <w:highlight w:val="none"/>
                      <w:lang w:val="en-US" w:eastAsia="zh-CN"/>
                    </w:rPr>
                    <w:t>4</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ascii="Times New Roman" w:hAnsi="Times New Roman" w:cs="Times New Roman"/>
                      <w:highlight w:val="none"/>
                      <w:lang w:val="en-US" w:eastAsia="zh-CN"/>
                    </w:rPr>
                    <w:t>E88°10′13.989″，N39°3′17.406″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9</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一队二条田3号渠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175.67</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E88°10′8.85</w:t>
                  </w:r>
                  <w:r>
                    <w:rPr>
                      <w:rFonts w:hint="eastAsia"/>
                      <w:highlight w:val="none"/>
                      <w:lang w:val="en-US" w:eastAsia="zh-CN"/>
                    </w:rPr>
                    <w:t>2</w:t>
                  </w:r>
                  <w:r>
                    <w:rPr>
                      <w:rFonts w:hint="default"/>
                      <w:highlight w:val="none"/>
                      <w:lang w:val="en-US" w:eastAsia="zh-CN"/>
                    </w:rPr>
                    <w:t>″，N39°3′7.92</w:t>
                  </w:r>
                  <w:r>
                    <w:rPr>
                      <w:rFonts w:hint="eastAsia"/>
                      <w:highlight w:val="none"/>
                      <w:lang w:val="en-US" w:eastAsia="zh-CN"/>
                    </w:rPr>
                    <w:t>3</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E88°10′19.39</w:t>
                  </w:r>
                  <w:r>
                    <w:rPr>
                      <w:rFonts w:hint="eastAsia"/>
                      <w:highlight w:val="none"/>
                      <w:lang w:val="en-US" w:eastAsia="zh-CN"/>
                    </w:rPr>
                    <w:t>6</w:t>
                  </w:r>
                  <w:r>
                    <w:rPr>
                      <w:rFonts w:hint="default"/>
                      <w:highlight w:val="none"/>
                      <w:lang w:val="en-US" w:eastAsia="zh-CN"/>
                    </w:rPr>
                    <w:t>″，N39°3′4.19</w:t>
                  </w:r>
                  <w:r>
                    <w:rPr>
                      <w:rFonts w:hint="eastAsia"/>
                      <w:highlight w:val="none"/>
                      <w:lang w:val="en-US" w:eastAsia="zh-CN"/>
                    </w:rPr>
                    <w:t>6</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10</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一队二条田胡杨林1号渠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257.77</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E88°10′8.794″，N39°3′4.19</w:t>
                  </w:r>
                  <w:r>
                    <w:rPr>
                      <w:rFonts w:hint="eastAsia"/>
                      <w:highlight w:val="none"/>
                      <w:lang w:val="en-US" w:eastAsia="zh-CN"/>
                    </w:rPr>
                    <w:t>6</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E88°10′19.35</w:t>
                  </w:r>
                  <w:r>
                    <w:rPr>
                      <w:rFonts w:hint="eastAsia"/>
                      <w:highlight w:val="none"/>
                      <w:lang w:val="en-US" w:eastAsia="zh-CN"/>
                    </w:rPr>
                    <w:t>8</w:t>
                  </w:r>
                  <w:r>
                    <w:rPr>
                      <w:rFonts w:hint="default"/>
                      <w:highlight w:val="none"/>
                      <w:lang w:val="en-US" w:eastAsia="zh-CN"/>
                    </w:rPr>
                    <w:t>″，N39°3′4.21</w:t>
                  </w:r>
                  <w:r>
                    <w:rPr>
                      <w:rFonts w:hint="eastAsia"/>
                      <w:highlight w:val="none"/>
                      <w:lang w:val="en-US" w:eastAsia="zh-CN"/>
                    </w:rPr>
                    <w:t>6</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11</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一队二条田田天玉2号渠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211.13</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E88°10′10.37</w:t>
                  </w:r>
                  <w:r>
                    <w:rPr>
                      <w:rFonts w:hint="eastAsia"/>
                      <w:highlight w:val="none"/>
                      <w:lang w:val="en-US" w:eastAsia="zh-CN"/>
                    </w:rPr>
                    <w:t>8</w:t>
                  </w:r>
                  <w:r>
                    <w:rPr>
                      <w:rFonts w:hint="default"/>
                      <w:highlight w:val="none"/>
                      <w:lang w:val="en-US" w:eastAsia="zh-CN"/>
                    </w:rPr>
                    <w:t>″，N39°3′4.17</w:t>
                  </w:r>
                  <w:r>
                    <w:rPr>
                      <w:rFonts w:hint="eastAsia"/>
                      <w:highlight w:val="none"/>
                      <w:lang w:val="en-US" w:eastAsia="zh-CN"/>
                    </w:rPr>
                    <w:t>7</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E88°10′16.90</w:t>
                  </w:r>
                  <w:r>
                    <w:rPr>
                      <w:rFonts w:hint="eastAsia"/>
                      <w:highlight w:val="none"/>
                      <w:lang w:val="en-US" w:eastAsia="zh-CN"/>
                    </w:rPr>
                    <w:t>5</w:t>
                  </w:r>
                  <w:r>
                    <w:rPr>
                      <w:rFonts w:hint="default"/>
                      <w:highlight w:val="none"/>
                      <w:lang w:val="en-US" w:eastAsia="zh-CN"/>
                    </w:rPr>
                    <w:t>″，N39°3′2.4</w:t>
                  </w:r>
                  <w:r>
                    <w:rPr>
                      <w:rFonts w:hint="eastAsia"/>
                      <w:highlight w:val="none"/>
                      <w:lang w:val="en-US" w:eastAsia="zh-CN"/>
                    </w:rPr>
                    <w:t>20</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12</w:t>
                  </w:r>
                </w:p>
              </w:tc>
              <w:tc>
                <w:tcPr>
                  <w:tcW w:w="1242" w:type="pct"/>
                  <w:shd w:val="clear" w:color="auto" w:fill="auto"/>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一队三条田杨圣之1号渠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159.58</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E88°9′49.675″，N39°2′47.588″</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E88°9′48.362″，N39°2′52.53</w:t>
                  </w:r>
                  <w:r>
                    <w:rPr>
                      <w:rFonts w:hint="eastAsia"/>
                      <w:highlight w:val="none"/>
                      <w:lang w:val="en-US" w:eastAsia="zh-CN"/>
                    </w:rPr>
                    <w:t>2</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13</w:t>
                  </w:r>
                </w:p>
              </w:tc>
              <w:tc>
                <w:tcPr>
                  <w:tcW w:w="1242" w:type="pct"/>
                  <w:shd w:val="clear" w:color="auto" w:fill="auto"/>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一队一条田3号渠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208.82</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E88°10′0.66</w:t>
                  </w:r>
                  <w:r>
                    <w:rPr>
                      <w:rFonts w:hint="eastAsia"/>
                      <w:highlight w:val="none"/>
                      <w:lang w:val="en-US" w:eastAsia="zh-CN"/>
                    </w:rPr>
                    <w:t>4</w:t>
                  </w:r>
                  <w:r>
                    <w:rPr>
                      <w:rFonts w:hint="default"/>
                      <w:highlight w:val="none"/>
                      <w:lang w:val="en-US" w:eastAsia="zh-CN"/>
                    </w:rPr>
                    <w:t>″，N39°2′49.577″</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E88°10′9.39</w:t>
                  </w:r>
                  <w:r>
                    <w:rPr>
                      <w:rFonts w:hint="eastAsia"/>
                      <w:highlight w:val="none"/>
                      <w:lang w:val="en-US" w:eastAsia="zh-CN"/>
                    </w:rPr>
                    <w:t>3</w:t>
                  </w:r>
                  <w:r>
                    <w:rPr>
                      <w:rFonts w:hint="default"/>
                      <w:highlight w:val="none"/>
                      <w:lang w:val="en-US" w:eastAsia="zh-CN"/>
                    </w:rPr>
                    <w:t>″，N39°2′49.384″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14</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一队一条田箱包厂路口2号渠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124.28</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E88°10′0.695″，N39°2′48.08</w:t>
                  </w:r>
                  <w:r>
                    <w:rPr>
                      <w:rFonts w:hint="eastAsia"/>
                      <w:highlight w:val="none"/>
                      <w:lang w:val="en-US" w:eastAsia="zh-CN"/>
                    </w:rPr>
                    <w:t>8</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E88°9′56.3</w:t>
                  </w:r>
                  <w:r>
                    <w:rPr>
                      <w:rFonts w:hint="eastAsia"/>
                      <w:highlight w:val="none"/>
                      <w:lang w:val="en-US" w:eastAsia="zh-CN"/>
                    </w:rPr>
                    <w:t>60</w:t>
                  </w:r>
                  <w:r>
                    <w:rPr>
                      <w:rFonts w:hint="default"/>
                      <w:highlight w:val="none"/>
                      <w:lang w:val="en-US" w:eastAsia="zh-CN"/>
                    </w:rPr>
                    <w:t>″，N39°2′47.57</w:t>
                  </w:r>
                  <w:r>
                    <w:rPr>
                      <w:rFonts w:hint="eastAsia"/>
                      <w:highlight w:val="none"/>
                      <w:lang w:val="en-US" w:eastAsia="zh-CN"/>
                    </w:rPr>
                    <w:t>6</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15</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一队一条田2号渠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28.08</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E88°10′10.667″，N39°2′47.916″</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E88°10′9.50</w:t>
                  </w:r>
                  <w:r>
                    <w:rPr>
                      <w:rFonts w:hint="eastAsia"/>
                      <w:highlight w:val="none"/>
                      <w:lang w:val="en-US" w:eastAsia="zh-CN"/>
                    </w:rPr>
                    <w:t>9</w:t>
                  </w:r>
                  <w:r>
                    <w:rPr>
                      <w:rFonts w:hint="default"/>
                      <w:highlight w:val="none"/>
                      <w:lang w:val="en-US" w:eastAsia="zh-CN"/>
                    </w:rPr>
                    <w:t>″，N39°2′47.839″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16</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一队一条田箱包厂东1号渠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108.51</w:t>
                  </w:r>
                </w:p>
              </w:tc>
              <w:tc>
                <w:tcPr>
                  <w:tcW w:w="1282" w:type="pct"/>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E88°10′1.01</w:t>
                  </w:r>
                  <w:r>
                    <w:rPr>
                      <w:rFonts w:hint="eastAsia"/>
                      <w:highlight w:val="none"/>
                      <w:lang w:val="en-US" w:eastAsia="zh-CN"/>
                    </w:rPr>
                    <w:t>2</w:t>
                  </w:r>
                  <w:r>
                    <w:rPr>
                      <w:rFonts w:hint="default"/>
                      <w:highlight w:val="none"/>
                      <w:lang w:val="en-US" w:eastAsia="zh-CN"/>
                    </w:rPr>
                    <w:t>″，N39°2′42.08</w:t>
                  </w:r>
                  <w:r>
                    <w:rPr>
                      <w:rFonts w:hint="eastAsia"/>
                      <w:highlight w:val="none"/>
                      <w:lang w:val="en-US" w:eastAsia="zh-CN"/>
                    </w:rPr>
                    <w:t>4</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E88°10′3.36</w:t>
                  </w:r>
                  <w:r>
                    <w:rPr>
                      <w:rFonts w:hint="eastAsia"/>
                      <w:highlight w:val="none"/>
                      <w:lang w:val="en-US" w:eastAsia="zh-CN"/>
                    </w:rPr>
                    <w:t>8</w:t>
                  </w:r>
                  <w:r>
                    <w:rPr>
                      <w:rFonts w:hint="default"/>
                      <w:highlight w:val="none"/>
                      <w:lang w:val="en-US" w:eastAsia="zh-CN"/>
                    </w:rPr>
                    <w:t>″，N39°2′39.921″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17</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阔可萨依巷1号渠</w:t>
                  </w:r>
                </w:p>
              </w:tc>
              <w:tc>
                <w:tcPr>
                  <w:tcW w:w="866"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128.60</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E88°9′54.544″，N39°2′43.15</w:t>
                  </w:r>
                  <w:r>
                    <w:rPr>
                      <w:rFonts w:hint="eastAsia"/>
                      <w:lang w:val="en-US" w:eastAsia="zh-CN"/>
                    </w:rPr>
                    <w:t>4</w:t>
                  </w:r>
                  <w:r>
                    <w:rPr>
                      <w:rFonts w:hint="default"/>
                      <w:lang w:val="en-US" w:eastAsia="zh-CN"/>
                    </w:rPr>
                    <w:t>″</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E88°9′52.130″，N39°2′40.14</w:t>
                  </w:r>
                  <w:r>
                    <w:rPr>
                      <w:rFonts w:hint="eastAsia"/>
                      <w:lang w:val="en-US" w:eastAsia="zh-CN"/>
                    </w:rPr>
                    <w:t>1</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18</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一队三条田1号渠</w:t>
                  </w:r>
                </w:p>
              </w:tc>
              <w:tc>
                <w:tcPr>
                  <w:tcW w:w="866"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113.43</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E88°8′57.528″，N39°3′13.95</w:t>
                  </w:r>
                  <w:r>
                    <w:rPr>
                      <w:rFonts w:hint="eastAsia"/>
                      <w:lang w:val="en-US" w:eastAsia="zh-CN"/>
                    </w:rPr>
                    <w:t>8</w:t>
                  </w:r>
                  <w:r>
                    <w:rPr>
                      <w:rFonts w:hint="default"/>
                      <w:lang w:val="en-US" w:eastAsia="zh-CN"/>
                    </w:rPr>
                    <w:t>″</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E88°8′53.62</w:t>
                  </w:r>
                  <w:r>
                    <w:rPr>
                      <w:rFonts w:hint="eastAsia"/>
                      <w:lang w:val="en-US" w:eastAsia="zh-CN"/>
                    </w:rPr>
                    <w:t>7</w:t>
                  </w:r>
                  <w:r>
                    <w:rPr>
                      <w:rFonts w:hint="default"/>
                      <w:lang w:val="en-US" w:eastAsia="zh-CN"/>
                    </w:rPr>
                    <w:t>″，N39°3′14.67</w:t>
                  </w:r>
                  <w:r>
                    <w:rPr>
                      <w:rFonts w:hint="eastAsia"/>
                      <w:lang w:val="en-US" w:eastAsia="zh-CN"/>
                    </w:rPr>
                    <w:t>3</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19</w:t>
                  </w:r>
                </w:p>
              </w:tc>
              <w:tc>
                <w:tcPr>
                  <w:tcW w:w="1242" w:type="pct"/>
                  <w:shd w:val="clear" w:color="auto" w:fill="auto"/>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一队三条田2号渠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119.13</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E88°8′59.884″，N39°3′9.92</w:t>
                  </w:r>
                  <w:r>
                    <w:rPr>
                      <w:rFonts w:hint="eastAsia"/>
                      <w:highlight w:val="none"/>
                      <w:lang w:val="en-US" w:eastAsia="zh-CN"/>
                    </w:rPr>
                    <w:t>2</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E88°8′55.07</w:t>
                  </w:r>
                  <w:r>
                    <w:rPr>
                      <w:rFonts w:hint="eastAsia"/>
                      <w:highlight w:val="none"/>
                      <w:lang w:val="en-US" w:eastAsia="zh-CN"/>
                    </w:rPr>
                    <w:t>6</w:t>
                  </w:r>
                  <w:r>
                    <w:rPr>
                      <w:rFonts w:hint="default"/>
                      <w:highlight w:val="none"/>
                      <w:lang w:val="en-US" w:eastAsia="zh-CN"/>
                    </w:rPr>
                    <w:t>″，N39°3′9.169″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20</w:t>
                  </w:r>
                </w:p>
              </w:tc>
              <w:tc>
                <w:tcPr>
                  <w:tcW w:w="1242" w:type="pct"/>
                  <w:shd w:val="clear" w:color="auto" w:fill="auto"/>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二队</w:t>
                  </w:r>
                  <w:r>
                    <w:rPr>
                      <w:rFonts w:hint="default"/>
                      <w:highlight w:val="none"/>
                      <w:lang w:val="en-US" w:eastAsia="zh-CN"/>
                    </w:rPr>
                    <w:t>三条田1号渠</w:t>
                  </w:r>
                </w:p>
              </w:tc>
              <w:tc>
                <w:tcPr>
                  <w:tcW w:w="866" w:type="pct"/>
                  <w:shd w:val="clear" w:color="auto" w:fill="auto"/>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219.63</w:t>
                  </w:r>
                </w:p>
              </w:tc>
              <w:tc>
                <w:tcPr>
                  <w:tcW w:w="1282" w:type="pct"/>
                  <w:shd w:val="clear" w:color="auto" w:fill="auto"/>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E88°9′47.698″，N39°3′1.770″</w:t>
                  </w:r>
                </w:p>
              </w:tc>
              <w:tc>
                <w:tcPr>
                  <w:tcW w:w="1362" w:type="pct"/>
                  <w:shd w:val="clear" w:color="auto" w:fill="auto"/>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E88°9′44.68</w:t>
                  </w:r>
                  <w:r>
                    <w:rPr>
                      <w:rFonts w:hint="eastAsia"/>
                      <w:highlight w:val="none"/>
                      <w:lang w:val="en-US" w:eastAsia="zh-CN"/>
                    </w:rPr>
                    <w:t>6</w:t>
                  </w:r>
                  <w:r>
                    <w:rPr>
                      <w:rFonts w:hint="default"/>
                      <w:highlight w:val="none"/>
                      <w:lang w:val="en-US" w:eastAsia="zh-CN"/>
                    </w:rPr>
                    <w:t>″，N39°3′1.654″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eastAsia" w:ascii="Times New Roman" w:hAnsi="Times New Roman" w:eastAsia="宋体" w:cs="Times New Roman"/>
                      <w:kern w:val="2"/>
                      <w:sz w:val="21"/>
                      <w:szCs w:val="21"/>
                      <w:lang w:val="en-US" w:eastAsia="zh-CN" w:bidi="ar-SA"/>
                    </w:rPr>
                  </w:pPr>
                  <w:r>
                    <w:rPr>
                      <w:rFonts w:hint="eastAsia"/>
                      <w:lang w:val="en-US" w:eastAsia="zh-CN"/>
                    </w:rPr>
                    <w:t>21</w:t>
                  </w:r>
                </w:p>
              </w:tc>
              <w:tc>
                <w:tcPr>
                  <w:tcW w:w="1242" w:type="pct"/>
                  <w:shd w:val="clear" w:color="auto" w:fill="auto"/>
                  <w:vAlign w:val="center"/>
                </w:tcPr>
                <w:p>
                  <w:pPr>
                    <w:pStyle w:val="6"/>
                    <w:suppressLineNumbers w:val="0"/>
                    <w:bidi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lang w:val="en-US" w:eastAsia="zh-CN"/>
                    </w:rPr>
                    <w:t>二队三条田2号渠</w:t>
                  </w:r>
                </w:p>
              </w:tc>
              <w:tc>
                <w:tcPr>
                  <w:tcW w:w="866" w:type="pct"/>
                  <w:vAlign w:val="center"/>
                </w:tcPr>
                <w:p>
                  <w:pPr>
                    <w:pStyle w:val="6"/>
                    <w:suppressLineNumbers w:val="0"/>
                    <w:bidi w:val="0"/>
                    <w:spacing w:before="0" w:beforeAutospacing="0" w:after="0" w:afterAutospacing="0"/>
                    <w:ind w:left="0" w:right="0"/>
                    <w:rPr>
                      <w:rFonts w:hint="eastAsia" w:ascii="Times New Roman" w:hAnsi="Times New Roman" w:eastAsia="宋体" w:cs="Times New Roman"/>
                      <w:kern w:val="2"/>
                      <w:sz w:val="21"/>
                      <w:szCs w:val="21"/>
                      <w:highlight w:val="none"/>
                      <w:lang w:val="en-US" w:eastAsia="zh-CN" w:bidi="ar-SA"/>
                    </w:rPr>
                  </w:pPr>
                  <w:r>
                    <w:rPr>
                      <w:rFonts w:hint="eastAsia"/>
                      <w:highlight w:val="none"/>
                      <w:lang w:val="en-US" w:eastAsia="zh-CN"/>
                    </w:rPr>
                    <w:t>190.55</w:t>
                  </w:r>
                </w:p>
              </w:tc>
              <w:tc>
                <w:tcPr>
                  <w:tcW w:w="1282" w:type="pct"/>
                  <w:vAlign w:val="center"/>
                </w:tcPr>
                <w:p>
                  <w:pPr>
                    <w:pStyle w:val="6"/>
                    <w:suppressLineNumbers w:val="0"/>
                    <w:bidi w:val="0"/>
                    <w:spacing w:before="0" w:beforeAutospacing="0" w:after="0" w:afterAutospacing="0"/>
                    <w:ind w:left="0" w:right="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E88°9′44.205″，N39°3′10.46</w:t>
                  </w:r>
                  <w:r>
                    <w:rPr>
                      <w:rFonts w:hint="eastAsia"/>
                      <w:highlight w:val="none"/>
                      <w:lang w:val="en-US" w:eastAsia="zh-CN"/>
                    </w:rPr>
                    <w:t>3</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E88°9′36.229″，N39°3′10.25</w:t>
                  </w:r>
                  <w:r>
                    <w:rPr>
                      <w:rFonts w:hint="eastAsia"/>
                      <w:highlight w:val="none"/>
                      <w:lang w:val="en-US" w:eastAsia="zh-CN"/>
                    </w:rPr>
                    <w:t>1</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22</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二队三条田3号渠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147.83</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E88°9′44.18</w:t>
                  </w:r>
                  <w:r>
                    <w:rPr>
                      <w:rFonts w:hint="eastAsia"/>
                      <w:highlight w:val="none"/>
                      <w:lang w:val="en-US" w:eastAsia="zh-CN"/>
                    </w:rPr>
                    <w:t>6</w:t>
                  </w:r>
                  <w:r>
                    <w:rPr>
                      <w:rFonts w:hint="default"/>
                      <w:highlight w:val="none"/>
                      <w:lang w:val="en-US" w:eastAsia="zh-CN"/>
                    </w:rPr>
                    <w:t>″，N39°3′11.69</w:t>
                  </w:r>
                  <w:r>
                    <w:rPr>
                      <w:rFonts w:hint="eastAsia"/>
                      <w:highlight w:val="none"/>
                      <w:lang w:val="en-US" w:eastAsia="zh-CN"/>
                    </w:rPr>
                    <w:t>9</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E88°9′37.98</w:t>
                  </w:r>
                  <w:r>
                    <w:rPr>
                      <w:rFonts w:hint="eastAsia"/>
                      <w:highlight w:val="none"/>
                      <w:lang w:val="en-US" w:eastAsia="zh-CN"/>
                    </w:rPr>
                    <w:t>7</w:t>
                  </w:r>
                  <w:r>
                    <w:rPr>
                      <w:rFonts w:hint="default"/>
                      <w:highlight w:val="none"/>
                      <w:lang w:val="en-US" w:eastAsia="zh-CN"/>
                    </w:rPr>
                    <w:t>″，N39°3′11.54</w:t>
                  </w:r>
                  <w:r>
                    <w:rPr>
                      <w:rFonts w:hint="eastAsia"/>
                      <w:highlight w:val="none"/>
                      <w:lang w:val="en-US" w:eastAsia="zh-CN"/>
                    </w:rPr>
                    <w:t>4</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23</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二队三条田4号渠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147.72</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E88°9′44.16</w:t>
                  </w:r>
                  <w:r>
                    <w:rPr>
                      <w:rFonts w:hint="eastAsia"/>
                      <w:highlight w:val="none"/>
                      <w:lang w:val="en-US" w:eastAsia="zh-CN"/>
                    </w:rPr>
                    <w:t>7</w:t>
                  </w:r>
                  <w:r>
                    <w:rPr>
                      <w:rFonts w:hint="default"/>
                      <w:highlight w:val="none"/>
                      <w:lang w:val="en-US" w:eastAsia="zh-CN"/>
                    </w:rPr>
                    <w:t>″，N39°3′12.88</w:t>
                  </w:r>
                  <w:r>
                    <w:rPr>
                      <w:rFonts w:hint="eastAsia"/>
                      <w:highlight w:val="none"/>
                      <w:lang w:val="en-US" w:eastAsia="zh-CN"/>
                    </w:rPr>
                    <w:t>7</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E88°9′37.9</w:t>
                  </w:r>
                  <w:r>
                    <w:rPr>
                      <w:rFonts w:hint="eastAsia"/>
                      <w:highlight w:val="none"/>
                      <w:lang w:val="en-US" w:eastAsia="zh-CN"/>
                    </w:rPr>
                    <w:t>10</w:t>
                  </w:r>
                  <w:r>
                    <w:rPr>
                      <w:rFonts w:hint="default"/>
                      <w:highlight w:val="none"/>
                      <w:lang w:val="en-US" w:eastAsia="zh-CN"/>
                    </w:rPr>
                    <w:t>″，N39°3′12.73</w:t>
                  </w:r>
                  <w:r>
                    <w:rPr>
                      <w:rFonts w:hint="eastAsia"/>
                      <w:highlight w:val="none"/>
                      <w:lang w:val="en-US" w:eastAsia="zh-CN"/>
                    </w:rPr>
                    <w:t>2</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24</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二队三条田5号渠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249.56</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E88°9′44.147″，N39°3′14.14</w:t>
                  </w:r>
                  <w:r>
                    <w:rPr>
                      <w:rFonts w:hint="eastAsia"/>
                      <w:highlight w:val="none"/>
                      <w:lang w:val="en-US" w:eastAsia="zh-CN"/>
                    </w:rPr>
                    <w:t>2</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E88°9′33.66</w:t>
                  </w:r>
                  <w:r>
                    <w:rPr>
                      <w:rFonts w:hint="eastAsia"/>
                      <w:highlight w:val="none"/>
                      <w:lang w:val="en-US" w:eastAsia="zh-CN"/>
                    </w:rPr>
                    <w:t>1</w:t>
                  </w:r>
                  <w:r>
                    <w:rPr>
                      <w:rFonts w:hint="default"/>
                      <w:highlight w:val="none"/>
                      <w:lang w:val="en-US" w:eastAsia="zh-CN"/>
                    </w:rPr>
                    <w:t>″，N39°3′13.852″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25</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二队三条田6号渠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150.40</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E88°9′44.147″，N39°3′16.652″</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E88°9′39.16</w:t>
                  </w:r>
                  <w:r>
                    <w:rPr>
                      <w:rFonts w:hint="eastAsia"/>
                      <w:highlight w:val="none"/>
                      <w:lang w:val="en-US" w:eastAsia="zh-CN"/>
                    </w:rPr>
                    <w:t>5</w:t>
                  </w:r>
                  <w:r>
                    <w:rPr>
                      <w:rFonts w:hint="default"/>
                      <w:highlight w:val="none"/>
                      <w:lang w:val="en-US" w:eastAsia="zh-CN"/>
                    </w:rPr>
                    <w:t>″，N39°3′17.71</w:t>
                  </w:r>
                  <w:r>
                    <w:rPr>
                      <w:rFonts w:hint="eastAsia"/>
                      <w:highlight w:val="none"/>
                      <w:lang w:val="en-US" w:eastAsia="zh-CN"/>
                    </w:rPr>
                    <w:t>5</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26</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布拉克3条田1号渠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185.22</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E88°9′54.22</w:t>
                  </w:r>
                  <w:r>
                    <w:rPr>
                      <w:rFonts w:hint="eastAsia"/>
                      <w:highlight w:val="none"/>
                      <w:lang w:val="en-US" w:eastAsia="zh-CN"/>
                    </w:rPr>
                    <w:t>9</w:t>
                  </w:r>
                  <w:r>
                    <w:rPr>
                      <w:rFonts w:hint="default"/>
                      <w:highlight w:val="none"/>
                      <w:lang w:val="en-US" w:eastAsia="zh-CN"/>
                    </w:rPr>
                    <w:t>″，N39°3′9.40</w:t>
                  </w:r>
                  <w:r>
                    <w:rPr>
                      <w:rFonts w:hint="eastAsia"/>
                      <w:highlight w:val="none"/>
                      <w:lang w:val="en-US" w:eastAsia="zh-CN"/>
                    </w:rPr>
                    <w:t>1</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E88°9′46.48</w:t>
                  </w:r>
                  <w:r>
                    <w:rPr>
                      <w:rFonts w:hint="eastAsia"/>
                      <w:highlight w:val="none"/>
                      <w:lang w:val="en-US" w:eastAsia="zh-CN"/>
                    </w:rPr>
                    <w:t>4</w:t>
                  </w:r>
                  <w:r>
                    <w:rPr>
                      <w:rFonts w:hint="default"/>
                      <w:highlight w:val="none"/>
                      <w:lang w:val="en-US" w:eastAsia="zh-CN"/>
                    </w:rPr>
                    <w:t>″，N39°3′9.188″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27</w:t>
                  </w:r>
                </w:p>
              </w:tc>
              <w:tc>
                <w:tcPr>
                  <w:tcW w:w="1242"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布拉克3条田2号渠</w:t>
                  </w:r>
                </w:p>
              </w:tc>
              <w:tc>
                <w:tcPr>
                  <w:tcW w:w="866"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150.41</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E88°9′54.189″，N39°3′10.753″</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E88°9′47.89</w:t>
                  </w:r>
                  <w:r>
                    <w:rPr>
                      <w:rFonts w:hint="eastAsia"/>
                      <w:highlight w:val="none"/>
                      <w:lang w:val="en-US" w:eastAsia="zh-CN"/>
                    </w:rPr>
                    <w:t>4</w:t>
                  </w:r>
                  <w:r>
                    <w:rPr>
                      <w:rFonts w:hint="default"/>
                      <w:highlight w:val="none"/>
                      <w:lang w:val="en-US" w:eastAsia="zh-CN"/>
                    </w:rPr>
                    <w:t>″，N39°3′10.5</w:t>
                  </w:r>
                  <w:r>
                    <w:rPr>
                      <w:rFonts w:hint="eastAsia"/>
                      <w:highlight w:val="none"/>
                      <w:lang w:val="en-US" w:eastAsia="zh-CN"/>
                    </w:rPr>
                    <w:t>60</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28</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布拉克3条田3号渠</w:t>
                  </w:r>
                </w:p>
              </w:tc>
              <w:tc>
                <w:tcPr>
                  <w:tcW w:w="866" w:type="pct"/>
                  <w:shd w:val="clear" w:color="auto" w:fill="auto"/>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86.25</w:t>
                  </w:r>
                </w:p>
              </w:tc>
              <w:tc>
                <w:tcPr>
                  <w:tcW w:w="1282" w:type="pct"/>
                  <w:shd w:val="clear" w:color="auto" w:fill="auto"/>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E88°9′54.20</w:t>
                  </w:r>
                  <w:r>
                    <w:rPr>
                      <w:rFonts w:hint="eastAsia"/>
                      <w:highlight w:val="none"/>
                      <w:lang w:val="en-US" w:eastAsia="zh-CN"/>
                    </w:rPr>
                    <w:t>9</w:t>
                  </w:r>
                  <w:r>
                    <w:rPr>
                      <w:rFonts w:hint="default"/>
                      <w:highlight w:val="none"/>
                      <w:lang w:val="en-US" w:eastAsia="zh-CN"/>
                    </w:rPr>
                    <w:t>″，N39°3′11.98</w:t>
                  </w:r>
                  <w:r>
                    <w:rPr>
                      <w:rFonts w:hint="eastAsia"/>
                      <w:highlight w:val="none"/>
                      <w:lang w:val="en-US" w:eastAsia="zh-CN"/>
                    </w:rPr>
                    <w:t>9</w:t>
                  </w:r>
                  <w:r>
                    <w:rPr>
                      <w:rFonts w:hint="default"/>
                      <w:highlight w:val="none"/>
                      <w:lang w:val="en-US" w:eastAsia="zh-CN"/>
                    </w:rPr>
                    <w:t>″</w:t>
                  </w:r>
                </w:p>
              </w:tc>
              <w:tc>
                <w:tcPr>
                  <w:tcW w:w="1362" w:type="pct"/>
                  <w:shd w:val="clear" w:color="auto" w:fill="auto"/>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E88°9′50.578″，N39°3′11.83</w:t>
                  </w:r>
                  <w:r>
                    <w:rPr>
                      <w:rFonts w:hint="eastAsia"/>
                      <w:highlight w:val="none"/>
                      <w:lang w:val="en-US" w:eastAsia="zh-CN"/>
                    </w:rPr>
                    <w:t>4</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29</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布拉克3条田4号渠</w:t>
                  </w:r>
                </w:p>
              </w:tc>
              <w:tc>
                <w:tcPr>
                  <w:tcW w:w="866" w:type="pct"/>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190.16</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E88°9′54.189″，N39°3′13.128″</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E88°9′46.29</w:t>
                  </w:r>
                  <w:r>
                    <w:rPr>
                      <w:rFonts w:hint="eastAsia"/>
                      <w:highlight w:val="none"/>
                      <w:lang w:val="en-US" w:eastAsia="zh-CN"/>
                    </w:rPr>
                    <w:t>1</w:t>
                  </w:r>
                  <w:r>
                    <w:rPr>
                      <w:rFonts w:hint="default"/>
                      <w:highlight w:val="none"/>
                      <w:lang w:val="en-US" w:eastAsia="zh-CN"/>
                    </w:rPr>
                    <w:t>″，N39°3′12.93</w:t>
                  </w:r>
                  <w:r>
                    <w:rPr>
                      <w:rFonts w:hint="eastAsia"/>
                      <w:highlight w:val="none"/>
                      <w:lang w:val="en-US" w:eastAsia="zh-CN"/>
                    </w:rPr>
                    <w:t>5</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30</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布拉克3条田5号渠</w:t>
                  </w:r>
                </w:p>
              </w:tc>
              <w:tc>
                <w:tcPr>
                  <w:tcW w:w="866" w:type="pct"/>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162.74</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E88°9′54.13</w:t>
                  </w:r>
                  <w:r>
                    <w:rPr>
                      <w:rFonts w:hint="eastAsia"/>
                      <w:highlight w:val="none"/>
                      <w:lang w:val="en-US" w:eastAsia="zh-CN"/>
                    </w:rPr>
                    <w:t>2</w:t>
                  </w:r>
                  <w:r>
                    <w:rPr>
                      <w:rFonts w:hint="default"/>
                      <w:highlight w:val="none"/>
                      <w:lang w:val="en-US" w:eastAsia="zh-CN"/>
                    </w:rPr>
                    <w:t>″，N39°3′14.44</w:t>
                  </w:r>
                  <w:r>
                    <w:rPr>
                      <w:rFonts w:hint="eastAsia"/>
                      <w:highlight w:val="none"/>
                      <w:lang w:val="en-US" w:eastAsia="zh-CN"/>
                    </w:rPr>
                    <w:t>1</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E88°9′47.33</w:t>
                  </w:r>
                  <w:r>
                    <w:rPr>
                      <w:rFonts w:hint="eastAsia"/>
                      <w:highlight w:val="none"/>
                      <w:lang w:val="en-US" w:eastAsia="zh-CN"/>
                    </w:rPr>
                    <w:t>4</w:t>
                  </w:r>
                  <w:r>
                    <w:rPr>
                      <w:rFonts w:hint="default"/>
                      <w:highlight w:val="none"/>
                      <w:lang w:val="en-US" w:eastAsia="zh-CN"/>
                    </w:rPr>
                    <w:t>″，N39°3′14.22</w:t>
                  </w:r>
                  <w:r>
                    <w:rPr>
                      <w:rFonts w:hint="eastAsia"/>
                      <w:highlight w:val="none"/>
                      <w:lang w:val="en-US" w:eastAsia="zh-CN"/>
                    </w:rPr>
                    <w:t>9</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31</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布拉克3条田6号渠</w:t>
                  </w:r>
                </w:p>
              </w:tc>
              <w:tc>
                <w:tcPr>
                  <w:tcW w:w="866" w:type="pct"/>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154.66</w:t>
                  </w:r>
                </w:p>
              </w:tc>
              <w:tc>
                <w:tcPr>
                  <w:tcW w:w="128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E88°9′54.09</w:t>
                  </w:r>
                  <w:r>
                    <w:rPr>
                      <w:rFonts w:hint="eastAsia"/>
                      <w:highlight w:val="none"/>
                      <w:lang w:val="en-US" w:eastAsia="zh-CN"/>
                    </w:rPr>
                    <w:t>3</w:t>
                  </w:r>
                  <w:r>
                    <w:rPr>
                      <w:rFonts w:hint="default"/>
                      <w:highlight w:val="none"/>
                      <w:lang w:val="en-US" w:eastAsia="zh-CN"/>
                    </w:rPr>
                    <w:t>″，N39°3′15.69</w:t>
                  </w:r>
                  <w:r>
                    <w:rPr>
                      <w:rFonts w:hint="eastAsia"/>
                      <w:highlight w:val="none"/>
                      <w:lang w:val="en-US" w:eastAsia="zh-CN"/>
                    </w:rPr>
                    <w:t>6</w:t>
                  </w:r>
                  <w:r>
                    <w:rPr>
                      <w:rFonts w:hint="default"/>
                      <w:highlight w:val="none"/>
                      <w:lang w:val="en-US" w:eastAsia="zh-CN"/>
                    </w:rPr>
                    <w:t>″</w:t>
                  </w:r>
                </w:p>
              </w:tc>
              <w:tc>
                <w:tcPr>
                  <w:tcW w:w="1362" w:type="pct"/>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E88°9′47.623″，N39°3′15.426″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32</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二队二条田1号渠</w:t>
                  </w:r>
                </w:p>
              </w:tc>
              <w:tc>
                <w:tcPr>
                  <w:tcW w:w="866" w:type="pct"/>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71.97</w:t>
                  </w:r>
                </w:p>
              </w:tc>
              <w:tc>
                <w:tcPr>
                  <w:tcW w:w="1282" w:type="pct"/>
                  <w:shd w:val="clear" w:color="auto" w:fill="auto"/>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E88°9′44.205″，N39°3′9.169″</w:t>
                  </w:r>
                </w:p>
              </w:tc>
              <w:tc>
                <w:tcPr>
                  <w:tcW w:w="1362" w:type="pct"/>
                  <w:shd w:val="clear" w:color="auto" w:fill="auto"/>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E88°9′35.01</w:t>
                  </w:r>
                  <w:r>
                    <w:rPr>
                      <w:rFonts w:hint="eastAsia"/>
                      <w:highlight w:val="none"/>
                      <w:lang w:val="en-US" w:eastAsia="zh-CN"/>
                    </w:rPr>
                    <w:t>3</w:t>
                  </w:r>
                  <w:r>
                    <w:rPr>
                      <w:rFonts w:hint="default"/>
                      <w:highlight w:val="none"/>
                      <w:lang w:val="en-US" w:eastAsia="zh-CN"/>
                    </w:rPr>
                    <w:t>″，N39°3′9.03</w:t>
                  </w:r>
                  <w:r>
                    <w:rPr>
                      <w:rFonts w:hint="eastAsia"/>
                      <w:highlight w:val="none"/>
                      <w:lang w:val="en-US" w:eastAsia="zh-CN"/>
                    </w:rPr>
                    <w:t>4</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33</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二队二条田2号渠</w:t>
                  </w:r>
                </w:p>
              </w:tc>
              <w:tc>
                <w:tcPr>
                  <w:tcW w:w="866" w:type="pct"/>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113.81</w:t>
                  </w:r>
                </w:p>
              </w:tc>
              <w:tc>
                <w:tcPr>
                  <w:tcW w:w="1282" w:type="pct"/>
                  <w:vAlign w:val="center"/>
                </w:tcPr>
                <w:p>
                  <w:pPr>
                    <w:pStyle w:val="6"/>
                    <w:suppressLineNumbers w:val="0"/>
                    <w:bidi w:val="0"/>
                    <w:spacing w:before="0" w:beforeAutospacing="0" w:after="0" w:afterAutospacing="0"/>
                    <w:ind w:left="0" w:right="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E88°9′40.514″，N39°3′1.538″</w:t>
                  </w:r>
                </w:p>
              </w:tc>
              <w:tc>
                <w:tcPr>
                  <w:tcW w:w="1362" w:type="pct"/>
                  <w:vAlign w:val="center"/>
                </w:tcPr>
                <w:p>
                  <w:pPr>
                    <w:pStyle w:val="6"/>
                    <w:suppressLineNumbers w:val="0"/>
                    <w:bidi w:val="0"/>
                    <w:spacing w:before="0" w:beforeAutospacing="0" w:after="0" w:afterAutospacing="0"/>
                    <w:ind w:left="0" w:right="0"/>
                    <w:rPr>
                      <w:rFonts w:hint="default" w:ascii="Times New Roman" w:hAnsi="Times New Roman" w:eastAsia="宋体" w:cs="Times New Roman"/>
                      <w:kern w:val="2"/>
                      <w:sz w:val="21"/>
                      <w:szCs w:val="21"/>
                      <w:highlight w:val="none"/>
                      <w:lang w:val="en-US" w:eastAsia="zh-CN" w:bidi="ar-SA"/>
                    </w:rPr>
                  </w:pPr>
                  <w:r>
                    <w:rPr>
                      <w:rFonts w:hint="default"/>
                      <w:highlight w:val="none"/>
                      <w:lang w:val="en-US" w:eastAsia="zh-CN"/>
                    </w:rPr>
                    <w:t>E88°9′35.686″，N39°3′1.42</w:t>
                  </w:r>
                  <w:r>
                    <w:rPr>
                      <w:rFonts w:hint="eastAsia"/>
                      <w:highlight w:val="none"/>
                      <w:lang w:val="en-US" w:eastAsia="zh-CN"/>
                    </w:rPr>
                    <w:t>3</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34</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二队二条田何玉平3号渠</w:t>
                  </w:r>
                </w:p>
              </w:tc>
              <w:tc>
                <w:tcPr>
                  <w:tcW w:w="866"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216.60</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E88°9′27.09</w:t>
                  </w:r>
                  <w:r>
                    <w:rPr>
                      <w:rFonts w:hint="eastAsia"/>
                      <w:lang w:val="en-US" w:eastAsia="zh-CN"/>
                    </w:rPr>
                    <w:t>3</w:t>
                  </w:r>
                  <w:r>
                    <w:rPr>
                      <w:rFonts w:hint="default"/>
                      <w:lang w:val="en-US" w:eastAsia="zh-CN"/>
                    </w:rPr>
                    <w:t>″，N39°2′59.02</w:t>
                  </w:r>
                  <w:r>
                    <w:rPr>
                      <w:rFonts w:hint="eastAsia"/>
                      <w:lang w:val="en-US" w:eastAsia="zh-CN"/>
                    </w:rPr>
                    <w:t>8</w:t>
                  </w:r>
                  <w:r>
                    <w:rPr>
                      <w:rFonts w:hint="default"/>
                      <w:lang w:val="en-US" w:eastAsia="zh-CN"/>
                    </w:rPr>
                    <w:t>″</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E88°9′26.957″，N39°3′6.231″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7" w:type="pct"/>
                  <w:shd w:val="clear" w:color="auto" w:fill="auto"/>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eastAsia"/>
                      <w:lang w:val="en-US" w:eastAsia="zh-CN"/>
                    </w:rPr>
                    <w:t>35</w:t>
                  </w:r>
                </w:p>
              </w:tc>
              <w:tc>
                <w:tcPr>
                  <w:tcW w:w="1242"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二队一条田阿布都沙迪克1号渠</w:t>
                  </w:r>
                </w:p>
              </w:tc>
              <w:tc>
                <w:tcPr>
                  <w:tcW w:w="866"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162.16</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E88°9′42.47</w:t>
                  </w:r>
                  <w:r>
                    <w:rPr>
                      <w:rFonts w:hint="eastAsia"/>
                      <w:lang w:val="en-US" w:eastAsia="zh-CN"/>
                    </w:rPr>
                    <w:t>4</w:t>
                  </w:r>
                  <w:r>
                    <w:rPr>
                      <w:rFonts w:hint="default"/>
                      <w:lang w:val="en-US" w:eastAsia="zh-CN"/>
                    </w:rPr>
                    <w:t>″，N39°2′52.539″</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E88°9′35.667″，N39°2′52.288″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9" w:type="pct"/>
                  <w:gridSpan w:val="2"/>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合计</w:t>
                  </w:r>
                </w:p>
              </w:tc>
              <w:tc>
                <w:tcPr>
                  <w:tcW w:w="866"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5338</w:t>
                  </w:r>
                </w:p>
              </w:tc>
              <w:tc>
                <w:tcPr>
                  <w:tcW w:w="1282"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362" w:type="pct"/>
                  <w:vAlign w:val="center"/>
                </w:tcPr>
                <w:p>
                  <w:pPr>
                    <w:pStyle w:val="6"/>
                    <w:suppressLineNumbers w:val="0"/>
                    <w:bidi w:val="0"/>
                    <w:spacing w:before="0" w:beforeAutospacing="0" w:after="0" w:afterAutospacing="0"/>
                    <w:ind w:left="0" w:right="0"/>
                    <w:rPr>
                      <w:rFonts w:hint="default"/>
                      <w:lang w:val="en-US" w:eastAsia="zh-CN"/>
                    </w:rPr>
                  </w:pPr>
                </w:p>
              </w:tc>
            </w:tr>
          </w:tbl>
          <w:p>
            <w:pPr>
              <w:pStyle w:val="19"/>
              <w:keepNext w:val="0"/>
              <w:keepLines w:val="0"/>
              <w:suppressLineNumbers w:val="0"/>
              <w:ind w:left="0" w:right="0"/>
              <w:jc w:val="center"/>
              <w:outlineLvl w:val="0"/>
              <w:rPr>
                <w:rFonts w:hint="default" w:ascii="黑体" w:hAnsi="黑体" w:eastAsia="黑体"/>
                <w:snapToGrid w:val="0"/>
                <w:color w:val="auto"/>
                <w:sz w:val="30"/>
                <w:szCs w:val="30"/>
                <w:vertAlign w:val="baseline"/>
              </w:rPr>
            </w:pPr>
          </w:p>
        </w:tc>
      </w:tr>
    </w:tbl>
    <w:p>
      <w:pPr>
        <w:pStyle w:val="19"/>
        <w:jc w:val="center"/>
        <w:outlineLvl w:val="0"/>
        <w:rPr>
          <w:rFonts w:ascii="黑体" w:hAnsi="黑体" w:eastAsia="黑体"/>
          <w:snapToGrid w:val="0"/>
          <w:color w:val="auto"/>
          <w:sz w:val="30"/>
          <w:szCs w:val="30"/>
        </w:rPr>
        <w:sectPr>
          <w:pgSz w:w="16838" w:h="11906" w:orient="landscape"/>
          <w:pgMar w:top="1800" w:right="1440" w:bottom="1800" w:left="1440" w:header="851" w:footer="1077" w:gutter="0"/>
          <w:pgNumType w:fmt="decimal"/>
          <w:cols w:space="720" w:num="1"/>
          <w:docGrid w:linePitch="312" w:charSpace="0"/>
        </w:sectPr>
      </w:pPr>
    </w:p>
    <w:tbl>
      <w:tblPr>
        <w:tblStyle w:val="21"/>
        <w:tblW w:w="90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cs="宋体"/>
                <w:color w:val="auto"/>
                <w:kern w:val="0"/>
                <w:sz w:val="24"/>
                <w:szCs w:val="24"/>
              </w:rPr>
            </w:pPr>
            <w:r>
              <w:rPr>
                <w:rFonts w:hint="eastAsia" w:ascii="宋体" w:hAnsi="宋体" w:cs="宋体"/>
                <w:color w:val="auto"/>
                <w:kern w:val="0"/>
                <w:sz w:val="21"/>
                <w:szCs w:val="21"/>
              </w:rPr>
              <w:t>项目组成及规模</w:t>
            </w:r>
          </w:p>
        </w:tc>
        <w:tc>
          <w:tcPr>
            <w:tcW w:w="8380" w:type="dxa"/>
            <w:noWrap w:val="0"/>
            <w:vAlign w:val="top"/>
          </w:tcPr>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1 项目由来</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本次项目通过对若羌县铁干里克镇托格拉克勒克村渠道进行防渗改造，总长度5.338</w:t>
            </w:r>
            <w:r>
              <w:rPr>
                <w:rFonts w:hint="default"/>
                <w:lang w:val="en-US" w:eastAsia="zh-CN"/>
              </w:rPr>
              <w:t>km</w:t>
            </w:r>
            <w:r>
              <w:rPr>
                <w:rFonts w:hint="eastAsia"/>
                <w:lang w:val="en-US" w:eastAsia="zh-CN"/>
              </w:rPr>
              <w:t>，控制灌溉面积2230亩，现状渠道为土渠。经过多年使用，渠道变形严重，局部段淤堵，水流不畅，局部段冲毁，部分灌溉渠道未进行防渗，由于灌区渠道上分水口较多，引用水管理粗放，灌区普遍存在灌溉用水浪费现象。渠道现有主要构筑物为桥涵及闸门，由于灌区渠道上分水口较多，且闸门损坏严重，灌溉期无法准确控制分水量，普遍存在用水浪费的现象，部分分水口处没有配套分水构筑物。</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本工程实施后可减少杂草滋生、淤积和坍塌风险，维护成本降低50%以上；通过减少渠道渗漏损失，显著提高水资源利用效率；渗漏减少抑制地下水补给，避免盐分向地表聚集，改善土壤环境；</w:t>
            </w:r>
            <w:r>
              <w:rPr>
                <w:rFonts w:hint="eastAsia"/>
              </w:rPr>
              <w:t>防渗改造后</w:t>
            </w:r>
            <w:r>
              <w:rPr>
                <w:rFonts w:hint="eastAsia"/>
                <w:lang w:val="en-US" w:eastAsia="zh-CN"/>
              </w:rPr>
              <w:t>灌溉</w:t>
            </w:r>
            <w:r>
              <w:rPr>
                <w:rFonts w:hint="eastAsia"/>
              </w:rPr>
              <w:t>效率提升</w:t>
            </w:r>
            <w:r>
              <w:rPr>
                <w:rFonts w:hint="eastAsia"/>
                <w:lang w:eastAsia="zh-CN"/>
              </w:rPr>
              <w:t>，保障农作物稳定灌溉需求。</w:t>
            </w:r>
          </w:p>
          <w:p>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lang w:val="en-US" w:eastAsia="zh-CN"/>
              </w:rPr>
              <w:t>按照《中华人民共和国环境保护法》《建设项目环境保护管理条例》和《建设项目环境影响评价分类管理名录（2021）》等有关法律法规规定，项目属《名录》所列“五十一、水利-125灌区工程（不含水源工程的）-其他（不含高标准农田、滴灌等节水改造工程）”，本项目应编制环境影响报告表。受建设单位委托，新疆领畅环保科技有限公司承担了本项目的环境影响评价工作。接受委托后，环评单位在现场踏勘和资料收集的基础上，</w:t>
            </w:r>
            <w:r>
              <w:rPr>
                <w:rFonts w:hint="eastAsia"/>
                <w:highlight w:val="none"/>
                <w:lang w:val="en-US" w:eastAsia="zh-CN"/>
              </w:rPr>
              <w:t>15个工作日编制完成了《铁干里克镇托格拉克勒克村防渗渠建设项目环境影响报告表》，审批后作为生态环境主管部门和该企业进行环境管理的依据。</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2 建设规模</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color w:val="auto"/>
                <w:kern w:val="0"/>
                <w:sz w:val="24"/>
                <w:szCs w:val="24"/>
                <w:lang w:val="en-US" w:eastAsia="zh-CN"/>
              </w:rPr>
              <w:t>本灌区现状年的灌溉面积为2230亩，至设计水平年灌溉面积仍维持为2230亩。本着满足现状、保证近期、控制长期的原则，根据设计水平年的灌水率和灌溉水利用系数，从而确定灌区的工程规模。本工程改建渠道共计35条，总长5.338km，配套渠系</w:t>
            </w:r>
            <w:r>
              <w:rPr>
                <w:rFonts w:hint="eastAsia" w:cs="Times New Roman"/>
                <w:color w:val="auto"/>
                <w:kern w:val="0"/>
                <w:sz w:val="24"/>
                <w:szCs w:val="24"/>
                <w:lang w:val="en-US" w:eastAsia="zh-CN"/>
              </w:rPr>
              <w:t>构筑物</w:t>
            </w:r>
            <w:r>
              <w:rPr>
                <w:rFonts w:hint="default" w:ascii="Times New Roman" w:hAnsi="Times New Roman" w:cs="Times New Roman"/>
                <w:color w:val="auto"/>
                <w:kern w:val="0"/>
                <w:sz w:val="24"/>
                <w:szCs w:val="24"/>
                <w:lang w:val="en-US" w:eastAsia="zh-CN"/>
              </w:rPr>
              <w:t>177座</w:t>
            </w:r>
            <w:r>
              <w:rPr>
                <w:rFonts w:hint="eastAsia" w:ascii="Times New Roman" w:hAnsi="Times New Roman" w:cs="Times New Roman"/>
                <w:color w:val="auto"/>
                <w:kern w:val="0"/>
                <w:sz w:val="24"/>
                <w:szCs w:val="24"/>
                <w:lang w:val="en-US" w:eastAsia="zh-CN"/>
              </w:rPr>
              <w:t>，</w:t>
            </w:r>
            <w:r>
              <w:rPr>
                <w:rFonts w:hint="default" w:ascii="Times New Roman" w:hAnsi="Times New Roman" w:eastAsia="宋体" w:cs="Times New Roman"/>
                <w:b w:val="0"/>
                <w:bCs w:val="0"/>
                <w:color w:val="auto"/>
                <w:sz w:val="24"/>
                <w:szCs w:val="24"/>
                <w:highlight w:val="none"/>
                <w:lang w:val="en-US" w:eastAsia="zh-CN"/>
              </w:rPr>
              <w:t>项目主要建设内容见表2-1。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表2-1  项目主要建设内容一览表</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29"/>
              <w:gridCol w:w="5278"/>
              <w:gridCol w:w="9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类别</w:t>
                  </w: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项目名称</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建设内容</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restar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主体工程</w:t>
                  </w: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eastAsia="宋体"/>
                      <w:lang w:val="en-US" w:eastAsia="zh-CN"/>
                    </w:rPr>
                  </w:pPr>
                  <w:r>
                    <w:rPr>
                      <w:rFonts w:hint="eastAsia"/>
                      <w:lang w:val="en-US" w:eastAsia="zh-CN"/>
                    </w:rPr>
                    <w:t>防渗渠道</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eastAsia="宋体"/>
                      <w:lang w:val="en-US" w:eastAsia="zh-CN"/>
                    </w:rPr>
                  </w:pPr>
                  <w:r>
                    <w:rPr>
                      <w:rFonts w:hint="eastAsia"/>
                      <w:lang w:val="en-US" w:eastAsia="zh-CN"/>
                    </w:rPr>
                    <w:t>修建防渗渠35条，渠道总长5.338km。</w:t>
                  </w:r>
                </w:p>
              </w:tc>
              <w:tc>
                <w:tcPr>
                  <w:tcW w:w="588" w:type="pct"/>
                  <w:vMerge w:val="restart"/>
                  <w:tcBorders>
                    <w:tl2br w:val="nil"/>
                    <w:tr2bl w:val="nil"/>
                  </w:tcBorders>
                  <w:noWrap w:val="0"/>
                  <w:vAlign w:val="center"/>
                </w:tcPr>
                <w:p>
                  <w:pPr>
                    <w:pStyle w:val="6"/>
                    <w:suppressLineNumbers w:val="0"/>
                    <w:bidi w:val="0"/>
                    <w:spacing w:before="0" w:beforeAutospacing="0" w:after="0" w:afterAutospacing="0"/>
                    <w:ind w:left="0" w:right="0"/>
                    <w:rPr>
                      <w:rFonts w:hint="default" w:eastAsia="宋体"/>
                      <w:lang w:val="en-US" w:eastAsia="zh-CN"/>
                    </w:rPr>
                  </w:pPr>
                  <w:r>
                    <w:rPr>
                      <w:rFonts w:hint="eastAsia"/>
                      <w:lang w:val="en-US" w:eastAsia="zh-CN"/>
                    </w:rPr>
                    <w:t>改建渠道均沿原渠道进行建设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渠系构筑物</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配套渠系构筑物177座，其中节制引水闸20座，引水闸2座，节制双分水闸13座，节制单分水闸101座、双分水闸3座、单分水闸9座、节制闸14座，涵桥15座。</w:t>
                  </w:r>
                </w:p>
              </w:tc>
              <w:tc>
                <w:tcPr>
                  <w:tcW w:w="588"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16" w:type="pct"/>
                  <w:vMerge w:val="restar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临时工程</w:t>
                  </w: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临时堆土区</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default"/>
                      <w:highlight w:val="none"/>
                      <w:lang w:val="en-US" w:eastAsia="zh-CN"/>
                    </w:rPr>
                    <w:t>占地面积</w:t>
                  </w:r>
                  <w:r>
                    <w:rPr>
                      <w:rFonts w:hint="eastAsia"/>
                      <w:highlight w:val="none"/>
                      <w:lang w:val="en-US" w:eastAsia="zh-CN"/>
                    </w:rPr>
                    <w:t>11000</w:t>
                  </w:r>
                  <w:r>
                    <w:rPr>
                      <w:rFonts w:hint="default"/>
                      <w:highlight w:val="none"/>
                      <w:lang w:val="en-US" w:eastAsia="zh-CN"/>
                    </w:rPr>
                    <w:t>m</w:t>
                  </w:r>
                  <w:r>
                    <w:rPr>
                      <w:rFonts w:hint="default"/>
                      <w:highlight w:val="none"/>
                      <w:vertAlign w:val="superscript"/>
                      <w:lang w:val="en-US" w:eastAsia="zh-CN"/>
                    </w:rPr>
                    <w:t>2</w:t>
                  </w:r>
                  <w:r>
                    <w:rPr>
                      <w:rFonts w:hint="default"/>
                      <w:highlight w:val="none"/>
                      <w:lang w:val="en-US" w:eastAsia="zh-CN"/>
                    </w:rPr>
                    <w:t>，位于</w:t>
                  </w:r>
                  <w:r>
                    <w:rPr>
                      <w:rFonts w:hint="eastAsia"/>
                      <w:highlight w:val="none"/>
                      <w:lang w:val="en-US" w:eastAsia="zh-CN"/>
                    </w:rPr>
                    <w:t>渠道</w:t>
                  </w:r>
                  <w:r>
                    <w:rPr>
                      <w:rFonts w:hint="default"/>
                      <w:highlight w:val="none"/>
                      <w:lang w:val="en-US" w:eastAsia="zh-CN"/>
                    </w:rPr>
                    <w:t>两侧边坡，主要堆放基础开挖的</w:t>
                  </w:r>
                  <w:r>
                    <w:rPr>
                      <w:rFonts w:hint="eastAsia"/>
                      <w:highlight w:val="none"/>
                      <w:lang w:val="en-US" w:eastAsia="zh-CN"/>
                    </w:rPr>
                    <w:t>表土、</w:t>
                  </w:r>
                  <w:r>
                    <w:rPr>
                      <w:rFonts w:hint="default"/>
                      <w:highlight w:val="none"/>
                      <w:lang w:val="en-US" w:eastAsia="zh-CN"/>
                    </w:rPr>
                    <w:t>土方</w:t>
                  </w:r>
                  <w:r>
                    <w:rPr>
                      <w:rFonts w:hint="eastAsia"/>
                      <w:highlight w:val="none"/>
                      <w:lang w:val="en-US" w:eastAsia="zh-CN"/>
                    </w:rPr>
                    <w:t>和砂石料，定期洒水</w:t>
                  </w:r>
                  <w:r>
                    <w:rPr>
                      <w:rFonts w:hint="default"/>
                      <w:highlight w:val="none"/>
                      <w:lang w:val="en-US" w:eastAsia="zh-CN"/>
                    </w:rPr>
                    <w:t>单次堆存时间不超过</w:t>
                  </w:r>
                  <w:r>
                    <w:rPr>
                      <w:rFonts w:hint="eastAsia"/>
                      <w:highlight w:val="none"/>
                      <w:lang w:val="en-US" w:eastAsia="zh-CN"/>
                    </w:rPr>
                    <w:t>2</w:t>
                  </w:r>
                  <w:r>
                    <w:rPr>
                      <w:rFonts w:hint="default"/>
                      <w:highlight w:val="none"/>
                      <w:lang w:val="en-US" w:eastAsia="zh-CN"/>
                    </w:rPr>
                    <w:t>天。</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临时工业区</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依托托格拉克勒克村村民委员会</w:t>
                  </w:r>
                  <w:r>
                    <w:rPr>
                      <w:rFonts w:hint="default"/>
                      <w:highlight w:val="none"/>
                      <w:lang w:val="en-US" w:eastAsia="zh-CN"/>
                    </w:rPr>
                    <w:t>，占地面积为</w:t>
                  </w:r>
                  <w:r>
                    <w:rPr>
                      <w:rFonts w:hint="eastAsia"/>
                      <w:highlight w:val="none"/>
                      <w:lang w:val="en-US" w:eastAsia="zh-CN"/>
                    </w:rPr>
                    <w:t>100</w:t>
                  </w:r>
                  <w:r>
                    <w:rPr>
                      <w:rFonts w:hint="default"/>
                      <w:highlight w:val="none"/>
                      <w:lang w:val="en-US" w:eastAsia="zh-CN"/>
                    </w:rPr>
                    <w:t>0m</w:t>
                  </w:r>
                  <w:r>
                    <w:rPr>
                      <w:rFonts w:hint="default"/>
                      <w:highlight w:val="none"/>
                      <w:vertAlign w:val="superscript"/>
                      <w:lang w:val="en-US" w:eastAsia="zh-CN"/>
                    </w:rPr>
                    <w:t>2</w:t>
                  </w:r>
                  <w:r>
                    <w:rPr>
                      <w:rFonts w:hint="default"/>
                      <w:highlight w:val="none"/>
                      <w:lang w:val="en-US" w:eastAsia="zh-CN"/>
                    </w:rPr>
                    <w:t>，用于堆放篷布</w:t>
                  </w:r>
                  <w:r>
                    <w:rPr>
                      <w:rFonts w:hint="eastAsia"/>
                      <w:highlight w:val="none"/>
                      <w:lang w:val="en-US" w:eastAsia="zh-CN"/>
                    </w:rPr>
                    <w:t>、</w:t>
                  </w:r>
                  <w:r>
                    <w:rPr>
                      <w:rFonts w:hint="default"/>
                      <w:highlight w:val="none"/>
                      <w:lang w:val="en-US" w:eastAsia="zh-CN"/>
                    </w:rPr>
                    <w:t>停放施工设备</w:t>
                  </w:r>
                  <w:r>
                    <w:rPr>
                      <w:rFonts w:hint="eastAsia"/>
                      <w:highlight w:val="none"/>
                      <w:lang w:val="en-US" w:eastAsia="zh-CN"/>
                    </w:rPr>
                    <w:t>。</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临时堆渣区</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占地面积1000m</w:t>
                  </w:r>
                  <w:r>
                    <w:rPr>
                      <w:rFonts w:hint="eastAsia"/>
                      <w:highlight w:val="none"/>
                      <w:vertAlign w:val="superscript"/>
                      <w:lang w:val="en-US" w:eastAsia="zh-CN"/>
                    </w:rPr>
                    <w:t>2</w:t>
                  </w:r>
                  <w:r>
                    <w:rPr>
                      <w:rFonts w:hint="eastAsia"/>
                      <w:highlight w:val="none"/>
                      <w:lang w:val="en-US" w:eastAsia="zh-CN"/>
                    </w:rPr>
                    <w:t>，位于渠道两侧边坡，主要堆放渠道挖掘废弃物，单次堆存时间不超过2天。</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p>
              </w:tc>
              <w:tc>
                <w:tcPr>
                  <w:tcW w:w="754" w:type="pct"/>
                  <w:tcBorders>
                    <w:tl2br w:val="nil"/>
                    <w:tr2bl w:val="nil"/>
                  </w:tcBorders>
                  <w:shd w:val="clear" w:color="auto" w:fill="auto"/>
                  <w:noWrap w:val="0"/>
                  <w:vAlign w:val="center"/>
                </w:tcPr>
                <w:p>
                  <w:pPr>
                    <w:pStyle w:val="6"/>
                    <w:suppressLineNumbers w:val="0"/>
                    <w:bidi w:val="0"/>
                    <w:spacing w:before="0" w:beforeAutospacing="0" w:after="0" w:afterAutospacing="0"/>
                    <w:ind w:left="0" w:right="0" w:firstLine="0" w:firstLineChars="0"/>
                    <w:rPr>
                      <w:rFonts w:hint="eastAsia" w:ascii="Times New Roman" w:hAnsi="Times New Roman" w:eastAsia="宋体" w:cs="Times New Roman"/>
                      <w:kern w:val="2"/>
                      <w:sz w:val="21"/>
                      <w:szCs w:val="21"/>
                      <w:lang w:val="en-US" w:eastAsia="zh-CN" w:bidi="ar-SA"/>
                    </w:rPr>
                  </w:pPr>
                  <w:r>
                    <w:rPr>
                      <w:rFonts w:hint="default"/>
                      <w:lang w:val="en-US" w:eastAsia="zh-CN"/>
                    </w:rPr>
                    <w:t>临时道路</w:t>
                  </w:r>
                </w:p>
              </w:tc>
              <w:tc>
                <w:tcPr>
                  <w:tcW w:w="3240" w:type="pct"/>
                  <w:tcBorders>
                    <w:tl2br w:val="nil"/>
                    <w:tr2bl w:val="nil"/>
                  </w:tcBorders>
                  <w:shd w:val="clear" w:color="auto" w:fill="auto"/>
                  <w:noWrap w:val="0"/>
                  <w:vAlign w:val="center"/>
                </w:tcPr>
                <w:p>
                  <w:pPr>
                    <w:pStyle w:val="6"/>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1"/>
                      <w:lang w:val="en-US" w:eastAsia="zh-CN" w:bidi="ar-SA"/>
                    </w:rPr>
                  </w:pPr>
                  <w:r>
                    <w:rPr>
                      <w:rFonts w:hint="default"/>
                      <w:lang w:val="en-US" w:eastAsia="zh-CN"/>
                    </w:rPr>
                    <w:t>工程沿线有乡间柏油路及乡村道路，工程施工时可作为施工临时道路。</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16" w:type="pct"/>
                  <w:vMerge w:val="restar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公用工程</w:t>
                  </w: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rPr>
                    <w:t>供</w:t>
                  </w:r>
                  <w:r>
                    <w:rPr>
                      <w:rFonts w:hint="default"/>
                      <w:highlight w:val="none"/>
                      <w:lang w:val="en-US" w:eastAsia="zh-CN"/>
                    </w:rPr>
                    <w:t>水</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施工用水从附近</w:t>
                  </w:r>
                  <w:r>
                    <w:rPr>
                      <w:rFonts w:hint="eastAsia"/>
                      <w:highlight w:val="none"/>
                      <w:lang w:val="en-US" w:eastAsia="zh-CN"/>
                    </w:rPr>
                    <w:t>村庄拉运。</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排水</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生产废水设置临时沉淀池收集，沉淀后用于洒水抑尘</w:t>
                  </w:r>
                  <w:r>
                    <w:rPr>
                      <w:rFonts w:hint="eastAsia"/>
                      <w:lang w:val="en-US" w:eastAsia="zh-CN"/>
                    </w:rPr>
                    <w:t>；本项目施工人员均来自附近乡镇，不设置临时生活区，施工生活污水依托民房现有设施D解决。</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供电</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自备柴油发电机供电</w:t>
                  </w:r>
                  <w:r>
                    <w:rPr>
                      <w:rFonts w:hint="eastAsia"/>
                      <w:lang w:val="en-US" w:eastAsia="zh-CN"/>
                    </w:rPr>
                    <w:t>。</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供热</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本项目无需供热。</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restar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环保工程</w:t>
                  </w: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废气治理</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施工道路洒水抑尘</w:t>
                  </w:r>
                  <w:r>
                    <w:rPr>
                      <w:rFonts w:hint="default"/>
                      <w:lang w:eastAsia="zh-CN"/>
                    </w:rPr>
                    <w:t>；</w:t>
                  </w:r>
                  <w:r>
                    <w:rPr>
                      <w:rFonts w:hint="default"/>
                      <w:lang w:val="en-US" w:eastAsia="zh-CN"/>
                    </w:rPr>
                    <w:t>物料由料场运输至</w:t>
                  </w:r>
                  <w:r>
                    <w:rPr>
                      <w:rFonts w:hint="eastAsia"/>
                      <w:lang w:val="en-US" w:eastAsia="zh-CN"/>
                    </w:rPr>
                    <w:t>施工区</w:t>
                  </w:r>
                  <w:r>
                    <w:rPr>
                      <w:rFonts w:hint="default"/>
                      <w:lang w:val="en-US" w:eastAsia="zh-CN"/>
                    </w:rPr>
                    <w:t>临时堆放</w:t>
                  </w:r>
                  <w:r>
                    <w:rPr>
                      <w:rFonts w:hint="eastAsia"/>
                      <w:lang w:val="en-US" w:eastAsia="zh-CN"/>
                    </w:rPr>
                    <w:t>，单次堆存时间不超过2天</w:t>
                  </w:r>
                  <w:r>
                    <w:rPr>
                      <w:rFonts w:hint="default"/>
                      <w:lang w:val="en-US" w:eastAsia="zh-CN"/>
                    </w:rPr>
                    <w:t>，设置防尘网覆盖，定期洒水；运输车辆用</w:t>
                  </w:r>
                  <w:r>
                    <w:rPr>
                      <w:rFonts w:hint="eastAsia"/>
                      <w:lang w:val="en-US" w:eastAsia="zh-CN"/>
                    </w:rPr>
                    <w:t>篷布苫盖</w:t>
                  </w:r>
                  <w:r>
                    <w:rPr>
                      <w:rFonts w:hint="default"/>
                      <w:lang w:val="en-US" w:eastAsia="zh-CN"/>
                    </w:rPr>
                    <w:t>，减少施工扬尘</w:t>
                  </w:r>
                  <w:r>
                    <w:rPr>
                      <w:rFonts w:hint="eastAsia"/>
                      <w:lang w:val="en-US" w:eastAsia="zh-CN"/>
                    </w:rPr>
                    <w:t>；基础开挖的土方堆放于渠道两侧边坡，定期洒水单次堆存时间不超过2天。</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eastAsia="宋体"/>
                      <w:lang w:val="en-US" w:eastAsia="zh-CN"/>
                    </w:rPr>
                  </w:pPr>
                  <w:r>
                    <w:rPr>
                      <w:rFonts w:hint="eastAsia"/>
                      <w:lang w:val="en-US" w:eastAsia="zh-CN"/>
                    </w:rPr>
                    <w:t>废水治理</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生产废水设置临时沉淀池收集，沉淀后用于洒水抑尘；本项目施工人员均来自附近乡镇，不设置临时生活区，施工生活污水依托民房现有设施解决。</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噪声治理</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eastAsia"/>
                      <w:lang w:eastAsia="zh-CN"/>
                    </w:rPr>
                  </w:pPr>
                  <w:r>
                    <w:rPr>
                      <w:rFonts w:hint="default"/>
                    </w:rPr>
                    <w:t>合理安排施工时间，施工设备合理布局，加强施工管理，避免高噪声设备同时运行</w:t>
                  </w:r>
                  <w:r>
                    <w:rPr>
                      <w:rFonts w:hint="default"/>
                      <w:lang w:eastAsia="zh-CN"/>
                    </w:rPr>
                    <w:t>、</w:t>
                  </w:r>
                  <w:r>
                    <w:rPr>
                      <w:rFonts w:hint="default"/>
                    </w:rPr>
                    <w:t>基础减振等</w:t>
                  </w:r>
                  <w:r>
                    <w:rPr>
                      <w:rFonts w:hint="eastAsia"/>
                      <w:lang w:eastAsia="zh-CN"/>
                    </w:rPr>
                    <w:t>。</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rPr>
                    <w:t>固废治理</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jc w:val="both"/>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（1）弃土：用于填筑渠堤、沿渠道摊平压实；</w:t>
                  </w:r>
                </w:p>
                <w:p>
                  <w:pPr>
                    <w:pStyle w:val="6"/>
                    <w:suppressLineNumbers w:val="0"/>
                    <w:bidi w:val="0"/>
                    <w:spacing w:before="0" w:beforeAutospacing="0" w:after="0" w:afterAutospacing="0"/>
                    <w:ind w:left="0" w:right="0"/>
                    <w:jc w:val="both"/>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（2）建筑垃圾：废钢筋、废铁皮、废包装等收集外售，拆除的现有堤防废混凝土、沉淀池底泥、混凝土废渣等建筑垃圾清运至当地市政环卫主管部门指定地点填埋处置。</w:t>
                  </w:r>
                </w:p>
                <w:p>
                  <w:pPr>
                    <w:pStyle w:val="6"/>
                    <w:suppressLineNumbers w:val="0"/>
                    <w:bidi w:val="0"/>
                    <w:spacing w:before="0" w:beforeAutospacing="0" w:after="0" w:afterAutospacing="0"/>
                    <w:ind w:left="0" w:right="0"/>
                    <w:jc w:val="both"/>
                    <w:rPr>
                      <w:rFonts w:hint="default"/>
                      <w:lang w:val="en-US" w:eastAsia="zh-CN"/>
                    </w:rPr>
                  </w:pPr>
                  <w:r>
                    <w:rPr>
                      <w:rFonts w:hint="eastAsia" w:ascii="Times New Roman" w:hAnsi="Times New Roman" w:cs="Times New Roman"/>
                      <w:highlight w:val="none"/>
                      <w:lang w:val="en-US" w:eastAsia="zh-CN"/>
                    </w:rPr>
                    <w:t>（3）生活垃圾：项目不设置临时生活区，产生的生活垃圾由乡镇环卫部门统一收集。</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6" w:type="pct"/>
                  <w:vMerge w:val="continue"/>
                  <w:tcBorders>
                    <w:tl2br w:val="nil"/>
                    <w:tr2bl w:val="nil"/>
                  </w:tcBorders>
                  <w:noWrap w:val="0"/>
                  <w:vAlign w:val="center"/>
                </w:tcPr>
                <w:p>
                  <w:pPr>
                    <w:pStyle w:val="6"/>
                    <w:suppressLineNumbers w:val="0"/>
                    <w:bidi w:val="0"/>
                    <w:spacing w:before="0" w:beforeAutospacing="0" w:after="0" w:afterAutospacing="0"/>
                    <w:ind w:left="0" w:right="0"/>
                    <w:rPr>
                      <w:rFonts w:hint="default"/>
                    </w:rPr>
                  </w:pPr>
                </w:p>
              </w:tc>
              <w:tc>
                <w:tcPr>
                  <w:tcW w:w="754"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生态治理</w:t>
                  </w:r>
                </w:p>
              </w:tc>
              <w:tc>
                <w:tcPr>
                  <w:tcW w:w="3240"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rPr>
                  </w:pPr>
                  <w:r>
                    <w:rPr>
                      <w:rFonts w:hint="default"/>
                      <w:lang w:val="en-US" w:eastAsia="zh-CN"/>
                    </w:rPr>
                    <w:t>自然恢复地表植被</w:t>
                  </w:r>
                  <w:r>
                    <w:rPr>
                      <w:rFonts w:hint="eastAsia"/>
                      <w:lang w:val="en-US" w:eastAsia="zh-CN"/>
                    </w:rPr>
                    <w:t>。</w:t>
                  </w:r>
                </w:p>
              </w:tc>
              <w:tc>
                <w:tcPr>
                  <w:tcW w:w="588" w:type="pct"/>
                  <w:tcBorders>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r>
          </w:tbl>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项目施工</w:t>
            </w:r>
            <w:r>
              <w:rPr>
                <w:rFonts w:hint="eastAsia"/>
                <w:lang w:val="en-US" w:eastAsia="zh-CN"/>
              </w:rPr>
              <w:t>期间</w:t>
            </w:r>
            <w:r>
              <w:rPr>
                <w:rFonts w:hint="default"/>
                <w:lang w:val="en-US" w:eastAsia="zh-CN"/>
              </w:rPr>
              <w:t>，临时设备使用情况见下表。</w:t>
            </w:r>
          </w:p>
          <w:p>
            <w:pPr>
              <w:pStyle w:val="5"/>
              <w:suppressLineNumbers w:val="0"/>
              <w:bidi w:val="0"/>
              <w:spacing w:before="0" w:after="0"/>
              <w:ind w:left="0" w:right="0"/>
              <w:rPr>
                <w:rFonts w:hint="default"/>
                <w:lang w:val="en-US" w:eastAsia="zh-CN"/>
              </w:rPr>
            </w:pPr>
            <w:r>
              <w:rPr>
                <w:rFonts w:hint="default"/>
                <w:lang w:val="en-US" w:eastAsia="zh-CN"/>
              </w:rPr>
              <w:t>表2-2  主要设备一览表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57"/>
              <w:gridCol w:w="1358"/>
              <w:gridCol w:w="1358"/>
              <w:gridCol w:w="135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序号</w:t>
                  </w:r>
                </w:p>
              </w:tc>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设备名称</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型号规格</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单位</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数量</w:t>
                  </w:r>
                </w:p>
              </w:tc>
              <w:tc>
                <w:tcPr>
                  <w:tcW w:w="836"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发电机</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60kW</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台</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836" w:type="pct"/>
                  <w:vMerge w:val="restar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临时设备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2</w:t>
                  </w:r>
                </w:p>
              </w:tc>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推土机</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辆</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5</w:t>
                  </w:r>
                </w:p>
              </w:tc>
              <w:tc>
                <w:tcPr>
                  <w:tcW w:w="836"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w:t>
                  </w:r>
                </w:p>
              </w:tc>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挖掘机</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辆</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w:t>
                  </w:r>
                </w:p>
              </w:tc>
              <w:tc>
                <w:tcPr>
                  <w:tcW w:w="836"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4</w:t>
                  </w:r>
                </w:p>
              </w:tc>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轮胎碾</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台</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w:t>
                  </w:r>
                </w:p>
              </w:tc>
              <w:tc>
                <w:tcPr>
                  <w:tcW w:w="836"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5</w:t>
                  </w:r>
                </w:p>
              </w:tc>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自卸汽车</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辆</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5</w:t>
                  </w:r>
                </w:p>
              </w:tc>
              <w:tc>
                <w:tcPr>
                  <w:tcW w:w="836"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w:t>
                  </w:r>
                </w:p>
              </w:tc>
              <w:tc>
                <w:tcPr>
                  <w:tcW w:w="83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平板振动器</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台</w:t>
                  </w:r>
                </w:p>
              </w:tc>
              <w:tc>
                <w:tcPr>
                  <w:tcW w:w="83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4</w:t>
                  </w:r>
                </w:p>
              </w:tc>
              <w:tc>
                <w:tcPr>
                  <w:tcW w:w="836"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bl>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3 </w:t>
            </w:r>
            <w:r>
              <w:rPr>
                <w:rFonts w:hint="default"/>
                <w:lang w:val="en-US" w:eastAsia="zh-CN"/>
              </w:rPr>
              <w:t>主要原辅材料及燃料</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项目主要原辅料及能源、资源用量见下表。</w:t>
            </w:r>
          </w:p>
          <w:p>
            <w:pPr>
              <w:pStyle w:val="5"/>
              <w:suppressLineNumbers w:val="0"/>
              <w:bidi w:val="0"/>
              <w:spacing w:before="0" w:after="0"/>
              <w:ind w:left="0" w:right="0"/>
              <w:rPr>
                <w:rFonts w:hint="default"/>
                <w:lang w:val="en-US" w:eastAsia="zh-CN"/>
              </w:rPr>
            </w:pPr>
            <w:r>
              <w:rPr>
                <w:rFonts w:hint="default"/>
                <w:lang w:val="en-US" w:eastAsia="zh-CN"/>
              </w:rPr>
              <w:t>表2-3</w:t>
            </w:r>
            <w:r>
              <w:rPr>
                <w:rFonts w:hint="eastAsia"/>
                <w:lang w:val="en-US" w:eastAsia="zh-CN"/>
              </w:rPr>
              <w:t xml:space="preserve">  </w:t>
            </w:r>
            <w:r>
              <w:rPr>
                <w:rFonts w:hint="default"/>
                <w:lang w:val="en-US" w:eastAsia="zh-CN"/>
              </w:rPr>
              <w:t>能源消耗及原辅材料消耗情况表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13"/>
              <w:gridCol w:w="1091"/>
              <w:gridCol w:w="1241"/>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序号</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原料名称</w:t>
                  </w:r>
                </w:p>
              </w:tc>
              <w:tc>
                <w:tcPr>
                  <w:tcW w:w="109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单位</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数量</w:t>
                  </w:r>
                </w:p>
              </w:tc>
              <w:tc>
                <w:tcPr>
                  <w:tcW w:w="3198"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柴油</w:t>
                  </w:r>
                </w:p>
              </w:tc>
              <w:tc>
                <w:tcPr>
                  <w:tcW w:w="109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t</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98</w:t>
                  </w:r>
                </w:p>
              </w:tc>
              <w:tc>
                <w:tcPr>
                  <w:tcW w:w="3198"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外购成品</w:t>
                  </w:r>
                  <w:r>
                    <w:rPr>
                      <w:rFonts w:hint="eastAsia"/>
                      <w:highlight w:val="none"/>
                      <w:lang w:val="en-US" w:eastAsia="zh-CN"/>
                    </w:rPr>
                    <w:t>，不在临时工业区储存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2</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成品混凝土</w:t>
                  </w:r>
                </w:p>
              </w:tc>
              <w:tc>
                <w:tcPr>
                  <w:tcW w:w="109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250</w:t>
                  </w:r>
                </w:p>
              </w:tc>
              <w:tc>
                <w:tcPr>
                  <w:tcW w:w="3198"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当地购买</w:t>
                  </w:r>
                  <w:r>
                    <w:rPr>
                      <w:rFonts w:hint="eastAsia"/>
                      <w:highlight w:val="none"/>
                      <w:lang w:val="en-US" w:eastAsia="zh-CN"/>
                    </w:rPr>
                    <w:t>成品，混凝土车辆直接运送至施工场地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3</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预制砼U型渠</w:t>
                  </w:r>
                </w:p>
              </w:tc>
              <w:tc>
                <w:tcPr>
                  <w:tcW w:w="1091"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550</w:t>
                  </w:r>
                </w:p>
              </w:tc>
              <w:tc>
                <w:tcPr>
                  <w:tcW w:w="3198"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4</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砂砾石垫层</w:t>
                  </w:r>
                </w:p>
              </w:tc>
              <w:tc>
                <w:tcPr>
                  <w:tcW w:w="1091"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6412.88</w:t>
                  </w:r>
                </w:p>
              </w:tc>
              <w:tc>
                <w:tcPr>
                  <w:tcW w:w="3198"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当地购买</w:t>
                  </w:r>
                  <w:r>
                    <w:rPr>
                      <w:rFonts w:hint="eastAsia"/>
                      <w:highlight w:val="none"/>
                      <w:lang w:val="en-US" w:eastAsia="zh-CN"/>
                    </w:rPr>
                    <w:t>成品，自卸汽车拉运至施工场地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5</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闸门</w:t>
                  </w:r>
                </w:p>
              </w:tc>
              <w:tc>
                <w:tcPr>
                  <w:tcW w:w="109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套</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312</w:t>
                  </w:r>
                </w:p>
              </w:tc>
              <w:tc>
                <w:tcPr>
                  <w:tcW w:w="3198"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外购成品，施工区组装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6</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钢筋</w:t>
                  </w:r>
                </w:p>
              </w:tc>
              <w:tc>
                <w:tcPr>
                  <w:tcW w:w="1091"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t</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1.7</w:t>
                  </w:r>
                </w:p>
              </w:tc>
              <w:tc>
                <w:tcPr>
                  <w:tcW w:w="3198"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7</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聚氨酯</w:t>
                  </w:r>
                </w:p>
              </w:tc>
              <w:tc>
                <w:tcPr>
                  <w:tcW w:w="1091"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10</w:t>
                  </w:r>
                </w:p>
              </w:tc>
              <w:tc>
                <w:tcPr>
                  <w:tcW w:w="3198"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8</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高压闭孔板</w:t>
                  </w:r>
                </w:p>
              </w:tc>
              <w:tc>
                <w:tcPr>
                  <w:tcW w:w="109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2067</w:t>
                  </w:r>
                </w:p>
              </w:tc>
              <w:tc>
                <w:tcPr>
                  <w:tcW w:w="3198"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9</w:t>
                  </w:r>
                </w:p>
              </w:tc>
              <w:tc>
                <w:tcPr>
                  <w:tcW w:w="1613" w:type="dxa"/>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预制管φ600</w:t>
                  </w:r>
                </w:p>
              </w:tc>
              <w:tc>
                <w:tcPr>
                  <w:tcW w:w="1091" w:type="dxa"/>
                  <w:noWrap w:val="0"/>
                  <w:vAlign w:val="center"/>
                </w:tcPr>
                <w:p>
                  <w:pPr>
                    <w:pStyle w:val="6"/>
                    <w:suppressLineNumbers w:val="0"/>
                    <w:bidi w:val="0"/>
                    <w:spacing w:before="0" w:beforeAutospacing="0" w:after="0" w:afterAutospacing="0"/>
                    <w:ind w:left="0" w:right="0"/>
                    <w:rPr>
                      <w:rFonts w:hint="eastAsia"/>
                      <w:highlight w:val="yellow"/>
                      <w:lang w:val="en-US" w:eastAsia="zh-CN"/>
                    </w:rPr>
                  </w:pPr>
                  <w:r>
                    <w:rPr>
                      <w:rFonts w:hint="eastAsia"/>
                      <w:highlight w:val="none"/>
                      <w:lang w:val="en-US" w:eastAsia="zh-CN"/>
                    </w:rPr>
                    <w:t>m</w:t>
                  </w:r>
                </w:p>
              </w:tc>
              <w:tc>
                <w:tcPr>
                  <w:tcW w:w="1241" w:type="dxa"/>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64</w:t>
                  </w:r>
                </w:p>
              </w:tc>
              <w:tc>
                <w:tcPr>
                  <w:tcW w:w="3198" w:type="dxa"/>
                  <w:noWrap w:val="0"/>
                  <w:vAlign w:val="center"/>
                </w:tcPr>
                <w:p>
                  <w:pPr>
                    <w:pStyle w:val="6"/>
                    <w:suppressLineNumbers w:val="0"/>
                    <w:bidi w:val="0"/>
                    <w:spacing w:before="0" w:beforeAutospacing="0" w:after="0" w:afterAutospacing="0"/>
                    <w:ind w:left="0" w:right="0"/>
                    <w:rPr>
                      <w:rFonts w:hint="eastAsia"/>
                      <w:highlight w:val="yellow"/>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10</w:t>
                  </w:r>
                </w:p>
              </w:tc>
              <w:tc>
                <w:tcPr>
                  <w:tcW w:w="1613"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启闭机0.5t</w:t>
                  </w:r>
                </w:p>
              </w:tc>
              <w:tc>
                <w:tcPr>
                  <w:tcW w:w="109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台</w:t>
                  </w:r>
                </w:p>
              </w:tc>
              <w:tc>
                <w:tcPr>
                  <w:tcW w:w="124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312</w:t>
                  </w:r>
                </w:p>
              </w:tc>
              <w:tc>
                <w:tcPr>
                  <w:tcW w:w="3198" w:type="dxa"/>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外购成品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11</w:t>
                  </w:r>
                </w:p>
              </w:tc>
              <w:tc>
                <w:tcPr>
                  <w:tcW w:w="1613" w:type="dxa"/>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水</w:t>
                  </w:r>
                </w:p>
              </w:tc>
              <w:tc>
                <w:tcPr>
                  <w:tcW w:w="1091" w:type="dxa"/>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m</w:t>
                  </w:r>
                  <w:r>
                    <w:rPr>
                      <w:rFonts w:hint="eastAsia"/>
                      <w:highlight w:val="none"/>
                      <w:vertAlign w:val="superscript"/>
                      <w:lang w:val="en-US" w:eastAsia="zh-CN"/>
                    </w:rPr>
                    <w:t>3</w:t>
                  </w:r>
                </w:p>
              </w:tc>
              <w:tc>
                <w:tcPr>
                  <w:tcW w:w="1241" w:type="dxa"/>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200</w:t>
                  </w:r>
                </w:p>
              </w:tc>
              <w:tc>
                <w:tcPr>
                  <w:tcW w:w="3198" w:type="dxa"/>
                  <w:noWrap w:val="0"/>
                  <w:vAlign w:val="center"/>
                </w:tcPr>
                <w:p>
                  <w:pPr>
                    <w:pStyle w:val="6"/>
                    <w:suppressLineNumbers w:val="0"/>
                    <w:bidi w:val="0"/>
                    <w:spacing w:before="0" w:beforeAutospacing="0" w:after="0" w:afterAutospacing="0"/>
                    <w:ind w:left="0" w:right="0"/>
                    <w:rPr>
                      <w:rFonts w:hint="eastAsia"/>
                      <w:highlight w:val="yellow"/>
                      <w:lang w:val="en-US" w:eastAsia="zh-CN"/>
                    </w:rPr>
                  </w:pPr>
                  <w:r>
                    <w:rPr>
                      <w:rFonts w:hint="eastAsia"/>
                      <w:highlight w:val="none"/>
                      <w:lang w:val="en-US" w:eastAsia="zh-CN"/>
                    </w:rPr>
                    <w:t>拉运</w:t>
                  </w:r>
                </w:p>
              </w:tc>
            </w:tr>
          </w:tbl>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4 公用工程</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（1）供水</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本工程为现有土渠防渗改造工程，施工较为分散，现浇混凝土均采用外购商业混凝土，施工现场不设混凝土拌和站。根据本项目实施方案、类比同类项目施工情况，本项目施工用水约200m</w:t>
            </w:r>
            <w:r>
              <w:rPr>
                <w:rFonts w:hint="eastAsia"/>
                <w:vertAlign w:val="superscript"/>
                <w:lang w:val="en-US" w:eastAsia="zh-CN"/>
              </w:rPr>
              <w:t>3</w:t>
            </w:r>
            <w:r>
              <w:rPr>
                <w:rFonts w:hint="eastAsia"/>
                <w:lang w:val="en-US" w:eastAsia="zh-CN"/>
              </w:rPr>
              <w:t>，施工用水较少从附近村庄拉运。</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（2）排水</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生产废水设置临时沉淀池（50m</w:t>
            </w:r>
            <w:r>
              <w:rPr>
                <w:rFonts w:hint="eastAsia"/>
                <w:vertAlign w:val="superscript"/>
                <w:lang w:val="en-US" w:eastAsia="zh-CN"/>
              </w:rPr>
              <w:t>3</w:t>
            </w:r>
            <w:r>
              <w:rPr>
                <w:rFonts w:hint="eastAsia"/>
                <w:lang w:val="en-US" w:eastAsia="zh-CN"/>
              </w:rPr>
              <w:t>）收集，沉淀后用于洒水抑尘；生活区租用民房，施工生活污水依托民房现有设施解决。</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（3）供电</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本项目施工较为分散，为确保施工用电，项目自备柴油发电机。</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5 工程设计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本项目为农业提供稳定水源，满足农田灌溉需求。充分发挥防渗灌区工程设施的潜力，实现水资源在不同区域、行业和用户之间的优化配置。项目可降低灌区工程运行成本，提高灌区工程设施的利用效率实现经济效益最大化。</w:t>
            </w:r>
          </w:p>
          <w:p>
            <w:pPr>
              <w:keepNext w:val="0"/>
              <w:keepLines w:val="0"/>
              <w:suppressLineNumbers w:val="0"/>
              <w:bidi w:val="0"/>
              <w:spacing w:before="0" w:beforeAutospacing="0" w:after="0" w:afterAutospacing="0"/>
              <w:ind w:left="0" w:right="0"/>
              <w:rPr>
                <w:rFonts w:hint="default" w:ascii="Times New Roman" w:hAnsi="Times New Roman" w:cs="Times New Roman"/>
                <w:color w:val="auto"/>
                <w:kern w:val="0"/>
                <w:sz w:val="24"/>
                <w:szCs w:val="24"/>
                <w:highlight w:val="yellow"/>
                <w:lang w:val="en-US" w:eastAsia="zh-CN"/>
              </w:rPr>
            </w:pPr>
            <w:r>
              <w:rPr>
                <w:rFonts w:hint="default" w:ascii="Times New Roman" w:hAnsi="Times New Roman" w:cs="Times New Roman"/>
                <w:color w:val="auto"/>
                <w:kern w:val="0"/>
                <w:sz w:val="24"/>
                <w:szCs w:val="24"/>
                <w:highlight w:val="none"/>
                <w:lang w:val="en-US" w:eastAsia="zh-CN"/>
              </w:rPr>
              <w:t>渠道控制灌溉总面积约</w:t>
            </w:r>
            <w:r>
              <w:rPr>
                <w:rFonts w:hint="eastAsia" w:cs="Times New Roman"/>
                <w:color w:val="auto"/>
                <w:kern w:val="0"/>
                <w:sz w:val="24"/>
                <w:szCs w:val="24"/>
                <w:highlight w:val="none"/>
                <w:lang w:val="en-US" w:eastAsia="zh-CN"/>
              </w:rPr>
              <w:t>2230</w:t>
            </w:r>
            <w:r>
              <w:rPr>
                <w:rFonts w:hint="default" w:ascii="Times New Roman" w:hAnsi="Times New Roman" w:cs="Times New Roman"/>
                <w:color w:val="auto"/>
                <w:kern w:val="0"/>
                <w:sz w:val="24"/>
                <w:szCs w:val="24"/>
                <w:highlight w:val="none"/>
                <w:lang w:val="en-US" w:eastAsia="zh-CN"/>
              </w:rPr>
              <w:t>亩，渠道的设计引水流量为0.1~</w:t>
            </w:r>
            <w:r>
              <w:rPr>
                <w:rFonts w:hint="eastAsia" w:cs="Times New Roman"/>
                <w:color w:val="auto"/>
                <w:kern w:val="0"/>
                <w:sz w:val="24"/>
                <w:szCs w:val="24"/>
                <w:highlight w:val="none"/>
                <w:lang w:val="en-US" w:eastAsia="zh-CN"/>
              </w:rPr>
              <w:t>0.15</w:t>
            </w:r>
            <w:r>
              <w:rPr>
                <w:rFonts w:hint="default" w:ascii="Times New Roman" w:hAnsi="Times New Roman" w:cs="Times New Roman"/>
                <w:color w:val="auto"/>
                <w:kern w:val="0"/>
                <w:sz w:val="24"/>
                <w:szCs w:val="24"/>
                <w:highlight w:val="none"/>
                <w:lang w:val="en-US" w:eastAsia="zh-CN"/>
              </w:rPr>
              <w:t>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s，根据《水利水电工程等级划分及洪水标准》SL252-2017表3.0.1中要求灌溉面积小于0.5万亩的灌溉渠道工程等别为V等，规模应为小（2）型；根据《灌溉与排水工程设计标准》（GB50288-2018）表3.1.5中要求灌溉设计流量小于5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/s的灌溉渠道级别为5级工程，</w:t>
            </w:r>
            <w:r>
              <w:rPr>
                <w:rFonts w:hint="eastAsia" w:cs="Times New Roman"/>
                <w:color w:val="auto"/>
                <w:kern w:val="0"/>
                <w:sz w:val="24"/>
                <w:szCs w:val="24"/>
                <w:highlight w:val="none"/>
                <w:lang w:val="en-US" w:eastAsia="zh-CN"/>
              </w:rPr>
              <w:t>项目</w:t>
            </w:r>
            <w:r>
              <w:rPr>
                <w:rFonts w:hint="default" w:ascii="Times New Roman" w:hAnsi="Times New Roman" w:cs="Times New Roman"/>
                <w:color w:val="auto"/>
                <w:kern w:val="0"/>
                <w:sz w:val="24"/>
                <w:szCs w:val="24"/>
                <w:highlight w:val="none"/>
                <w:lang w:val="en-US" w:eastAsia="zh-CN"/>
              </w:rPr>
              <w:t>渠道主要</w:t>
            </w:r>
            <w:r>
              <w:rPr>
                <w:rFonts w:hint="eastAsia" w:cs="Times New Roman"/>
                <w:color w:val="auto"/>
                <w:kern w:val="0"/>
                <w:sz w:val="24"/>
                <w:szCs w:val="24"/>
                <w:highlight w:val="none"/>
                <w:lang w:val="en-US" w:eastAsia="zh-CN"/>
              </w:rPr>
              <w:t>构筑物</w:t>
            </w:r>
            <w:r>
              <w:rPr>
                <w:rFonts w:hint="default" w:ascii="Times New Roman" w:hAnsi="Times New Roman" w:cs="Times New Roman"/>
                <w:color w:val="auto"/>
                <w:kern w:val="0"/>
                <w:sz w:val="24"/>
                <w:szCs w:val="24"/>
                <w:highlight w:val="none"/>
                <w:lang w:val="en-US" w:eastAsia="zh-CN"/>
              </w:rPr>
              <w:t>为5级，次要</w:t>
            </w:r>
            <w:r>
              <w:rPr>
                <w:rFonts w:hint="eastAsia" w:cs="Times New Roman"/>
                <w:color w:val="auto"/>
                <w:kern w:val="0"/>
                <w:sz w:val="24"/>
                <w:szCs w:val="24"/>
                <w:highlight w:val="none"/>
                <w:lang w:val="en-US" w:eastAsia="zh-CN"/>
              </w:rPr>
              <w:t>构筑物</w:t>
            </w:r>
            <w:r>
              <w:rPr>
                <w:rFonts w:hint="default" w:ascii="Times New Roman" w:hAnsi="Times New Roman" w:cs="Times New Roman"/>
                <w:color w:val="auto"/>
                <w:kern w:val="0"/>
                <w:sz w:val="24"/>
                <w:szCs w:val="24"/>
                <w:highlight w:val="none"/>
                <w:lang w:val="en-US" w:eastAsia="zh-CN"/>
              </w:rPr>
              <w:t>为5级。</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5.1 渠道</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项目利用现有渠线，在原渠道基础上进行防渗改造，现有构筑物状况良好，可以满足渠道过流要求，继续使用，损坏严重的进行拆除重建。</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渠道建成后采用采用半“U”型全断面预制60mm厚C30砼板，设计渠口宽度0.7m，渠底宽度0.4m。渠道管理范围为渠道中心线向两侧各延伸2.0m，单侧管理宽度2.0m，双侧总管理宽度4.0m。渠道保护范围为渠道管理范围界线向外侧各延伸1.5m，单侧保护宽度1.5m，双侧总保护宽度3.0m。</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设计要求</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w:t>
            </w:r>
            <w:r>
              <w:rPr>
                <w:rFonts w:hint="default"/>
                <w:lang w:val="en-US" w:eastAsia="zh-CN"/>
              </w:rPr>
              <w:t>清理基础</w:t>
            </w:r>
            <w:r>
              <w:rPr>
                <w:rFonts w:hint="eastAsia"/>
                <w:lang w:val="en-US" w:eastAsia="zh-CN"/>
              </w:rPr>
              <w:t>腐殖土</w:t>
            </w:r>
            <w:r>
              <w:rPr>
                <w:rFonts w:hint="default"/>
                <w:lang w:val="en-US" w:eastAsia="zh-CN"/>
              </w:rPr>
              <w:t>或植被根系，清废厚度30cm；</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w:t>
            </w:r>
            <w:r>
              <w:rPr>
                <w:rFonts w:hint="default"/>
                <w:lang w:val="en-US" w:eastAsia="zh-CN"/>
              </w:rPr>
              <w:t>渠道衬砌砼强度标准均采用C30、抗冻指标为F200、抗渗指标为W6，水泥采用普通硅酸盐水泥；</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（3）U型预制渠道每节设伸缩缝，上部用2cm厚聚氨酯密封胶闭缝，下部采用高压闭孔塑料板嵌缝，高压闭孔板密度为120kg/m</w:t>
            </w:r>
            <w:r>
              <w:rPr>
                <w:rFonts w:hint="eastAsia"/>
                <w:vertAlign w:val="superscript"/>
                <w:lang w:val="en-US" w:eastAsia="zh-CN"/>
              </w:rPr>
              <w:t>3</w:t>
            </w:r>
            <w:r>
              <w:rPr>
                <w:rFonts w:hint="eastAsia"/>
                <w:lang w:val="en-US" w:eastAsia="zh-CN"/>
              </w:rPr>
              <w:t>，聚氨酯密度为大于等于1.4g/cm</w:t>
            </w:r>
            <w:r>
              <w:rPr>
                <w:rFonts w:hint="eastAsia"/>
                <w:vertAlign w:val="superscript"/>
                <w:lang w:val="en-US" w:eastAsia="zh-CN"/>
              </w:rPr>
              <w:t>3</w:t>
            </w:r>
            <w:r>
              <w:rPr>
                <w:rFonts w:hint="eastAsia"/>
                <w:lang w:val="en-US" w:eastAsia="zh-CN"/>
              </w:rPr>
              <w:t>。</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w:t>
            </w:r>
            <w:r>
              <w:rPr>
                <w:rFonts w:hint="default"/>
                <w:lang w:val="en-US" w:eastAsia="zh-CN"/>
              </w:rPr>
              <w:t>渠道所有回填部分应夯实，</w:t>
            </w:r>
            <w:r>
              <w:rPr>
                <w:rFonts w:hint="eastAsia"/>
                <w:lang w:val="en-US" w:eastAsia="zh-CN"/>
              </w:rPr>
              <w:t>对粘性土压实度不小于</w:t>
            </w:r>
            <w:r>
              <w:rPr>
                <w:rFonts w:hint="default"/>
                <w:lang w:val="en-US" w:eastAsia="zh-CN"/>
              </w:rPr>
              <w:t>0.90</w:t>
            </w:r>
            <w:r>
              <w:rPr>
                <w:rFonts w:hint="eastAsia"/>
                <w:lang w:val="en-US" w:eastAsia="zh-CN"/>
              </w:rPr>
              <w:t>，无粘性土相对紧密度不小于</w:t>
            </w:r>
            <w:r>
              <w:rPr>
                <w:rFonts w:hint="default"/>
                <w:lang w:val="en-US" w:eastAsia="zh-CN"/>
              </w:rPr>
              <w:t>0.70；</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（5）边坡系数：本次设计外边坡为</w:t>
            </w:r>
            <w:r>
              <w:rPr>
                <w:rFonts w:hint="default"/>
                <w:lang w:val="en-US" w:eastAsia="zh-CN"/>
              </w:rPr>
              <w:t>1:1.5</w:t>
            </w:r>
            <w:r>
              <w:rPr>
                <w:rFonts w:hint="eastAsia"/>
                <w:lang w:val="en-US" w:eastAsia="zh-CN"/>
              </w:rPr>
              <w:t>，</w:t>
            </w:r>
            <w:r>
              <w:rPr>
                <w:rFonts w:hint="default"/>
                <w:lang w:val="en-US" w:eastAsia="zh-CN"/>
              </w:rPr>
              <w:t>U</w:t>
            </w:r>
            <w:r>
              <w:rPr>
                <w:rFonts w:hint="eastAsia"/>
                <w:lang w:val="en-US" w:eastAsia="zh-CN"/>
              </w:rPr>
              <w:t>型渠道内边坡系数接近</w:t>
            </w:r>
            <w:r>
              <w:rPr>
                <w:rFonts w:hint="default"/>
                <w:lang w:val="en-US" w:eastAsia="zh-CN"/>
              </w:rPr>
              <w:t>1</w:t>
            </w:r>
            <w:r>
              <w:rPr>
                <w:rFonts w:hint="eastAsia"/>
                <w:lang w:val="en-US" w:eastAsia="zh-CN"/>
              </w:rPr>
              <w:t>:</w:t>
            </w:r>
            <w:r>
              <w:rPr>
                <w:rFonts w:hint="default"/>
                <w:lang w:val="en-US" w:eastAsia="zh-CN"/>
              </w:rPr>
              <w:t>1</w:t>
            </w:r>
            <w:r>
              <w:rPr>
                <w:rFonts w:hint="eastAsia"/>
                <w:lang w:val="en-US" w:eastAsia="zh-CN"/>
              </w:rPr>
              <w:t>；</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（6）斗渠设计宽度均为0.7m，流量为0.15m</w:t>
            </w:r>
            <w:r>
              <w:rPr>
                <w:rFonts w:hint="eastAsia"/>
                <w:vertAlign w:val="superscript"/>
                <w:lang w:val="en-US" w:eastAsia="zh-CN"/>
              </w:rPr>
              <w:t>3</w:t>
            </w:r>
            <w:r>
              <w:rPr>
                <w:rFonts w:hint="eastAsia"/>
                <w:lang w:val="en-US" w:eastAsia="zh-CN"/>
              </w:rPr>
              <w:t>/s。</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（7）采用砂砾石防冻方案，预制砼板填砂砾石垫层取40cm。</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本项目采用半“U”型全断面预制60mm厚C30砼板，渠道横断面图如下图所示。</w:t>
            </w:r>
          </w:p>
          <w:p>
            <w:pPr>
              <w:pStyle w:val="5"/>
              <w:suppressLineNumbers w:val="0"/>
              <w:bidi w:val="0"/>
              <w:spacing w:before="0" w:after="0"/>
              <w:ind w:left="0" w:right="0"/>
              <w:rPr>
                <w:rFonts w:hint="default"/>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974090</wp:posOffset>
                  </wp:positionH>
                  <wp:positionV relativeFrom="paragraph">
                    <wp:posOffset>-6597650</wp:posOffset>
                  </wp:positionV>
                  <wp:extent cx="3381375" cy="5314950"/>
                  <wp:effectExtent l="0" t="0" r="9525" b="0"/>
                  <wp:wrapTopAndBottom/>
                  <wp:docPr id="6" name="图片 6" descr="微信图片_20260416104716_935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60416104716_935_32"/>
                          <pic:cNvPicPr>
                            <a:picLocks noChangeAspect="1"/>
                          </pic:cNvPicPr>
                        </pic:nvPicPr>
                        <pic:blipFill>
                          <a:blip r:embed="rId8"/>
                          <a:stretch>
                            <a:fillRect/>
                          </a:stretch>
                        </pic:blipFill>
                        <pic:spPr>
                          <a:xfrm>
                            <a:off x="0" y="0"/>
                            <a:ext cx="3381375" cy="5314950"/>
                          </a:xfrm>
                          <a:prstGeom prst="rect">
                            <a:avLst/>
                          </a:prstGeom>
                        </pic:spPr>
                      </pic:pic>
                    </a:graphicData>
                  </a:graphic>
                </wp:anchor>
              </w:drawing>
            </w:r>
            <w:r>
              <w:rPr>
                <w:rFonts w:hint="eastAsia"/>
                <w:lang w:val="en-US" w:eastAsia="zh-CN"/>
              </w:rPr>
              <w:t>图2-1  渠道横断面图</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5.2 水闸</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采用现浇C30砼浇筑，基础深度为0.5m，厚度为0.4m；闸口宽、高随位置而变化，闸门设计为钢闸门，启闭梁采用槽钢，启闭机型号根据</w:t>
            </w:r>
            <w:r>
              <w:rPr>
                <w:rFonts w:hint="eastAsia" w:ascii="Times New Roman" w:hAnsi="Times New Roman" w:cs="Times New Roman"/>
                <w:lang w:val="en-US" w:eastAsia="zh-CN"/>
              </w:rPr>
              <w:t>闸门</w:t>
            </w:r>
            <w:r>
              <w:rPr>
                <w:rFonts w:hint="eastAsia"/>
                <w:lang w:val="en-US" w:eastAsia="zh-CN"/>
              </w:rPr>
              <w:t>尺寸确定0.5t。设计启闭机均采用螺杆式启闭机。节制闸及分水闸的钢筋混凝土强度等级为C30，素混凝土强度等级为C30；混凝土抗冻等级F200，抗渗等级W6；基坑临时开挖边坡系数为1:1。基础底部换填40cm厚砂砾石垫层。压实指标：粘性土压实度不小于0.90，无粘性土压实指标相对紧密度不小于0.70。</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5.3 涵桥</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涵桥主要布置在斗渠、田间道路、机耕道路与斗排、农排相交处，涵管采用直径为0.6m，壁厚为6cm的预制钢筋混凝土涵管，涵洞均采用预制混凝土涵管+填土结构，填土高度为0.5m，边坡为1:1.5。设计标准为公路折减-</w:t>
            </w:r>
            <w:r>
              <w:rPr>
                <w:rFonts w:hint="default" w:ascii="Times New Roman" w:hAnsi="Times New Roman" w:cs="Times New Roman"/>
                <w:lang w:val="en-US" w:eastAsia="zh-CN"/>
              </w:rPr>
              <w:t>Ⅱ</w:t>
            </w:r>
            <w:r>
              <w:rPr>
                <w:rFonts w:hint="eastAsia"/>
                <w:lang w:val="en-US" w:eastAsia="zh-CN"/>
              </w:rPr>
              <w:t>级，折减系数为0.8；农桥、涵桥参照中华人民共和国交通运输部标准《公路工程技术标准》（JTGB01-2014）、《公路交通安全设施设计规范》（JTGD81-2017）进行设计。</w:t>
            </w:r>
          </w:p>
          <w:p>
            <w:pPr>
              <w:keepNext w:val="0"/>
              <w:keepLines w:val="0"/>
              <w:suppressLineNumbers w:val="0"/>
              <w:bidi w:val="0"/>
              <w:spacing w:before="0" w:beforeAutospacing="0" w:after="0" w:afterAutospacing="0"/>
              <w:ind w:left="0" w:right="0"/>
              <w:rPr>
                <w:rFonts w:hint="default"/>
                <w:lang w:val="en-US"/>
              </w:rPr>
            </w:pPr>
            <w:r>
              <w:rPr>
                <w:rFonts w:hint="default"/>
                <w:lang w:val="en-US" w:eastAsia="zh-CN"/>
              </w:rPr>
              <w:t>本工程涉及若羌县铁干里克镇托格拉克勒克村，改建渠道共计35条，总长5.338km，配套渠系</w:t>
            </w:r>
            <w:r>
              <w:rPr>
                <w:rFonts w:hint="eastAsia"/>
                <w:lang w:val="en-US" w:eastAsia="zh-CN"/>
              </w:rPr>
              <w:t>构筑物</w:t>
            </w:r>
            <w:r>
              <w:rPr>
                <w:rFonts w:hint="default"/>
                <w:lang w:val="en-US" w:eastAsia="zh-CN"/>
              </w:rPr>
              <w:t>177座，其中引水闸2座、节制引水闸20座、节制双分水闸13座、节制左分水闸54座、节制右分水闸47座、双分水闸3座、左分水闸5座、右分水闸4座、涵桥（4m）13座、涵桥（6m）2座。项目渠系</w:t>
            </w:r>
            <w:r>
              <w:rPr>
                <w:rFonts w:hint="eastAsia"/>
                <w:lang w:val="en-US" w:eastAsia="zh-CN"/>
              </w:rPr>
              <w:t>构筑物</w:t>
            </w:r>
            <w:r>
              <w:rPr>
                <w:rFonts w:hint="default"/>
                <w:lang w:val="en-US" w:eastAsia="zh-CN"/>
              </w:rPr>
              <w:t>见表2-4。</w:t>
            </w: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r>
              <w:rPr>
                <w:rFonts w:hint="eastAsia"/>
                <w:lang w:val="en-US" w:eastAsia="zh-CN"/>
              </w:rPr>
              <w:tab/>
            </w: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p>
            <w:pPr>
              <w:pStyle w:val="13"/>
              <w:keepNext w:val="0"/>
              <w:keepLines w:val="0"/>
              <w:suppressLineNumbers w:val="0"/>
              <w:tabs>
                <w:tab w:val="left" w:pos="721"/>
              </w:tabs>
              <w:spacing w:before="0" w:beforeAutospacing="0" w:after="0" w:afterAutospacing="0"/>
              <w:ind w:left="0" w:leftChars="0" w:right="0" w:firstLine="0" w:firstLineChars="0"/>
              <w:rPr>
                <w:rFonts w:hint="eastAsia"/>
                <w:lang w:val="en-US" w:eastAsia="zh-CN"/>
              </w:rPr>
            </w:pPr>
          </w:p>
        </w:tc>
      </w:tr>
    </w:tbl>
    <w:p>
      <w:pPr>
        <w:pStyle w:val="19"/>
        <w:jc w:val="center"/>
        <w:outlineLvl w:val="0"/>
        <w:rPr>
          <w:rFonts w:eastAsia="仿宋_GB2312"/>
          <w:b/>
          <w:bCs/>
          <w:color w:val="auto"/>
        </w:rPr>
        <w:sectPr>
          <w:pgSz w:w="11906" w:h="16838"/>
          <w:pgMar w:top="1440" w:right="1800" w:bottom="1440" w:left="1800" w:header="851" w:footer="1077" w:gutter="0"/>
          <w:pgNumType w:fmt="decimal"/>
          <w:cols w:space="720" w:num="1"/>
          <w:docGrid w:linePitch="312" w:charSpace="0"/>
        </w:sect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tcPr>
          <w:p>
            <w:pPr>
              <w:pStyle w:val="19"/>
              <w:keepNext w:val="0"/>
              <w:keepLines w:val="0"/>
              <w:suppressLineNumbers w:val="0"/>
              <w:ind w:left="0" w:right="0"/>
              <w:jc w:val="center"/>
              <w:outlineLvl w:val="0"/>
              <w:rPr>
                <w:rFonts w:hint="default" w:eastAsia="仿宋_GB2312"/>
                <w:b/>
                <w:bCs/>
                <w:color w:val="auto"/>
                <w:vertAlign w:val="baseline"/>
              </w:rPr>
            </w:pPr>
          </w:p>
        </w:tc>
        <w:tc>
          <w:tcPr>
            <w:tcW w:w="4735" w:type="pct"/>
          </w:tcPr>
          <w:p>
            <w:pPr>
              <w:pStyle w:val="5"/>
              <w:suppressLineNumbers w:val="0"/>
              <w:bidi w:val="0"/>
              <w:spacing w:before="0" w:after="0"/>
              <w:ind w:left="0" w:right="0"/>
              <w:rPr>
                <w:rFonts w:hint="eastAsia"/>
                <w:lang w:val="en-US" w:eastAsia="zh-CN"/>
              </w:rPr>
            </w:pPr>
            <w:r>
              <w:rPr>
                <w:rFonts w:hint="eastAsia"/>
                <w:lang w:val="en-US" w:eastAsia="zh-CN"/>
              </w:rPr>
              <w:t>表2-4  渠系构筑物</w:t>
            </w:r>
          </w:p>
          <w:tbl>
            <w:tblPr>
              <w:tblStyle w:val="2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372"/>
              <w:gridCol w:w="895"/>
              <w:gridCol w:w="760"/>
              <w:gridCol w:w="773"/>
              <w:gridCol w:w="773"/>
              <w:gridCol w:w="826"/>
              <w:gridCol w:w="773"/>
              <w:gridCol w:w="689"/>
              <w:gridCol w:w="689"/>
              <w:gridCol w:w="689"/>
              <w:gridCol w:w="763"/>
              <w:gridCol w:w="784"/>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textDirection w:val="tbRlV"/>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序号</w:t>
                  </w:r>
                </w:p>
              </w:tc>
              <w:tc>
                <w:tcPr>
                  <w:tcW w:w="1277"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渠道名称</w:t>
                  </w:r>
                </w:p>
              </w:tc>
              <w:tc>
                <w:tcPr>
                  <w:tcW w:w="339"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长度</w:t>
                  </w:r>
                  <w:r>
                    <w:rPr>
                      <w:rFonts w:hint="default"/>
                      <w:lang w:val="en-US" w:eastAsia="zh-CN"/>
                    </w:rPr>
                    <w:br w:type="textWrapping"/>
                  </w:r>
                  <w:r>
                    <w:rPr>
                      <w:rFonts w:hint="default"/>
                      <w:lang w:val="en-US" w:eastAsia="zh-CN"/>
                    </w:rPr>
                    <w:t>(m)</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引水闸</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节制</w:t>
                  </w:r>
                  <w:r>
                    <w:rPr>
                      <w:rFonts w:hint="eastAsia"/>
                      <w:lang w:val="en-US" w:eastAsia="zh-CN"/>
                    </w:rPr>
                    <w:t>引水闸</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节判</w:t>
                  </w:r>
                  <w:r>
                    <w:rPr>
                      <w:rFonts w:hint="eastAsia"/>
                      <w:lang w:val="en-US" w:eastAsia="zh-CN"/>
                    </w:rPr>
                    <w:t>闻</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节制双</w:t>
                  </w:r>
                  <w:r>
                    <w:rPr>
                      <w:rFonts w:hint="eastAsia"/>
                      <w:lang w:val="en-US" w:eastAsia="zh-CN"/>
                    </w:rPr>
                    <w:t>分水闸</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节制左</w:t>
                  </w:r>
                  <w:r>
                    <w:rPr>
                      <w:rFonts w:hint="eastAsia"/>
                      <w:lang w:val="en-US" w:eastAsia="zh-CN"/>
                    </w:rPr>
                    <w:t>分水闸</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节制右</w:t>
                  </w:r>
                  <w:r>
                    <w:rPr>
                      <w:rFonts w:hint="eastAsia"/>
                      <w:lang w:val="en-US" w:eastAsia="zh-CN"/>
                    </w:rPr>
                    <w:t>分水闸</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双分</w:t>
                  </w:r>
                  <w:r>
                    <w:rPr>
                      <w:rFonts w:hint="eastAsia"/>
                      <w:lang w:val="en-US" w:eastAsia="zh-CN"/>
                    </w:rPr>
                    <w:t>水闸</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左分</w:t>
                  </w:r>
                  <w:r>
                    <w:rPr>
                      <w:rFonts w:hint="default"/>
                      <w:lang w:val="en-US" w:eastAsia="zh-CN"/>
                    </w:rPr>
                    <w:br w:type="textWrapping"/>
                  </w:r>
                  <w:r>
                    <w:rPr>
                      <w:rFonts w:hint="eastAsia"/>
                      <w:lang w:val="en-US" w:eastAsia="zh-CN"/>
                    </w:rPr>
                    <w:t>水闸</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右分</w:t>
                  </w:r>
                  <w:r>
                    <w:rPr>
                      <w:rFonts w:hint="default"/>
                      <w:lang w:val="en-US" w:eastAsia="zh-CN"/>
                    </w:rPr>
                    <w:br w:type="textWrapping"/>
                  </w:r>
                  <w:r>
                    <w:rPr>
                      <w:rFonts w:hint="eastAsia"/>
                      <w:lang w:val="en-US" w:eastAsia="zh-CN"/>
                    </w:rPr>
                    <w:t>水闸</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涵</w:t>
                  </w:r>
                  <w:r>
                    <w:rPr>
                      <w:rFonts w:hint="eastAsia"/>
                      <w:lang w:val="en-US" w:eastAsia="zh-CN"/>
                    </w:rPr>
                    <w:t>桥</w:t>
                  </w:r>
                  <w:r>
                    <w:rPr>
                      <w:rFonts w:hint="eastAsia"/>
                      <w:lang w:val="en-US" w:eastAsia="zh-CN"/>
                    </w:rPr>
                    <w:br w:type="textWrapping"/>
                  </w:r>
                  <w:r>
                    <w:rPr>
                      <w:rFonts w:hint="eastAsia"/>
                      <w:lang w:val="en-US" w:eastAsia="zh-CN"/>
                    </w:rPr>
                    <w:t>4m</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涵</w:t>
                  </w:r>
                  <w:r>
                    <w:rPr>
                      <w:rFonts w:hint="eastAsia"/>
                      <w:lang w:val="en-US" w:eastAsia="zh-CN"/>
                    </w:rPr>
                    <w:t>桥</w:t>
                  </w:r>
                  <w:r>
                    <w:rPr>
                      <w:rFonts w:hint="eastAsia"/>
                      <w:lang w:val="en-US" w:eastAsia="zh-CN"/>
                    </w:rPr>
                    <w:br w:type="textWrapping"/>
                  </w:r>
                  <w:r>
                    <w:rPr>
                      <w:rFonts w:hint="default"/>
                      <w:lang w:val="en-US" w:eastAsia="zh-CN"/>
                    </w:rPr>
                    <w:t>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一条田3号渠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155.89</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敬老院北斗渠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222</w:t>
                  </w:r>
                  <w:r>
                    <w:rPr>
                      <w:rFonts w:hint="eastAsia"/>
                      <w:lang w:val="en-US" w:eastAsia="zh-CN"/>
                    </w:rPr>
                    <w:t>.</w:t>
                  </w:r>
                  <w:r>
                    <w:rPr>
                      <w:rFonts w:hint="default"/>
                      <w:lang w:val="en-US" w:eastAsia="zh-CN"/>
                    </w:rPr>
                    <w:t>11</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3</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三队三条田阿曼吾加</w:t>
                  </w:r>
                  <w:r>
                    <w:rPr>
                      <w:rFonts w:hint="eastAsia"/>
                      <w:lang w:val="en-US" w:eastAsia="zh-CN"/>
                    </w:rPr>
                    <w:t>布拉4号渠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75.04</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4</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4</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三队三条田十字路口</w:t>
                  </w:r>
                  <w:r>
                    <w:rPr>
                      <w:rFonts w:hint="eastAsia"/>
                      <w:lang w:val="en-US" w:eastAsia="zh-CN"/>
                    </w:rPr>
                    <w:t>3号渠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178</w:t>
                  </w:r>
                  <w:r>
                    <w:rPr>
                      <w:rFonts w:hint="eastAsia"/>
                      <w:lang w:val="en-US" w:eastAsia="zh-CN"/>
                    </w:rPr>
                    <w:t>.</w:t>
                  </w:r>
                  <w:r>
                    <w:rPr>
                      <w:rFonts w:hint="default"/>
                      <w:lang w:val="en-US" w:eastAsia="zh-CN"/>
                    </w:rPr>
                    <w:t>84</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6</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5</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三队三条田王秋娃2</w:t>
                  </w:r>
                  <w:r>
                    <w:rPr>
                      <w:rFonts w:hint="eastAsia"/>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142.53</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6</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三队三条田龙大志1</w:t>
                  </w:r>
                  <w:r>
                    <w:rPr>
                      <w:rFonts w:hint="eastAsia"/>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145.73</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4</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7</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村集体地1号渠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116.88</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8</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村集体地2号渠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66</w:t>
                  </w:r>
                  <w:r>
                    <w:rPr>
                      <w:rFonts w:hint="eastAsia"/>
                      <w:lang w:val="en-US" w:eastAsia="zh-CN"/>
                    </w:rPr>
                    <w:t>.</w:t>
                  </w:r>
                  <w:r>
                    <w:rPr>
                      <w:rFonts w:hint="default"/>
                      <w:lang w:val="en-US" w:eastAsia="zh-CN"/>
                    </w:rPr>
                    <w:t>65</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9</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一队二条田3号渠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175.67</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10</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一队二条田胡杨林1</w:t>
                  </w:r>
                  <w:r>
                    <w:rPr>
                      <w:rFonts w:hint="eastAsia"/>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257.77</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11</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一队二条田田天玉2</w:t>
                  </w:r>
                  <w:r>
                    <w:rPr>
                      <w:rFonts w:hint="eastAsia"/>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211.13</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12</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一队三条田杨圣之1</w:t>
                  </w:r>
                  <w:r>
                    <w:rPr>
                      <w:rFonts w:hint="eastAsia"/>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159.58</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13</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一队一条田3号渠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208</w:t>
                  </w:r>
                  <w:r>
                    <w:rPr>
                      <w:rFonts w:hint="eastAsia"/>
                      <w:lang w:val="en-US" w:eastAsia="zh-CN"/>
                    </w:rPr>
                    <w:t>.</w:t>
                  </w:r>
                  <w:r>
                    <w:rPr>
                      <w:rFonts w:hint="default"/>
                      <w:lang w:val="en-US" w:eastAsia="zh-CN"/>
                    </w:rPr>
                    <w:t>82</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7</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14</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一队一条田箱包厂路口2号渠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124.28</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4</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15</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一队一条田2号渠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28</w:t>
                  </w:r>
                  <w:r>
                    <w:rPr>
                      <w:rFonts w:hint="eastAsia"/>
                      <w:lang w:val="en-US" w:eastAsia="zh-CN"/>
                    </w:rPr>
                    <w:t>.</w:t>
                  </w:r>
                  <w:r>
                    <w:rPr>
                      <w:rFonts w:hint="default"/>
                      <w:lang w:val="en-US" w:eastAsia="zh-CN"/>
                    </w:rPr>
                    <w:t>08</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16</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一队一条田箱包厂东1号渠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108</w:t>
                  </w:r>
                  <w:r>
                    <w:rPr>
                      <w:rFonts w:hint="eastAsia"/>
                      <w:lang w:val="en-US" w:eastAsia="zh-CN"/>
                    </w:rPr>
                    <w:t>.</w:t>
                  </w:r>
                  <w:r>
                    <w:rPr>
                      <w:rFonts w:hint="default"/>
                      <w:lang w:val="en-US" w:eastAsia="zh-CN"/>
                    </w:rPr>
                    <w:t>51</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17</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阔</w:t>
                  </w:r>
                  <w:r>
                    <w:rPr>
                      <w:rFonts w:hint="default"/>
                      <w:lang w:val="en-US" w:eastAsia="zh-CN"/>
                    </w:rPr>
                    <w:t>可萨依巷1号渠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128</w:t>
                  </w:r>
                  <w:r>
                    <w:rPr>
                      <w:rFonts w:hint="eastAsia"/>
                      <w:lang w:val="en-US" w:eastAsia="zh-CN"/>
                    </w:rPr>
                    <w:t>.</w:t>
                  </w:r>
                  <w:r>
                    <w:rPr>
                      <w:rFonts w:hint="default"/>
                      <w:lang w:val="en-US" w:eastAsia="zh-CN"/>
                    </w:rPr>
                    <w:t>60</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18</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一队三条田</w:t>
                  </w:r>
                  <w:r>
                    <w:rPr>
                      <w:rFonts w:hint="eastAsia"/>
                      <w:lang w:val="en-US" w:eastAsia="zh-CN"/>
                    </w:rPr>
                    <w:t>1</w:t>
                  </w:r>
                  <w:r>
                    <w:rPr>
                      <w:rFonts w:hint="default"/>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113.43</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19</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一队三条田</w:t>
                  </w:r>
                  <w:r>
                    <w:rPr>
                      <w:rFonts w:hint="eastAsia"/>
                      <w:lang w:val="en-US" w:eastAsia="zh-CN"/>
                    </w:rPr>
                    <w:t>2</w:t>
                  </w:r>
                  <w:r>
                    <w:rPr>
                      <w:rFonts w:hint="default"/>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119.13</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20</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二队</w:t>
                  </w:r>
                  <w:r>
                    <w:rPr>
                      <w:rFonts w:hint="eastAsia"/>
                      <w:lang w:val="en-US" w:eastAsia="zh-CN"/>
                    </w:rPr>
                    <w:t>三条田1号渠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219.63</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21</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二队</w:t>
                  </w:r>
                  <w:r>
                    <w:rPr>
                      <w:rFonts w:hint="eastAsia"/>
                      <w:lang w:val="en-US" w:eastAsia="zh-CN"/>
                    </w:rPr>
                    <w:t>三条田2号渠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190</w:t>
                  </w:r>
                  <w:r>
                    <w:rPr>
                      <w:rFonts w:hint="eastAsia"/>
                      <w:lang w:val="en-US" w:eastAsia="zh-CN"/>
                    </w:rPr>
                    <w:t>.</w:t>
                  </w:r>
                  <w:r>
                    <w:rPr>
                      <w:rFonts w:hint="default"/>
                      <w:lang w:val="en-US" w:eastAsia="zh-CN"/>
                    </w:rPr>
                    <w:t>55</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22</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二队三条田3号渠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147.83</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23</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二队</w:t>
                  </w:r>
                  <w:r>
                    <w:rPr>
                      <w:rFonts w:hint="eastAsia"/>
                      <w:lang w:val="en-US" w:eastAsia="zh-CN"/>
                    </w:rPr>
                    <w:t>三条田4号渠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147.72</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24</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二队三条田5号渠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249</w:t>
                  </w:r>
                  <w:r>
                    <w:rPr>
                      <w:rFonts w:hint="eastAsia"/>
                      <w:lang w:val="en-US" w:eastAsia="zh-CN"/>
                    </w:rPr>
                    <w:t>.</w:t>
                  </w:r>
                  <w:r>
                    <w:rPr>
                      <w:rFonts w:hint="default"/>
                      <w:lang w:val="en-US" w:eastAsia="zh-CN"/>
                    </w:rPr>
                    <w:t>56</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25</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二队三条田6号渠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150</w:t>
                  </w:r>
                  <w:r>
                    <w:rPr>
                      <w:rFonts w:hint="eastAsia"/>
                      <w:lang w:val="en-US" w:eastAsia="zh-CN"/>
                    </w:rPr>
                    <w:t>.</w:t>
                  </w:r>
                  <w:r>
                    <w:rPr>
                      <w:rFonts w:hint="default"/>
                      <w:lang w:val="en-US" w:eastAsia="zh-CN"/>
                    </w:rPr>
                    <w:t>40</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default"/>
                      <w:lang w:val="en-US" w:eastAsia="zh-CN"/>
                    </w:rPr>
                    <w:t>26</w:t>
                  </w:r>
                </w:p>
              </w:tc>
              <w:tc>
                <w:tcPr>
                  <w:tcW w:w="1277"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布拉克3条田1号渠</w:t>
                  </w:r>
                </w:p>
              </w:tc>
              <w:tc>
                <w:tcPr>
                  <w:tcW w:w="33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185.22</w:t>
                  </w:r>
                </w:p>
              </w:tc>
              <w:tc>
                <w:tcPr>
                  <w:tcW w:w="288"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3</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eastAsia"/>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27</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布拉克3条田2号渠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150</w:t>
                  </w:r>
                  <w:r>
                    <w:rPr>
                      <w:rFonts w:hint="eastAsia"/>
                      <w:lang w:val="en-US" w:eastAsia="zh-CN"/>
                    </w:rPr>
                    <w:t>.</w:t>
                  </w:r>
                  <w:r>
                    <w:rPr>
                      <w:rFonts w:hint="default"/>
                      <w:lang w:val="en-US" w:eastAsia="zh-CN"/>
                    </w:rPr>
                    <w:t>41</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28</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布拉克3条田3号渠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86</w:t>
                  </w:r>
                  <w:r>
                    <w:rPr>
                      <w:rFonts w:hint="eastAsia"/>
                      <w:lang w:val="en-US" w:eastAsia="zh-CN"/>
                    </w:rPr>
                    <w:t>.</w:t>
                  </w:r>
                  <w:r>
                    <w:rPr>
                      <w:rFonts w:hint="default"/>
                      <w:lang w:val="en-US" w:eastAsia="zh-CN"/>
                    </w:rPr>
                    <w:t>25</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29</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布拉克3条田4号渠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190.16</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30</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布拉克3条田5号渠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162.74</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31</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布拉克3条田6号渠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154.66</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4</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32</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二队二条田1号渠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71.97</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33</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二队二条田2号渠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113.81</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34</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二队二条田何玉平3</w:t>
                  </w:r>
                  <w:r>
                    <w:rPr>
                      <w:rFonts w:hint="eastAsia"/>
                      <w:lang w:val="en-US" w:eastAsia="zh-CN"/>
                    </w:rPr>
                    <w:t>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216.6</w:t>
                  </w:r>
                  <w:r>
                    <w:rPr>
                      <w:rFonts w:hint="eastAsia"/>
                      <w:lang w:val="en-US" w:eastAsia="zh-CN"/>
                    </w:rPr>
                    <w:t>0</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8</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35</w:t>
                  </w:r>
                </w:p>
              </w:tc>
              <w:tc>
                <w:tcPr>
                  <w:tcW w:w="127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二队一条田阿布都</w:t>
                  </w:r>
                  <w:r>
                    <w:rPr>
                      <w:rFonts w:hint="eastAsia"/>
                      <w:lang w:val="en-US" w:eastAsia="zh-CN"/>
                    </w:rPr>
                    <w:t>沙迪克</w:t>
                  </w:r>
                  <w:r>
                    <w:rPr>
                      <w:rFonts w:hint="default"/>
                      <w:lang w:val="en-US" w:eastAsia="zh-CN"/>
                    </w:rPr>
                    <w:t>1号渠</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162.16</w:t>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2" w:type="pct"/>
                  <w:gridSpan w:val="2"/>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合计</w:t>
                  </w:r>
                </w:p>
              </w:tc>
              <w:tc>
                <w:tcPr>
                  <w:tcW w:w="33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sum(C2:C36) \* MERGEFORMAT </w:instrText>
                  </w:r>
                  <w:r>
                    <w:rPr>
                      <w:rFonts w:hint="default"/>
                      <w:lang w:val="en-US" w:eastAsia="zh-CN"/>
                    </w:rPr>
                    <w:fldChar w:fldCharType="separate"/>
                  </w:r>
                  <w:r>
                    <w:rPr>
                      <w:rFonts w:hint="default"/>
                      <w:lang w:val="en-US" w:eastAsia="zh-CN"/>
                    </w:rPr>
                    <w:t>5338</w:t>
                  </w:r>
                  <w:r>
                    <w:rPr>
                      <w:rFonts w:hint="default"/>
                      <w:lang w:val="en-US" w:eastAsia="zh-CN"/>
                    </w:rPr>
                    <w:fldChar w:fldCharType="end"/>
                  </w:r>
                </w:p>
              </w:tc>
              <w:tc>
                <w:tcPr>
                  <w:tcW w:w="288"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sum(D2:D36) \* MERGEFORMAT </w:instrText>
                  </w:r>
                  <w:r>
                    <w:rPr>
                      <w:rFonts w:hint="default"/>
                      <w:lang w:val="en-US" w:eastAsia="zh-CN"/>
                    </w:rPr>
                    <w:fldChar w:fldCharType="separate"/>
                  </w:r>
                  <w:r>
                    <w:rPr>
                      <w:rFonts w:hint="default"/>
                      <w:lang w:val="en-US" w:eastAsia="zh-CN"/>
                    </w:rPr>
                    <w:t>2</w:t>
                  </w:r>
                  <w:r>
                    <w:rPr>
                      <w:rFonts w:hint="default"/>
                      <w:lang w:val="en-US" w:eastAsia="zh-CN"/>
                    </w:rPr>
                    <w:fldChar w:fldCharType="end"/>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20</w:t>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sum(F2:F36) \* MERGEFORMAT </w:instrText>
                  </w:r>
                  <w:r>
                    <w:rPr>
                      <w:rFonts w:hint="default"/>
                      <w:lang w:val="en-US" w:eastAsia="zh-CN"/>
                    </w:rPr>
                    <w:fldChar w:fldCharType="separate"/>
                  </w:r>
                  <w:r>
                    <w:rPr>
                      <w:rFonts w:hint="default"/>
                      <w:lang w:val="en-US" w:eastAsia="zh-CN"/>
                    </w:rPr>
                    <w:t>14</w:t>
                  </w:r>
                  <w:r>
                    <w:rPr>
                      <w:rFonts w:hint="default"/>
                      <w:lang w:val="en-US" w:eastAsia="zh-CN"/>
                    </w:rPr>
                    <w:fldChar w:fldCharType="end"/>
                  </w:r>
                </w:p>
              </w:tc>
              <w:tc>
                <w:tcPr>
                  <w:tcW w:w="31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sum(G2:G36) \* MERGEFORMAT </w:instrText>
                  </w:r>
                  <w:r>
                    <w:rPr>
                      <w:rFonts w:hint="default"/>
                      <w:lang w:val="en-US" w:eastAsia="zh-CN"/>
                    </w:rPr>
                    <w:fldChar w:fldCharType="separate"/>
                  </w:r>
                  <w:r>
                    <w:rPr>
                      <w:rFonts w:hint="default"/>
                      <w:lang w:val="en-US" w:eastAsia="zh-CN"/>
                    </w:rPr>
                    <w:t>13</w:t>
                  </w:r>
                  <w:r>
                    <w:rPr>
                      <w:rFonts w:hint="default"/>
                      <w:lang w:val="en-US" w:eastAsia="zh-CN"/>
                    </w:rPr>
                    <w:fldChar w:fldCharType="end"/>
                  </w:r>
                </w:p>
              </w:tc>
              <w:tc>
                <w:tcPr>
                  <w:tcW w:w="293"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sum(H2:H36) \* MERGEFORMAT </w:instrText>
                  </w:r>
                  <w:r>
                    <w:rPr>
                      <w:rFonts w:hint="default"/>
                      <w:lang w:val="en-US" w:eastAsia="zh-CN"/>
                    </w:rPr>
                    <w:fldChar w:fldCharType="separate"/>
                  </w:r>
                  <w:r>
                    <w:rPr>
                      <w:rFonts w:hint="default"/>
                      <w:lang w:val="en-US" w:eastAsia="zh-CN"/>
                    </w:rPr>
                    <w:t>54</w:t>
                  </w:r>
                  <w:r>
                    <w:rPr>
                      <w:rFonts w:hint="default"/>
                      <w:lang w:val="en-US" w:eastAsia="zh-CN"/>
                    </w:rPr>
                    <w:fldChar w:fldCharType="end"/>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sum(I2:I36) \* MERGEFORMAT </w:instrText>
                  </w:r>
                  <w:r>
                    <w:rPr>
                      <w:rFonts w:hint="default"/>
                      <w:lang w:val="en-US" w:eastAsia="zh-CN"/>
                    </w:rPr>
                    <w:fldChar w:fldCharType="separate"/>
                  </w:r>
                  <w:r>
                    <w:rPr>
                      <w:rFonts w:hint="default"/>
                      <w:lang w:val="en-US" w:eastAsia="zh-CN"/>
                    </w:rPr>
                    <w:t>47</w:t>
                  </w:r>
                  <w:r>
                    <w:rPr>
                      <w:rFonts w:hint="default"/>
                      <w:lang w:val="en-US" w:eastAsia="zh-CN"/>
                    </w:rPr>
                    <w:fldChar w:fldCharType="end"/>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sum(J2:J36) \* MERGEFORMAT </w:instrText>
                  </w:r>
                  <w:r>
                    <w:rPr>
                      <w:rFonts w:hint="default"/>
                      <w:lang w:val="en-US" w:eastAsia="zh-CN"/>
                    </w:rPr>
                    <w:fldChar w:fldCharType="separate"/>
                  </w:r>
                  <w:r>
                    <w:rPr>
                      <w:rFonts w:hint="default"/>
                      <w:lang w:val="en-US" w:eastAsia="zh-CN"/>
                    </w:rPr>
                    <w:t>3</w:t>
                  </w:r>
                  <w:r>
                    <w:rPr>
                      <w:rFonts w:hint="default"/>
                      <w:lang w:val="en-US" w:eastAsia="zh-CN"/>
                    </w:rPr>
                    <w:fldChar w:fldCharType="end"/>
                  </w:r>
                </w:p>
              </w:tc>
              <w:tc>
                <w:tcPr>
                  <w:tcW w:w="261"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sum(K2:K36) \* MERGEFORMAT </w:instrText>
                  </w:r>
                  <w:r>
                    <w:rPr>
                      <w:rFonts w:hint="default"/>
                      <w:lang w:val="en-US" w:eastAsia="zh-CN"/>
                    </w:rPr>
                    <w:fldChar w:fldCharType="separate"/>
                  </w:r>
                  <w:r>
                    <w:rPr>
                      <w:rFonts w:hint="default"/>
                      <w:lang w:val="en-US" w:eastAsia="zh-CN"/>
                    </w:rPr>
                    <w:t>5</w:t>
                  </w:r>
                  <w:r>
                    <w:rPr>
                      <w:rFonts w:hint="default"/>
                      <w:lang w:val="en-US" w:eastAsia="zh-CN"/>
                    </w:rPr>
                    <w:fldChar w:fldCharType="end"/>
                  </w:r>
                </w:p>
              </w:tc>
              <w:tc>
                <w:tcPr>
                  <w:tcW w:w="289"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sum(L2:L36) \* MERGEFORMAT </w:instrText>
                  </w:r>
                  <w:r>
                    <w:rPr>
                      <w:rFonts w:hint="default"/>
                      <w:lang w:val="en-US" w:eastAsia="zh-CN"/>
                    </w:rPr>
                    <w:fldChar w:fldCharType="separate"/>
                  </w:r>
                  <w:r>
                    <w:rPr>
                      <w:rFonts w:hint="default"/>
                      <w:lang w:val="en-US" w:eastAsia="zh-CN"/>
                    </w:rPr>
                    <w:t>4</w:t>
                  </w:r>
                  <w:r>
                    <w:rPr>
                      <w:rFonts w:hint="default"/>
                      <w:lang w:val="en-US" w:eastAsia="zh-CN"/>
                    </w:rPr>
                    <w:fldChar w:fldCharType="end"/>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sum(M2:M36) \* MERGEFORMAT </w:instrText>
                  </w:r>
                  <w:r>
                    <w:rPr>
                      <w:rFonts w:hint="default"/>
                      <w:lang w:val="en-US" w:eastAsia="zh-CN"/>
                    </w:rPr>
                    <w:fldChar w:fldCharType="separate"/>
                  </w:r>
                  <w:r>
                    <w:rPr>
                      <w:rFonts w:hint="default"/>
                      <w:lang w:val="en-US" w:eastAsia="zh-CN"/>
                    </w:rPr>
                    <w:t>13</w:t>
                  </w:r>
                  <w:r>
                    <w:rPr>
                      <w:rFonts w:hint="default"/>
                      <w:lang w:val="en-US" w:eastAsia="zh-CN"/>
                    </w:rPr>
                    <w:fldChar w:fldCharType="end"/>
                  </w:r>
                </w:p>
              </w:tc>
              <w:tc>
                <w:tcPr>
                  <w:tcW w:w="297" w:type="pct"/>
                  <w:shd w:val="clear" w:color="auto" w:fill="auto"/>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sum(N2:N36) \* MERGEFORMAT </w:instrText>
                  </w:r>
                  <w:r>
                    <w:rPr>
                      <w:rFonts w:hint="default"/>
                      <w:lang w:val="en-US" w:eastAsia="zh-CN"/>
                    </w:rPr>
                    <w:fldChar w:fldCharType="separate"/>
                  </w:r>
                  <w:r>
                    <w:rPr>
                      <w:rFonts w:hint="default"/>
                      <w:lang w:val="en-US" w:eastAsia="zh-CN"/>
                    </w:rPr>
                    <w:t>2</w:t>
                  </w:r>
                  <w:r>
                    <w:rPr>
                      <w:rFonts w:hint="default"/>
                      <w:lang w:val="en-US" w:eastAsia="zh-CN"/>
                    </w:rPr>
                    <w:fldChar w:fldCharType="end"/>
                  </w:r>
                </w:p>
              </w:tc>
            </w:tr>
          </w:tbl>
          <w:p>
            <w:pPr>
              <w:pStyle w:val="19"/>
              <w:keepNext w:val="0"/>
              <w:keepLines w:val="0"/>
              <w:suppressLineNumbers w:val="0"/>
              <w:ind w:left="0" w:right="0"/>
              <w:jc w:val="center"/>
              <w:outlineLvl w:val="0"/>
              <w:rPr>
                <w:rFonts w:hint="default" w:eastAsia="仿宋_GB2312"/>
                <w:b/>
                <w:bCs/>
                <w:color w:val="auto"/>
                <w:vertAlign w:val="baseline"/>
              </w:rPr>
            </w:pPr>
          </w:p>
        </w:tc>
      </w:tr>
    </w:tbl>
    <w:p>
      <w:pPr>
        <w:pStyle w:val="19"/>
        <w:jc w:val="center"/>
        <w:outlineLvl w:val="0"/>
        <w:rPr>
          <w:rFonts w:eastAsia="仿宋_GB2312"/>
          <w:b/>
          <w:bCs/>
          <w:color w:val="auto"/>
        </w:rPr>
        <w:sectPr>
          <w:pgSz w:w="16838" w:h="11906" w:orient="landscape"/>
          <w:pgMar w:top="1800" w:right="1440" w:bottom="1800" w:left="1440" w:header="851" w:footer="1077" w:gutter="0"/>
          <w:pgNumType w:fmt="decimal"/>
          <w:cols w:space="720" w:num="1"/>
          <w:docGrid w:linePitch="312" w:charSpace="0"/>
        </w:sect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1"/>
                <w:szCs w:val="21"/>
              </w:rPr>
              <w:t>总平面及现场布置</w:t>
            </w:r>
          </w:p>
        </w:tc>
        <w:tc>
          <w:tcPr>
            <w:tcW w:w="4754" w:type="pct"/>
          </w:tcPr>
          <w:p>
            <w:pPr>
              <w:pStyle w:val="3"/>
              <w:keepLines w:val="0"/>
              <w:suppressLineNumbers w:val="0"/>
              <w:bidi w:val="0"/>
              <w:spacing w:before="0" w:beforeAutospacing="0" w:after="0" w:afterAutospacing="0"/>
              <w:ind w:right="0"/>
              <w:rPr>
                <w:rFonts w:hint="default"/>
                <w:lang w:val="en-US" w:eastAsia="zh-CN"/>
              </w:rPr>
            </w:pPr>
            <w:r>
              <w:rPr>
                <w:rFonts w:hint="default"/>
                <w:lang w:val="en-US" w:eastAsia="zh-CN"/>
              </w:rPr>
              <w:t>1</w:t>
            </w:r>
            <w:r>
              <w:rPr>
                <w:rFonts w:hint="eastAsia"/>
                <w:lang w:val="en-US" w:eastAsia="zh-CN"/>
              </w:rPr>
              <w:t xml:space="preserve"> </w:t>
            </w:r>
            <w:r>
              <w:rPr>
                <w:rFonts w:hint="default"/>
                <w:lang w:val="en-US" w:eastAsia="zh-CN"/>
              </w:rPr>
              <w:t>工程平面布置</w:t>
            </w:r>
          </w:p>
          <w:p>
            <w:pPr>
              <w:pStyle w:val="51"/>
              <w:keepNext w:val="0"/>
              <w:keepLines w:val="0"/>
              <w:suppressLineNumbers w:val="0"/>
              <w:spacing w:before="0" w:beforeAutospacing="0" w:after="0" w:afterAutospacing="0"/>
              <w:ind w:left="0" w:right="0" w:firstLine="560"/>
              <w:rPr>
                <w:rFonts w:hint="eastAsia"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lang w:val="en-US" w:eastAsia="zh-CN"/>
              </w:rPr>
              <w:t>本项目属于防渗渠节水改造项目</w:t>
            </w:r>
            <w:r>
              <w:rPr>
                <w:rFonts w:hint="default" w:ascii="Times New Roman" w:hAnsi="Times New Roman" w:eastAsia="宋体" w:cs="Times New Roman"/>
                <w:color w:val="auto"/>
                <w:sz w:val="24"/>
                <w:szCs w:val="24"/>
                <w:highlight w:val="none"/>
                <w:lang w:eastAsia="zh-CN"/>
              </w:rPr>
              <w:t>，其中节</w:t>
            </w:r>
            <w:r>
              <w:rPr>
                <w:rFonts w:hint="default" w:ascii="Times New Roman" w:hAnsi="Times New Roman" w:cs="Times New Roman"/>
                <w:color w:val="auto"/>
                <w:sz w:val="24"/>
                <w:szCs w:val="24"/>
                <w:highlight w:val="none"/>
                <w:lang w:eastAsia="zh-CN"/>
              </w:rPr>
              <w:t>水改造</w:t>
            </w:r>
            <w:r>
              <w:rPr>
                <w:rFonts w:hint="eastAsia" w:cs="Times New Roman"/>
                <w:color w:val="auto"/>
                <w:sz w:val="24"/>
                <w:szCs w:val="24"/>
                <w:highlight w:val="none"/>
                <w:lang w:val="en-US" w:eastAsia="zh-CN"/>
              </w:rPr>
              <w:t>渠道35</w:t>
            </w:r>
            <w:r>
              <w:rPr>
                <w:rFonts w:hint="default" w:ascii="Times New Roman" w:hAnsi="Times New Roman" w:cs="Times New Roman"/>
                <w:color w:val="auto"/>
                <w:sz w:val="24"/>
                <w:szCs w:val="24"/>
                <w:highlight w:val="none"/>
                <w:lang w:eastAsia="zh-CN"/>
              </w:rPr>
              <w:t>条，</w:t>
            </w:r>
            <w:r>
              <w:rPr>
                <w:rFonts w:hint="eastAsia" w:cs="Times New Roman"/>
                <w:color w:val="auto"/>
                <w:sz w:val="24"/>
                <w:szCs w:val="24"/>
                <w:highlight w:val="none"/>
                <w:lang w:val="en-US" w:eastAsia="zh-CN"/>
              </w:rPr>
              <w:t>渠系构筑物</w:t>
            </w:r>
            <w:r>
              <w:rPr>
                <w:rFonts w:hint="default" w:ascii="Times New Roman" w:hAnsi="Times New Roman" w:cs="Times New Roman"/>
                <w:color w:val="auto"/>
                <w:sz w:val="24"/>
                <w:szCs w:val="24"/>
                <w:highlight w:val="none"/>
                <w:lang w:eastAsia="zh-CN"/>
              </w:rPr>
              <w:t>改造</w:t>
            </w:r>
            <w:r>
              <w:rPr>
                <w:rFonts w:hint="eastAsia" w:cs="Times New Roman"/>
                <w:color w:val="auto"/>
                <w:sz w:val="24"/>
                <w:szCs w:val="24"/>
                <w:highlight w:val="none"/>
                <w:lang w:val="en-US" w:eastAsia="zh-CN"/>
              </w:rPr>
              <w:t>177座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项目占地区域为原有渠道，渠道两侧主要为耕地。结合渠道现状运行情况，在保证灌溉水位要求的前提下，合理确定渠道纵坡。</w:t>
            </w:r>
            <w:r>
              <w:rPr>
                <w:rFonts w:hint="default" w:ascii="Times New Roman" w:hAnsi="Times New Roman" w:cs="Times New Roman"/>
                <w:color w:val="auto"/>
                <w:sz w:val="24"/>
                <w:szCs w:val="24"/>
                <w:highlight w:val="none"/>
                <w:lang w:val="en-US" w:eastAsia="zh-CN"/>
              </w:rPr>
              <w:t>根据灌区内路、林、渠等系统的格局，对各渠系</w:t>
            </w:r>
            <w:r>
              <w:rPr>
                <w:rFonts w:hint="eastAsia" w:cs="Times New Roman"/>
                <w:color w:val="auto"/>
                <w:sz w:val="24"/>
                <w:szCs w:val="24"/>
                <w:highlight w:val="none"/>
                <w:lang w:val="en-US" w:eastAsia="zh-CN"/>
              </w:rPr>
              <w:t>构筑物</w:t>
            </w:r>
            <w:r>
              <w:rPr>
                <w:rFonts w:hint="default" w:ascii="Times New Roman" w:hAnsi="Times New Roman" w:cs="Times New Roman"/>
                <w:color w:val="auto"/>
                <w:sz w:val="24"/>
                <w:szCs w:val="24"/>
                <w:highlight w:val="none"/>
                <w:lang w:val="en-US" w:eastAsia="zh-CN"/>
              </w:rPr>
              <w:t>进行配套建设</w:t>
            </w:r>
            <w:r>
              <w:rPr>
                <w:rFonts w:hint="eastAsia" w:cs="Times New Roman"/>
                <w:color w:val="auto"/>
                <w:sz w:val="24"/>
                <w:szCs w:val="24"/>
                <w:highlight w:val="none"/>
                <w:lang w:val="en-US" w:eastAsia="zh-CN"/>
              </w:rPr>
              <w:t>。</w:t>
            </w:r>
          </w:p>
          <w:p>
            <w:pPr>
              <w:pStyle w:val="3"/>
              <w:keepLines w:val="0"/>
              <w:suppressLineNumbers w:val="0"/>
              <w:bidi w:val="0"/>
              <w:spacing w:before="0" w:beforeAutospacing="0" w:after="0" w:afterAutospacing="0"/>
              <w:ind w:right="0"/>
              <w:rPr>
                <w:rFonts w:hint="default"/>
                <w:lang w:val="en-US" w:eastAsia="zh-CN"/>
              </w:rPr>
            </w:pPr>
            <w:r>
              <w:rPr>
                <w:rFonts w:hint="default"/>
                <w:lang w:val="en-US" w:eastAsia="zh-CN"/>
              </w:rPr>
              <w:t>1.</w:t>
            </w:r>
            <w:r>
              <w:rPr>
                <w:rFonts w:hint="eastAsia"/>
                <w:lang w:val="en-US" w:eastAsia="zh-CN"/>
              </w:rPr>
              <w:t xml:space="preserve">1 </w:t>
            </w:r>
            <w:r>
              <w:rPr>
                <w:rFonts w:hint="default"/>
                <w:lang w:val="en-US" w:eastAsia="zh-CN"/>
              </w:rPr>
              <w:t>临时工业区</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b w:val="0"/>
                <w:bCs w:val="0"/>
                <w:color w:val="auto"/>
                <w:sz w:val="24"/>
                <w:szCs w:val="24"/>
                <w:highlight w:val="yellow"/>
                <w:lang w:val="en-US" w:eastAsia="zh-CN"/>
              </w:rPr>
            </w:pPr>
            <w:r>
              <w:rPr>
                <w:rFonts w:hint="default" w:ascii="Times New Roman" w:hAnsi="Times New Roman" w:eastAsia="宋体" w:cs="Times New Roman"/>
                <w:b w:val="0"/>
                <w:bCs w:val="0"/>
                <w:color w:val="auto"/>
                <w:sz w:val="24"/>
                <w:szCs w:val="24"/>
                <w:highlight w:val="none"/>
                <w:lang w:val="en-US" w:eastAsia="zh-CN"/>
              </w:rPr>
              <w:t>本项目属于防渗渠节水改造项目，临时工业区</w:t>
            </w:r>
            <w:r>
              <w:rPr>
                <w:rFonts w:hint="eastAsia" w:ascii="Times New Roman" w:hAnsi="Times New Roman" w:cs="Times New Roman"/>
                <w:b w:val="0"/>
                <w:bCs w:val="0"/>
                <w:color w:val="auto"/>
                <w:sz w:val="24"/>
                <w:szCs w:val="24"/>
                <w:highlight w:val="none"/>
                <w:lang w:val="en-US" w:eastAsia="zh-CN"/>
              </w:rPr>
              <w:t>依托托格拉克勒克村</w:t>
            </w:r>
            <w:r>
              <w:rPr>
                <w:rFonts w:hint="eastAsia" w:cs="Times New Roman"/>
                <w:b w:val="0"/>
                <w:bCs w:val="0"/>
                <w:color w:val="auto"/>
                <w:sz w:val="24"/>
                <w:szCs w:val="24"/>
                <w:highlight w:val="none"/>
                <w:lang w:val="en-US" w:eastAsia="zh-CN"/>
              </w:rPr>
              <w:t>村</w:t>
            </w:r>
            <w:r>
              <w:rPr>
                <w:rFonts w:hint="eastAsia" w:ascii="Times New Roman" w:hAnsi="Times New Roman" w:cs="Times New Roman"/>
                <w:b w:val="0"/>
                <w:bCs w:val="0"/>
                <w:color w:val="auto"/>
                <w:sz w:val="24"/>
                <w:szCs w:val="24"/>
                <w:highlight w:val="none"/>
                <w:lang w:val="en-US" w:eastAsia="zh-CN"/>
              </w:rPr>
              <w:t>民委员会</w:t>
            </w:r>
            <w:r>
              <w:rPr>
                <w:rFonts w:hint="default" w:ascii="Times New Roman" w:hAnsi="Times New Roman" w:eastAsia="宋体" w:cs="Times New Roman"/>
                <w:b w:val="0"/>
                <w:bCs w:val="0"/>
                <w:color w:val="auto"/>
                <w:sz w:val="24"/>
                <w:szCs w:val="24"/>
                <w:highlight w:val="none"/>
                <w:lang w:val="en-US" w:eastAsia="zh-CN"/>
              </w:rPr>
              <w:t>，占地面积为1</w:t>
            </w:r>
            <w:r>
              <w:rPr>
                <w:rFonts w:hint="eastAsia" w:cs="Times New Roman"/>
                <w:b w:val="0"/>
                <w:bCs w:val="0"/>
                <w:color w:val="auto"/>
                <w:sz w:val="24"/>
                <w:szCs w:val="24"/>
                <w:highlight w:val="none"/>
                <w:lang w:val="en-US" w:eastAsia="zh-CN"/>
              </w:rPr>
              <w:t>0</w:t>
            </w:r>
            <w:r>
              <w:rPr>
                <w:rFonts w:hint="default" w:ascii="Times New Roman" w:hAnsi="Times New Roman" w:eastAsia="宋体" w:cs="Times New Roman"/>
                <w:b w:val="0"/>
                <w:bCs w:val="0"/>
                <w:color w:val="auto"/>
                <w:sz w:val="24"/>
                <w:szCs w:val="24"/>
                <w:highlight w:val="none"/>
                <w:lang w:val="en-US" w:eastAsia="zh-CN"/>
              </w:rPr>
              <w:t>00m</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，用于堆放篷布、停放施工设备。临时</w:t>
            </w:r>
            <w:r>
              <w:rPr>
                <w:rFonts w:hint="eastAsia" w:ascii="Times New Roman" w:hAnsi="Times New Roman" w:cs="Times New Roman"/>
                <w:b w:val="0"/>
                <w:bCs w:val="0"/>
                <w:color w:val="auto"/>
                <w:sz w:val="24"/>
                <w:szCs w:val="24"/>
                <w:highlight w:val="none"/>
                <w:lang w:val="en-US" w:eastAsia="zh-CN"/>
              </w:rPr>
              <w:t>工业</w:t>
            </w:r>
            <w:r>
              <w:rPr>
                <w:rFonts w:hint="default" w:ascii="Times New Roman" w:hAnsi="Times New Roman" w:eastAsia="宋体" w:cs="Times New Roman"/>
                <w:b w:val="0"/>
                <w:bCs w:val="0"/>
                <w:color w:val="auto"/>
                <w:sz w:val="24"/>
                <w:szCs w:val="24"/>
                <w:highlight w:val="none"/>
                <w:lang w:val="en-US" w:eastAsia="zh-CN"/>
              </w:rPr>
              <w:t>区距离道路较近，方便运输</w:t>
            </w:r>
            <w:r>
              <w:rPr>
                <w:rFonts w:hint="eastAsia" w:cs="Times New Roman"/>
                <w:b w:val="0"/>
                <w:bCs w:val="0"/>
                <w:color w:val="auto"/>
                <w:sz w:val="24"/>
                <w:szCs w:val="24"/>
                <w:highlight w:val="none"/>
                <w:lang w:val="en-US" w:eastAsia="zh-CN"/>
              </w:rPr>
              <w:t>，选址合理</w:t>
            </w:r>
            <w:r>
              <w:rPr>
                <w:rFonts w:hint="default" w:ascii="Times New Roman" w:hAnsi="Times New Roman" w:eastAsia="宋体" w:cs="Times New Roman"/>
                <w:b w:val="0"/>
                <w:bCs w:val="0"/>
                <w:color w:val="auto"/>
                <w:sz w:val="24"/>
                <w:szCs w:val="24"/>
                <w:highlight w:val="none"/>
                <w:lang w:val="en-US" w:eastAsia="zh-CN"/>
              </w:rPr>
              <w:t>。</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1.2 临时堆土区</w:t>
            </w:r>
          </w:p>
          <w:p>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default" w:cs="Times New Roman"/>
                <w:b w:val="0"/>
                <w:bCs w:val="0"/>
                <w:color w:val="auto"/>
                <w:sz w:val="24"/>
                <w:szCs w:val="24"/>
                <w:highlight w:val="none"/>
                <w:lang w:val="en-US" w:eastAsia="zh-CN"/>
              </w:rPr>
            </w:pPr>
            <w:r>
              <w:rPr>
                <w:rFonts w:hint="default" w:cs="Times New Roman"/>
                <w:b w:val="0"/>
                <w:bCs w:val="0"/>
                <w:color w:val="auto"/>
                <w:sz w:val="24"/>
                <w:szCs w:val="24"/>
                <w:highlight w:val="none"/>
                <w:lang w:val="en-US" w:eastAsia="zh-CN"/>
              </w:rPr>
              <w:t>位于渠道两侧边坡</w:t>
            </w:r>
            <w:r>
              <w:rPr>
                <w:rFonts w:hint="eastAsia" w:cs="Times New Roman"/>
                <w:b w:val="0"/>
                <w:bCs w:val="0"/>
                <w:color w:val="auto"/>
                <w:sz w:val="24"/>
                <w:szCs w:val="24"/>
                <w:highlight w:val="none"/>
                <w:lang w:val="en-US" w:eastAsia="zh-CN"/>
              </w:rPr>
              <w:t>，</w:t>
            </w:r>
            <w:r>
              <w:rPr>
                <w:rFonts w:hint="default" w:cs="Times New Roman"/>
                <w:b w:val="0"/>
                <w:bCs w:val="0"/>
                <w:color w:val="auto"/>
                <w:sz w:val="24"/>
                <w:szCs w:val="24"/>
                <w:highlight w:val="none"/>
                <w:lang w:val="en-US" w:eastAsia="zh-CN"/>
              </w:rPr>
              <w:t>占地面积</w:t>
            </w:r>
            <w:r>
              <w:rPr>
                <w:rFonts w:hint="eastAsia" w:cs="Times New Roman"/>
                <w:b w:val="0"/>
                <w:bCs w:val="0"/>
                <w:color w:val="auto"/>
                <w:sz w:val="24"/>
                <w:szCs w:val="24"/>
                <w:highlight w:val="none"/>
                <w:lang w:val="en-US" w:eastAsia="zh-CN"/>
              </w:rPr>
              <w:t>11000</w:t>
            </w:r>
            <w:r>
              <w:rPr>
                <w:rFonts w:hint="default" w:cs="Times New Roman"/>
                <w:b w:val="0"/>
                <w:bCs w:val="0"/>
                <w:color w:val="auto"/>
                <w:sz w:val="24"/>
                <w:szCs w:val="24"/>
                <w:highlight w:val="none"/>
                <w:lang w:val="en-US" w:eastAsia="zh-CN"/>
              </w:rPr>
              <w:t>m</w:t>
            </w:r>
            <w:r>
              <w:rPr>
                <w:rFonts w:hint="default"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lang w:val="en-US" w:eastAsia="zh-CN"/>
              </w:rPr>
              <w:t>，</w:t>
            </w:r>
            <w:r>
              <w:rPr>
                <w:rFonts w:hint="default" w:cs="Times New Roman"/>
                <w:b w:val="0"/>
                <w:bCs w:val="0"/>
                <w:color w:val="auto"/>
                <w:sz w:val="24"/>
                <w:szCs w:val="24"/>
                <w:highlight w:val="none"/>
                <w:lang w:val="en-US" w:eastAsia="zh-CN"/>
              </w:rPr>
              <w:t>主要堆放基础开挖的土方和砂石料，单次堆存时间不超过2天。</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1.3临时堆渣区</w:t>
            </w:r>
          </w:p>
          <w:p>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default" w:cs="Times New Roman"/>
                <w:b w:val="0"/>
                <w:bCs w:val="0"/>
                <w:color w:val="auto"/>
                <w:sz w:val="24"/>
                <w:szCs w:val="24"/>
                <w:highlight w:val="none"/>
                <w:lang w:val="en-US" w:eastAsia="zh-CN"/>
              </w:rPr>
            </w:pPr>
            <w:r>
              <w:rPr>
                <w:rFonts w:hint="default" w:cs="Times New Roman"/>
                <w:b w:val="0"/>
                <w:bCs w:val="0"/>
                <w:color w:val="auto"/>
                <w:sz w:val="24"/>
                <w:szCs w:val="24"/>
                <w:highlight w:val="none"/>
                <w:lang w:val="en-US" w:eastAsia="zh-CN"/>
              </w:rPr>
              <w:t>施工过程中，部分老化和破损的闸需要拆除，拆除弃渣主要为混凝土块、钢筋等建筑垃圾。占地面积为1000m</w:t>
            </w:r>
            <w:r>
              <w:rPr>
                <w:rFonts w:hint="default" w:cs="Times New Roman"/>
                <w:b w:val="0"/>
                <w:bCs w:val="0"/>
                <w:color w:val="auto"/>
                <w:sz w:val="24"/>
                <w:szCs w:val="24"/>
                <w:highlight w:val="none"/>
                <w:vertAlign w:val="superscript"/>
                <w:lang w:val="en-US" w:eastAsia="zh-CN"/>
              </w:rPr>
              <w:t>2</w:t>
            </w:r>
            <w:r>
              <w:rPr>
                <w:rFonts w:hint="default" w:cs="Times New Roman"/>
                <w:b w:val="0"/>
                <w:bCs w:val="0"/>
                <w:color w:val="auto"/>
                <w:sz w:val="24"/>
                <w:szCs w:val="24"/>
                <w:highlight w:val="none"/>
                <w:lang w:val="en-US" w:eastAsia="zh-CN"/>
              </w:rPr>
              <w:t>，对于弃渣，尽可能回收利用，不能利用的，临时堆放在空地处，按政府要求拉运至指定地点。</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2 </w:t>
            </w:r>
            <w:r>
              <w:rPr>
                <w:rFonts w:hint="default"/>
                <w:lang w:val="en-US" w:eastAsia="zh-CN"/>
              </w:rPr>
              <w:t>项目占地</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本项目为渠道节水改造工程，项目不新增永久占地</w:t>
            </w:r>
            <w:r>
              <w:rPr>
                <w:rFonts w:hint="eastAsia"/>
                <w:highlight w:val="none"/>
                <w:lang w:val="en-US" w:eastAsia="zh-CN"/>
              </w:rPr>
              <w:t>，渠系建筑物与渠道占地重叠，不新增占地</w:t>
            </w:r>
            <w:r>
              <w:rPr>
                <w:rFonts w:hint="default"/>
                <w:highlight w:val="none"/>
                <w:lang w:val="en-US" w:eastAsia="zh-CN"/>
              </w:rPr>
              <w:t>，施工临时占地为临时堆土区、</w:t>
            </w:r>
            <w:r>
              <w:rPr>
                <w:rFonts w:hint="eastAsia"/>
                <w:highlight w:val="none"/>
                <w:lang w:val="en-US" w:eastAsia="zh-CN"/>
              </w:rPr>
              <w:t>临时工业</w:t>
            </w:r>
            <w:r>
              <w:rPr>
                <w:rFonts w:hint="default"/>
                <w:highlight w:val="none"/>
                <w:lang w:val="en-US" w:eastAsia="zh-CN"/>
              </w:rPr>
              <w:t>区</w:t>
            </w:r>
            <w:r>
              <w:rPr>
                <w:rFonts w:hint="eastAsia"/>
                <w:highlight w:val="none"/>
                <w:lang w:val="en-US" w:eastAsia="zh-CN"/>
              </w:rPr>
              <w:t>、临时堆渣区</w:t>
            </w:r>
            <w:r>
              <w:rPr>
                <w:rFonts w:hint="default"/>
                <w:highlight w:val="none"/>
                <w:lang w:val="en-US" w:eastAsia="zh-CN"/>
              </w:rPr>
              <w:t>等占地。本项目不涉及房屋拆迁安置工程。</w:t>
            </w:r>
          </w:p>
          <w:p>
            <w:pPr>
              <w:pStyle w:val="5"/>
              <w:suppressLineNumbers w:val="0"/>
              <w:bidi w:val="0"/>
              <w:spacing w:before="0" w:after="0"/>
              <w:ind w:left="0" w:right="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 xml:space="preserve">2-5  </w:t>
            </w:r>
            <w:r>
              <w:rPr>
                <w:rFonts w:hint="default" w:ascii="Times New Roman" w:hAnsi="Times New Roman" w:eastAsia="宋体" w:cs="Times New Roman"/>
                <w:b/>
                <w:bCs/>
                <w:color w:val="auto"/>
                <w:sz w:val="24"/>
                <w:szCs w:val="24"/>
                <w:highlight w:val="none"/>
                <w:lang w:val="en-US" w:eastAsia="zh-CN"/>
              </w:rPr>
              <w:t>工程占地情况一览表</w:t>
            </w:r>
          </w:p>
          <w:tbl>
            <w:tblPr>
              <w:tblStyle w:val="22"/>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1636"/>
              <w:gridCol w:w="256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23"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工程内容</w:t>
                  </w:r>
                </w:p>
              </w:tc>
              <w:tc>
                <w:tcPr>
                  <w:tcW w:w="1636"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占地性质</w:t>
                  </w:r>
                </w:p>
              </w:tc>
              <w:tc>
                <w:tcPr>
                  <w:tcW w:w="2562"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占地面积（</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1657"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占地类型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3"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w:t>
                  </w:r>
                  <w:r>
                    <w:rPr>
                      <w:rFonts w:hint="eastAsia" w:ascii="Times New Roman" w:hAnsi="Times New Roman" w:cs="Times New Roman"/>
                      <w:b w:val="0"/>
                      <w:bCs w:val="0"/>
                      <w:color w:val="auto"/>
                      <w:sz w:val="21"/>
                      <w:szCs w:val="21"/>
                      <w:highlight w:val="none"/>
                      <w:vertAlign w:val="baseline"/>
                      <w:lang w:val="en-US" w:eastAsia="zh-CN"/>
                    </w:rPr>
                    <w:t>工业</w:t>
                  </w:r>
                  <w:r>
                    <w:rPr>
                      <w:rFonts w:hint="default" w:ascii="Times New Roman" w:hAnsi="Times New Roman" w:eastAsia="宋体" w:cs="Times New Roman"/>
                      <w:b w:val="0"/>
                      <w:bCs w:val="0"/>
                      <w:color w:val="auto"/>
                      <w:sz w:val="21"/>
                      <w:szCs w:val="21"/>
                      <w:highlight w:val="none"/>
                      <w:vertAlign w:val="baseline"/>
                      <w:lang w:val="en-US" w:eastAsia="zh-CN"/>
                    </w:rPr>
                    <w:t>区</w:t>
                  </w:r>
                </w:p>
              </w:tc>
              <w:tc>
                <w:tcPr>
                  <w:tcW w:w="1636"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临时占地</w:t>
                  </w:r>
                </w:p>
              </w:tc>
              <w:tc>
                <w:tcPr>
                  <w:tcW w:w="2562"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10</w:t>
                  </w:r>
                  <w:r>
                    <w:rPr>
                      <w:rFonts w:hint="eastAsia" w:ascii="Times New Roman" w:hAnsi="Times New Roman" w:eastAsia="宋体" w:cs="Times New Roman"/>
                      <w:b w:val="0"/>
                      <w:bCs w:val="0"/>
                      <w:color w:val="auto"/>
                      <w:sz w:val="21"/>
                      <w:szCs w:val="21"/>
                      <w:highlight w:val="none"/>
                      <w:vertAlign w:val="baseline"/>
                      <w:lang w:val="en-US" w:eastAsia="zh-CN"/>
                    </w:rPr>
                    <w:t>00</w:t>
                  </w:r>
                </w:p>
              </w:tc>
              <w:tc>
                <w:tcPr>
                  <w:tcW w:w="1657"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农村居民点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23"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临时堆土区</w:t>
                  </w:r>
                </w:p>
              </w:tc>
              <w:tc>
                <w:tcPr>
                  <w:tcW w:w="1636"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临时占地</w:t>
                  </w:r>
                </w:p>
              </w:tc>
              <w:tc>
                <w:tcPr>
                  <w:tcW w:w="2562"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11000</w:t>
                  </w:r>
                </w:p>
              </w:tc>
              <w:tc>
                <w:tcPr>
                  <w:tcW w:w="1657"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3"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临时堆渣区</w:t>
                  </w:r>
                </w:p>
              </w:tc>
              <w:tc>
                <w:tcPr>
                  <w:tcW w:w="1636" w:type="dxa"/>
                  <w:shd w:val="clear" w:color="auto" w:fill="auto"/>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临时占地</w:t>
                  </w:r>
                </w:p>
              </w:tc>
              <w:tc>
                <w:tcPr>
                  <w:tcW w:w="2562" w:type="dxa"/>
                  <w:shd w:val="clear" w:color="auto" w:fill="auto"/>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sz w:val="21"/>
                      <w:szCs w:val="21"/>
                      <w:highlight w:val="none"/>
                      <w:vertAlign w:val="baseline"/>
                      <w:lang w:val="en-US" w:eastAsia="zh-CN"/>
                    </w:rPr>
                    <w:t>10</w:t>
                  </w:r>
                  <w:r>
                    <w:rPr>
                      <w:rFonts w:hint="eastAsia" w:ascii="Times New Roman" w:hAnsi="Times New Roman" w:eastAsia="宋体" w:cs="Times New Roman"/>
                      <w:b w:val="0"/>
                      <w:bCs w:val="0"/>
                      <w:color w:val="auto"/>
                      <w:sz w:val="21"/>
                      <w:szCs w:val="21"/>
                      <w:highlight w:val="none"/>
                      <w:vertAlign w:val="baseline"/>
                      <w:lang w:val="en-US" w:eastAsia="zh-CN"/>
                    </w:rPr>
                    <w:t>00</w:t>
                  </w:r>
                </w:p>
              </w:tc>
              <w:tc>
                <w:tcPr>
                  <w:tcW w:w="1657"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23"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ascii="Times New Roman" w:hAnsi="Times New Roman"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渠道</w:t>
                  </w:r>
                </w:p>
              </w:tc>
              <w:tc>
                <w:tcPr>
                  <w:tcW w:w="1636" w:type="dxa"/>
                  <w:shd w:val="clear" w:color="auto" w:fill="auto"/>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永久占地</w:t>
                  </w:r>
                </w:p>
              </w:tc>
              <w:tc>
                <w:tcPr>
                  <w:tcW w:w="2562" w:type="dxa"/>
                  <w:shd w:val="clear" w:color="auto" w:fill="auto"/>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14507</w:t>
                  </w:r>
                </w:p>
              </w:tc>
              <w:tc>
                <w:tcPr>
                  <w:tcW w:w="1657" w:type="dxa"/>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firstLine="0" w:firstLineChars="0"/>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旱地</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 xml:space="preserve">3 </w:t>
            </w:r>
            <w:r>
              <w:rPr>
                <w:rFonts w:hint="default" w:ascii="Times New Roman" w:hAnsi="Times New Roman" w:eastAsia="宋体" w:cs="Times New Roman"/>
                <w:b/>
                <w:bCs/>
                <w:color w:val="auto"/>
                <w:sz w:val="24"/>
                <w:szCs w:val="24"/>
                <w:lang w:val="en-US" w:eastAsia="zh-CN"/>
              </w:rPr>
              <w:t>土石方平衡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根据合理利用物料、减少料场开采和弃渣占地的原则，本工程渠道及</w:t>
            </w:r>
            <w:r>
              <w:rPr>
                <w:rFonts w:hint="eastAsia" w:cs="Times New Roman"/>
                <w:color w:val="auto"/>
                <w:sz w:val="24"/>
                <w:szCs w:val="24"/>
                <w:lang w:eastAsia="zh-CN"/>
              </w:rPr>
              <w:t>构筑物</w:t>
            </w:r>
            <w:r>
              <w:rPr>
                <w:rFonts w:hint="default" w:ascii="Times New Roman" w:hAnsi="Times New Roman" w:eastAsia="宋体" w:cs="Times New Roman"/>
                <w:color w:val="auto"/>
                <w:sz w:val="24"/>
                <w:szCs w:val="24"/>
              </w:rPr>
              <w:t>工程总挖方量共计</w:t>
            </w:r>
            <w:r>
              <w:rPr>
                <w:rFonts w:hint="eastAsia" w:cs="Times New Roman"/>
                <w:color w:val="auto"/>
                <w:sz w:val="24"/>
                <w:szCs w:val="24"/>
                <w:lang w:val="en-US" w:eastAsia="zh-CN"/>
              </w:rPr>
              <w:t>6914.27</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，总借方量共计</w:t>
            </w:r>
            <w:r>
              <w:rPr>
                <w:rFonts w:hint="eastAsia" w:cs="Times New Roman"/>
                <w:color w:val="auto"/>
                <w:sz w:val="24"/>
                <w:szCs w:val="24"/>
                <w:lang w:val="en-US" w:eastAsia="zh-CN"/>
              </w:rPr>
              <w:t>6412.88</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，总填方量共计</w:t>
            </w:r>
            <w:r>
              <w:rPr>
                <w:rFonts w:hint="eastAsia" w:cs="Times New Roman"/>
                <w:color w:val="auto"/>
                <w:sz w:val="24"/>
                <w:szCs w:val="24"/>
                <w:lang w:val="en-US" w:eastAsia="zh-CN"/>
              </w:rPr>
              <w:t>6351.1</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总余</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弃</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方量</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清废方量</w:t>
            </w:r>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6976.05</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。综上所述，本项目土石方平衡见下表所示。</w:t>
            </w:r>
          </w:p>
          <w:p>
            <w:pPr>
              <w:pStyle w:val="5"/>
              <w:suppressLineNumbers w:val="0"/>
              <w:bidi w:val="0"/>
              <w:spacing w:before="0" w:after="0"/>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w:t>
            </w:r>
            <w:r>
              <w:rPr>
                <w:rFonts w:hint="eastAsia" w:ascii="Times New Roman" w:hAnsi="Times New Roman" w:eastAsia="宋体" w:cs="Times New Roman"/>
                <w:b/>
                <w:bCs/>
                <w:color w:val="auto"/>
                <w:sz w:val="24"/>
                <w:szCs w:val="24"/>
                <w:lang w:val="en-US" w:eastAsia="zh-CN"/>
              </w:rPr>
              <w:t>2-</w:t>
            </w:r>
            <w:r>
              <w:rPr>
                <w:rFonts w:hint="eastAsia" w:cs="Times New Roman"/>
                <w:b/>
                <w:bCs/>
                <w:color w:val="auto"/>
                <w:sz w:val="24"/>
                <w:szCs w:val="24"/>
                <w:lang w:val="en-US" w:eastAsia="zh-CN"/>
              </w:rPr>
              <w:t>6</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 xml:space="preserve"> 土石方平衡表</w:t>
            </w:r>
            <w:r>
              <w:rPr>
                <w:rFonts w:hint="eastAsia"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vertAlign w:val="superscript"/>
                <w:lang w:val="en-US" w:eastAsia="zh-CN"/>
              </w:rPr>
              <w:t>3</w:t>
            </w:r>
          </w:p>
          <w:tbl>
            <w:tblPr>
              <w:tblStyle w:val="22"/>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472"/>
              <w:gridCol w:w="1661"/>
              <w:gridCol w:w="1697"/>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3"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工程</w:t>
                  </w:r>
                </w:p>
              </w:tc>
              <w:tc>
                <w:tcPr>
                  <w:tcW w:w="913" w:type="pct"/>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挖方</w:t>
                  </w:r>
                </w:p>
              </w:tc>
              <w:tc>
                <w:tcPr>
                  <w:tcW w:w="1030" w:type="pct"/>
                  <w:vAlign w:val="center"/>
                </w:tcPr>
                <w:p>
                  <w:pPr>
                    <w:pStyle w:val="6"/>
                    <w:suppressLineNumbers w:val="0"/>
                    <w:bidi w:val="0"/>
                    <w:spacing w:before="0" w:beforeAutospacing="0" w:after="0" w:afterAutospacing="0"/>
                    <w:ind w:left="0" w:right="0"/>
                    <w:rPr>
                      <w:rFonts w:hint="eastAsia"/>
                    </w:rPr>
                  </w:pPr>
                  <w:r>
                    <w:rPr>
                      <w:rFonts w:hint="eastAsia"/>
                      <w:lang w:val="en-US" w:eastAsia="zh-CN"/>
                    </w:rPr>
                    <w:t>借方</w:t>
                  </w:r>
                </w:p>
              </w:tc>
              <w:tc>
                <w:tcPr>
                  <w:tcW w:w="1052" w:type="pct"/>
                  <w:vAlign w:val="center"/>
                </w:tcPr>
                <w:p>
                  <w:pPr>
                    <w:pStyle w:val="6"/>
                    <w:suppressLineNumbers w:val="0"/>
                    <w:bidi w:val="0"/>
                    <w:spacing w:before="0" w:beforeAutospacing="0" w:after="0" w:afterAutospacing="0"/>
                    <w:ind w:left="0" w:right="0"/>
                    <w:rPr>
                      <w:rFonts w:hint="eastAsia"/>
                    </w:rPr>
                  </w:pPr>
                  <w:r>
                    <w:rPr>
                      <w:rFonts w:hint="eastAsia"/>
                      <w:lang w:val="en-US" w:eastAsia="zh-CN"/>
                    </w:rPr>
                    <w:t>填方</w:t>
                  </w:r>
                </w:p>
              </w:tc>
              <w:tc>
                <w:tcPr>
                  <w:tcW w:w="1188"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3"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数量</w:t>
                  </w:r>
                </w:p>
              </w:tc>
              <w:tc>
                <w:tcPr>
                  <w:tcW w:w="913"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6914.27</w:t>
                  </w:r>
                </w:p>
              </w:tc>
              <w:tc>
                <w:tcPr>
                  <w:tcW w:w="1030"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6412.88</w:t>
                  </w:r>
                </w:p>
              </w:tc>
              <w:tc>
                <w:tcPr>
                  <w:tcW w:w="1052"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6351.1</w:t>
                  </w:r>
                </w:p>
              </w:tc>
              <w:tc>
                <w:tcPr>
                  <w:tcW w:w="1188"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6976.05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3"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去向</w:t>
                  </w:r>
                </w:p>
              </w:tc>
              <w:tc>
                <w:tcPr>
                  <w:tcW w:w="913"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1030"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料场外购</w:t>
                  </w:r>
                </w:p>
              </w:tc>
              <w:tc>
                <w:tcPr>
                  <w:tcW w:w="1052"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渠道土方回填</w:t>
                  </w:r>
                </w:p>
              </w:tc>
              <w:tc>
                <w:tcPr>
                  <w:tcW w:w="1188" w:type="pct"/>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沿渠道边铺平</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firstLine="0" w:firstLineChars="0"/>
              <w:jc w:val="both"/>
              <w:textAlignment w:val="auto"/>
              <w:rPr>
                <w:rFonts w:hint="default"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1"/>
                <w:szCs w:val="21"/>
              </w:rPr>
              <w:t>施工方案</w:t>
            </w:r>
          </w:p>
        </w:tc>
        <w:tc>
          <w:tcPr>
            <w:tcW w:w="4754" w:type="pct"/>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82" w:firstLineChars="20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1</w:t>
            </w:r>
            <w:r>
              <w:rPr>
                <w:rFonts w:hint="eastAsia" w:ascii="Times New Roman" w:hAnsi="Times New Roman" w:eastAsia="宋体" w:cs="Times New Roman"/>
                <w:b/>
                <w:bCs/>
                <w:color w:val="auto"/>
                <w:kern w:val="0"/>
                <w:sz w:val="24"/>
                <w:szCs w:val="24"/>
                <w:lang w:val="en-US" w:eastAsia="zh-CN" w:bidi="ar-SA"/>
              </w:rPr>
              <w:t xml:space="preserve"> </w:t>
            </w:r>
            <w:r>
              <w:rPr>
                <w:rFonts w:hint="default" w:ascii="Times New Roman" w:hAnsi="Times New Roman" w:eastAsia="宋体" w:cs="Times New Roman"/>
                <w:b/>
                <w:bCs/>
                <w:color w:val="auto"/>
                <w:kern w:val="0"/>
                <w:sz w:val="24"/>
                <w:szCs w:val="24"/>
                <w:lang w:val="en-US" w:eastAsia="zh-CN" w:bidi="ar-SA"/>
              </w:rPr>
              <w:t>工艺流程</w:t>
            </w:r>
          </w:p>
          <w:p>
            <w:pPr>
              <w:pStyle w:val="51"/>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drawing>
                <wp:anchor distT="0" distB="0" distL="114300" distR="114300" simplePos="0" relativeHeight="251660288" behindDoc="0" locked="0" layoutInCell="1" allowOverlap="1">
                  <wp:simplePos x="0" y="0"/>
                  <wp:positionH relativeFrom="column">
                    <wp:posOffset>27305</wp:posOffset>
                  </wp:positionH>
                  <wp:positionV relativeFrom="paragraph">
                    <wp:posOffset>3175</wp:posOffset>
                  </wp:positionV>
                  <wp:extent cx="5041900" cy="1464945"/>
                  <wp:effectExtent l="0" t="0" r="0" b="0"/>
                  <wp:wrapTopAndBottom/>
                  <wp:docPr id="7" name="ECB019B1-382A-4266-B25C-5B523AA43C14-1" descr="C:/Users/Administrator/AppData/Local/Temp/wps.mIyZx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1" descr="C:/Users/Administrator/AppData/Local/Temp/wps.mIyZxEwps"/>
                          <pic:cNvPicPr>
                            <a:picLocks noChangeAspect="1"/>
                          </pic:cNvPicPr>
                        </pic:nvPicPr>
                        <pic:blipFill>
                          <a:blip r:embed="rId9"/>
                          <a:srcRect t="9121" b="7383"/>
                          <a:stretch>
                            <a:fillRect/>
                          </a:stretch>
                        </pic:blipFill>
                        <pic:spPr>
                          <a:xfrm>
                            <a:off x="0" y="0"/>
                            <a:ext cx="5041900" cy="1464945"/>
                          </a:xfrm>
                          <a:prstGeom prst="rect">
                            <a:avLst/>
                          </a:prstGeom>
                        </pic:spPr>
                      </pic:pic>
                    </a:graphicData>
                  </a:graphic>
                </wp:anchor>
              </w:drawing>
            </w:r>
            <w:r>
              <w:rPr>
                <w:rFonts w:hint="default" w:ascii="Times New Roman" w:hAnsi="Times New Roman" w:eastAsia="宋体" w:cs="Times New Roman"/>
                <w:b/>
                <w:bCs/>
                <w:color w:val="auto"/>
                <w:sz w:val="24"/>
                <w:szCs w:val="24"/>
                <w:highlight w:val="none"/>
                <w:lang w:val="en-US" w:eastAsia="zh-CN"/>
              </w:rPr>
              <w:t>图</w:t>
            </w:r>
            <w:r>
              <w:rPr>
                <w:rFonts w:hint="eastAsia" w:cs="Times New Roman"/>
                <w:b/>
                <w:bCs/>
                <w:color w:val="auto"/>
                <w:sz w:val="24"/>
                <w:szCs w:val="24"/>
                <w:highlight w:val="none"/>
                <w:lang w:val="en-US" w:eastAsia="zh-CN"/>
              </w:rPr>
              <w:t xml:space="preserve">2-2 </w:t>
            </w:r>
            <w:r>
              <w:rPr>
                <w:rFonts w:hint="default" w:ascii="Times New Roman" w:hAnsi="Times New Roman" w:eastAsia="宋体" w:cs="Times New Roman"/>
                <w:b/>
                <w:bCs/>
                <w:color w:val="auto"/>
                <w:sz w:val="24"/>
                <w:szCs w:val="24"/>
                <w:highlight w:val="none"/>
                <w:lang w:val="en-US" w:eastAsia="zh-CN"/>
              </w:rPr>
              <w:t xml:space="preserve"> 施工工艺流程图</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1.1渠道施工</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清基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施工前，放出清基边线，并做出明显标识</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再</w:t>
            </w:r>
            <w:r>
              <w:rPr>
                <w:rFonts w:hint="default" w:ascii="Times New Roman" w:hAnsi="Times New Roman" w:eastAsia="宋体" w:cs="Times New Roman"/>
                <w:color w:val="auto"/>
                <w:sz w:val="24"/>
                <w:szCs w:val="24"/>
                <w:highlight w:val="none"/>
              </w:rPr>
              <w:t>用推土机将清基土从渠中心向左右侧推送</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堆存于临时堆土区</w:t>
            </w:r>
            <w:r>
              <w:rPr>
                <w:rFonts w:hint="default" w:ascii="Times New Roman" w:hAnsi="Times New Roman" w:eastAsia="宋体" w:cs="Times New Roman"/>
                <w:color w:val="auto"/>
                <w:sz w:val="24"/>
                <w:szCs w:val="24"/>
                <w:highlight w:val="none"/>
              </w:rPr>
              <w:t>，清基厚度为30cm。渠基开挖中清除的弃土、废物、废料等，运到</w:t>
            </w:r>
            <w:r>
              <w:rPr>
                <w:rFonts w:hint="default" w:ascii="Times New Roman" w:hAnsi="Times New Roman" w:eastAsia="宋体" w:cs="Times New Roman"/>
                <w:color w:val="auto"/>
                <w:sz w:val="24"/>
                <w:szCs w:val="24"/>
                <w:highlight w:val="none"/>
                <w:lang w:val="en-US" w:eastAsia="zh-CN"/>
              </w:rPr>
              <w:t>临时堆渣区</w:t>
            </w:r>
            <w:r>
              <w:rPr>
                <w:rFonts w:hint="default" w:ascii="Times New Roman" w:hAnsi="Times New Roman" w:eastAsia="宋体" w:cs="Times New Roman"/>
                <w:color w:val="auto"/>
                <w:sz w:val="24"/>
                <w:szCs w:val="24"/>
                <w:highlight w:val="none"/>
              </w:rPr>
              <w:t>堆放。</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开挖</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采用挖掘机进行，推土机配合。挖出的土可直接用于填筑渠堤，渠堤填筑严格按施工规范进行。挖出多余土方堆放在渠道外坡脚外，并用推土机推平，并用机械进行碾压，不足土方从土料场调运。</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填筑施工</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土</w:t>
            </w:r>
            <w:r>
              <w:rPr>
                <w:rFonts w:hint="default" w:ascii="Times New Roman" w:hAnsi="Times New Roman" w:eastAsia="宋体" w:cs="Times New Roman"/>
                <w:color w:val="auto"/>
                <w:sz w:val="24"/>
                <w:szCs w:val="24"/>
                <w:highlight w:val="none"/>
              </w:rPr>
              <w:t>方填筑程序依次为渠堤高程引测、宽度控制、渠堤分层填筑</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洒水碾压、压实度试验、土堤削坡、成型，填筑土方应采用振动碾压实，渠堤削坡采取人工施工回填土分层碾压，一次碾压厚度不宜超过30cm，粘性土压实度</w:t>
            </w:r>
            <w:r>
              <w:rPr>
                <w:rFonts w:hint="eastAsia" w:cs="Times New Roman"/>
                <w:color w:val="auto"/>
                <w:sz w:val="24"/>
                <w:szCs w:val="24"/>
                <w:highlight w:val="none"/>
                <w:lang w:val="en-US" w:eastAsia="zh-CN"/>
              </w:rPr>
              <w:t>不小于</w:t>
            </w:r>
            <w:r>
              <w:rPr>
                <w:rFonts w:hint="default" w:ascii="Times New Roman" w:hAnsi="Times New Roman" w:eastAsia="宋体" w:cs="Times New Roman"/>
                <w:color w:val="auto"/>
                <w:sz w:val="24"/>
                <w:szCs w:val="24"/>
                <w:highlight w:val="none"/>
              </w:rPr>
              <w:t>0.9，非粘性土相对密度</w:t>
            </w:r>
            <w:r>
              <w:rPr>
                <w:rFonts w:hint="eastAsia" w:cs="Times New Roman"/>
                <w:color w:val="auto"/>
                <w:sz w:val="24"/>
                <w:szCs w:val="24"/>
                <w:highlight w:val="none"/>
                <w:lang w:val="en-US" w:eastAsia="zh-CN"/>
              </w:rPr>
              <w:t>不小于</w:t>
            </w:r>
            <w:r>
              <w:rPr>
                <w:rFonts w:hint="default" w:ascii="Times New Roman" w:hAnsi="Times New Roman" w:eastAsia="宋体" w:cs="Times New Roman"/>
                <w:color w:val="auto"/>
                <w:sz w:val="24"/>
                <w:szCs w:val="24"/>
                <w:highlight w:val="none"/>
              </w:rPr>
              <w:t>0.7。碾压方法按进退错距法压实，相邻两段交接带碾压搭接长度，顺碾压方向不小于0.3m，垂直碾压方向搭接长度不小于1.5m，碾压遍数由试验而定。每段渠堤自身在回填碾压过程中留纵横向接</w:t>
            </w:r>
            <w:r>
              <w:rPr>
                <w:rFonts w:hint="eastAsia" w:ascii="Times New Roman" w:hAnsi="Times New Roman" w:eastAsia="宋体" w:cs="Times New Roman"/>
                <w:color w:val="auto"/>
                <w:sz w:val="24"/>
                <w:szCs w:val="24"/>
                <w:highlight w:val="none"/>
                <w:lang w:eastAsia="zh-CN"/>
              </w:rPr>
              <w:t>搓</w:t>
            </w:r>
            <w:r>
              <w:rPr>
                <w:rFonts w:hint="default" w:ascii="Times New Roman" w:hAnsi="Times New Roman" w:eastAsia="宋体" w:cs="Times New Roman"/>
                <w:color w:val="auto"/>
                <w:sz w:val="24"/>
                <w:szCs w:val="24"/>
                <w:highlight w:val="none"/>
              </w:rPr>
              <w:t>，渠堤的洒水量要严格控制，如超含水量要进行土料翻晒，含水量不足要及时洒水，再进行碾压，禁止出现欠压和过压现象。</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砂砾石垫层料施工</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考虑冻胀及腐蚀性等问题，需用砂砾石进行换填，用自卸汽车将换填砂砾石运至施工现场，在人工的协助下将砂砾石按设计要求铺设在渠床上，采用振动碾进行碾压，使其相对密度</w:t>
            </w:r>
            <w:r>
              <w:rPr>
                <w:rFonts w:hint="eastAsia" w:cs="Times New Roman"/>
                <w:color w:val="auto"/>
                <w:sz w:val="24"/>
                <w:szCs w:val="24"/>
                <w:highlight w:val="none"/>
                <w:lang w:val="en-US" w:eastAsia="zh-CN"/>
              </w:rPr>
              <w:t>不小于</w:t>
            </w:r>
            <w:r>
              <w:rPr>
                <w:rFonts w:hint="default" w:ascii="Times New Roman" w:hAnsi="Times New Roman" w:eastAsia="宋体" w:cs="Times New Roman"/>
                <w:color w:val="auto"/>
                <w:sz w:val="24"/>
                <w:szCs w:val="24"/>
                <w:highlight w:val="none"/>
              </w:rPr>
              <w:t>0.70。</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预制混凝土U形槽施工</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U型预制渠道每节设伸缩缝，上部用2cm厚聚氨酯密封胶闭缝，下部采用高压闭孔塑料板嵌缝，高压闭孔板密度为120kg/m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，聚氨酯密度为大于等于1.4g/cm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1.2渠系构筑物施工</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基础开挖</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采用挖掘机开挖，挖掘机直接挖料到基坑外，设计开挖边坡均为1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1.5。因</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的基础开挖轴线要准确无误，应进行复查后进行开挖，采用机械挖至设计高程的+10cm时，人工清理剩余土方。</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立模板</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地基处理后，先用素</w:t>
            </w:r>
            <w:r>
              <w:rPr>
                <w:rFonts w:hint="default" w:ascii="Times New Roman" w:hAnsi="Times New Roman" w:eastAsia="宋体" w:cs="Times New Roman"/>
                <w:color w:val="auto"/>
                <w:sz w:val="24"/>
                <w:szCs w:val="24"/>
                <w:highlight w:val="none"/>
                <w:lang w:val="en-US" w:eastAsia="zh-CN"/>
              </w:rPr>
              <w:t>砼</w:t>
            </w:r>
            <w:r>
              <w:rPr>
                <w:rFonts w:hint="default" w:ascii="Times New Roman" w:hAnsi="Times New Roman" w:eastAsia="宋体" w:cs="Times New Roman"/>
                <w:color w:val="auto"/>
                <w:sz w:val="24"/>
                <w:szCs w:val="24"/>
                <w:highlight w:val="none"/>
              </w:rPr>
              <w:t>铺一层8</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10cm垫层，以保护地基，找平地面后立模板。模板应尽量采用定型组合模板，钢模板的支撑固定采用</w:t>
            </w:r>
            <w:r>
              <w:rPr>
                <w:rFonts w:hint="eastAsia" w:cs="Times New Roman"/>
                <w:color w:val="auto"/>
                <w:sz w:val="24"/>
                <w:szCs w:val="24"/>
                <w:highlight w:val="none"/>
                <w:lang w:eastAsia="zh-CN"/>
              </w:rPr>
              <w:t>“U”形</w:t>
            </w:r>
            <w:r>
              <w:rPr>
                <w:rFonts w:hint="default" w:ascii="Times New Roman" w:hAnsi="Times New Roman" w:eastAsia="宋体" w:cs="Times New Roman"/>
                <w:color w:val="auto"/>
                <w:sz w:val="24"/>
                <w:szCs w:val="24"/>
                <w:highlight w:val="none"/>
              </w:rPr>
              <w:t>卡，勾头螺丝杆，加固采用钢管支撑。管卡内撑进行</w:t>
            </w:r>
            <w:r>
              <w:rPr>
                <w:rFonts w:hint="eastAsia" w:cs="Times New Roman"/>
                <w:color w:val="auto"/>
                <w:sz w:val="24"/>
                <w:szCs w:val="24"/>
                <w:highlight w:val="none"/>
                <w:lang w:eastAsia="zh-CN"/>
              </w:rPr>
              <w:t>刚性连接</w:t>
            </w:r>
            <w:r>
              <w:rPr>
                <w:rFonts w:hint="default" w:ascii="Times New Roman" w:hAnsi="Times New Roman" w:eastAsia="宋体" w:cs="Times New Roman"/>
                <w:color w:val="auto"/>
                <w:sz w:val="24"/>
                <w:szCs w:val="24"/>
                <w:highlight w:val="none"/>
              </w:rPr>
              <w:t>，以确保浇筑</w:t>
            </w:r>
            <w:r>
              <w:rPr>
                <w:rFonts w:hint="eastAsia" w:ascii="Times New Roman" w:hAnsi="Times New Roman" w:eastAsia="宋体" w:cs="Times New Roman"/>
                <w:color w:val="auto"/>
                <w:sz w:val="24"/>
                <w:szCs w:val="24"/>
                <w:highlight w:val="none"/>
                <w:lang w:eastAsia="zh-CN"/>
              </w:rPr>
              <w:t>基础</w:t>
            </w:r>
            <w:r>
              <w:rPr>
                <w:rFonts w:hint="default" w:ascii="Times New Roman" w:hAnsi="Times New Roman" w:eastAsia="宋体" w:cs="Times New Roman"/>
                <w:color w:val="auto"/>
                <w:sz w:val="24"/>
                <w:szCs w:val="24"/>
                <w:highlight w:val="none"/>
              </w:rPr>
              <w:t>的过程中模板不变形，保证结构的浇筑尺寸，模板误差要小于验评标准要求。</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砼</w:t>
            </w:r>
            <w:r>
              <w:rPr>
                <w:rFonts w:hint="default" w:ascii="Times New Roman" w:hAnsi="Times New Roman" w:eastAsia="宋体" w:cs="Times New Roman"/>
                <w:color w:val="auto"/>
                <w:sz w:val="24"/>
                <w:szCs w:val="24"/>
                <w:highlight w:val="none"/>
              </w:rPr>
              <w:t>浇筑</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项目购买成品混凝土</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浇筑混凝土时边浇筑边采用平板振捣器进行振捣</w:t>
            </w:r>
            <w:r>
              <w:rPr>
                <w:rFonts w:hint="default" w:ascii="Times New Roman" w:hAnsi="Times New Roman" w:eastAsia="宋体" w:cs="Times New Roman"/>
                <w:color w:val="auto"/>
                <w:sz w:val="24"/>
                <w:szCs w:val="24"/>
                <w:highlight w:val="none"/>
              </w:rPr>
              <w:t>，洒水养护到规范规定的天数，使</w:t>
            </w:r>
            <w:r>
              <w:rPr>
                <w:rFonts w:hint="eastAsia" w:ascii="Times New Roman" w:hAnsi="Times New Roman" w:eastAsia="宋体" w:cs="Times New Roman"/>
                <w:color w:val="auto"/>
                <w:sz w:val="24"/>
                <w:szCs w:val="24"/>
                <w:highlight w:val="none"/>
                <w:lang w:eastAsia="zh-CN"/>
              </w:rPr>
              <w:t>基础</w:t>
            </w:r>
            <w:r>
              <w:rPr>
                <w:rFonts w:hint="default" w:ascii="Times New Roman" w:hAnsi="Times New Roman" w:eastAsia="宋体" w:cs="Times New Roman"/>
                <w:color w:val="auto"/>
                <w:sz w:val="24"/>
                <w:szCs w:val="24"/>
                <w:highlight w:val="none"/>
              </w:rPr>
              <w:t>强度达到设计要求。</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回填</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当成品混凝土干燥</w:t>
            </w:r>
            <w:r>
              <w:rPr>
                <w:rFonts w:hint="default" w:ascii="Times New Roman" w:hAnsi="Times New Roman" w:eastAsia="宋体" w:cs="Times New Roman"/>
                <w:color w:val="auto"/>
                <w:sz w:val="24"/>
                <w:szCs w:val="24"/>
                <w:highlight w:val="none"/>
              </w:rPr>
              <w:t>后</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进行</w:t>
            </w:r>
            <w:r>
              <w:rPr>
                <w:rFonts w:hint="default" w:ascii="Times New Roman" w:hAnsi="Times New Roman" w:eastAsia="宋体" w:cs="Times New Roman"/>
                <w:color w:val="auto"/>
                <w:sz w:val="24"/>
                <w:szCs w:val="24"/>
                <w:highlight w:val="none"/>
              </w:rPr>
              <w:t>脱模，人工回填夯实基础土方。最后安装金属结构和机械设备并调试启闭运行。</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渠系</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施工要求较高，施工应严格按照设计要求和有关规范施工。渠道的施工不存在影响灌溉的因素，因此渠系</w:t>
            </w:r>
            <w:r>
              <w:rPr>
                <w:rFonts w:hint="eastAsia" w:cs="Times New Roman"/>
                <w:color w:val="auto"/>
                <w:sz w:val="24"/>
                <w:szCs w:val="24"/>
                <w:highlight w:val="none"/>
                <w:lang w:eastAsia="zh-CN"/>
              </w:rPr>
              <w:t>构筑物</w:t>
            </w:r>
            <w:r>
              <w:rPr>
                <w:rFonts w:hint="default" w:ascii="Times New Roman" w:hAnsi="Times New Roman" w:eastAsia="宋体" w:cs="Times New Roman"/>
                <w:color w:val="auto"/>
                <w:sz w:val="24"/>
                <w:szCs w:val="24"/>
                <w:highlight w:val="none"/>
              </w:rPr>
              <w:t>的施工可以与渠道工程同期施工。</w:t>
            </w:r>
          </w:p>
          <w:p>
            <w:pPr>
              <w:pStyle w:val="51"/>
              <w:keepNext w:val="0"/>
              <w:keepLines w:val="0"/>
              <w:suppressLineNumbers w:val="0"/>
              <w:spacing w:before="0" w:beforeAutospacing="0" w:after="0" w:afterAutospacing="0"/>
              <w:ind w:left="0" w:right="0" w:firstLine="56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机电设备及金属安装工程施工</w:t>
            </w:r>
          </w:p>
          <w:p>
            <w:pPr>
              <w:pStyle w:val="51"/>
              <w:keepNext w:val="0"/>
              <w:keepLines w:val="0"/>
              <w:suppressLineNumbers w:val="0"/>
              <w:spacing w:before="0" w:beforeAutospacing="0" w:after="0" w:afterAutospacing="0"/>
              <w:ind w:left="0" w:right="0"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本工程是渠道工程，机电设备及金属结构比较单一，主要是渠道闸门和启闭机，水闸沿渠线分布</w:t>
            </w:r>
            <w:r>
              <w:rPr>
                <w:rFonts w:hint="default" w:ascii="Times New Roman" w:hAnsi="Times New Roman" w:eastAsia="宋体" w:cs="Times New Roman"/>
                <w:color w:val="auto"/>
                <w:sz w:val="24"/>
                <w:szCs w:val="24"/>
                <w:highlight w:val="none"/>
                <w:lang w:eastAsia="zh-CN"/>
              </w:rPr>
              <w:t>。</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2</w:t>
            </w:r>
            <w:r>
              <w:rPr>
                <w:rFonts w:hint="default"/>
                <w:lang w:val="en-US" w:eastAsia="zh-CN"/>
              </w:rPr>
              <w:t xml:space="preserve"> 施工时序及建设周期</w:t>
            </w:r>
          </w:p>
          <w:p>
            <w:pPr>
              <w:pStyle w:val="51"/>
              <w:keepNext w:val="0"/>
              <w:keepLines w:val="0"/>
              <w:suppressLineNumbers w:val="0"/>
              <w:spacing w:before="0" w:beforeAutospacing="0" w:after="0" w:afterAutospacing="0"/>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本工程于2026年</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月开工，并于2026年8月建设完毕，建设期</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1" w:hRule="atLeast"/>
        </w:trPr>
        <w:tc>
          <w:tcPr>
            <w:tcW w:w="245" w:type="pct"/>
            <w:vAlign w:val="center"/>
          </w:tcPr>
          <w:p>
            <w:pPr>
              <w:pStyle w:val="6"/>
              <w:suppressLineNumbers w:val="0"/>
              <w:bidi w:val="0"/>
              <w:spacing w:before="0" w:beforeAutospacing="0" w:after="0" w:afterAutospacing="0"/>
              <w:ind w:left="0" w:right="0" w:firstLine="0" w:firstLineChars="0"/>
              <w:jc w:val="center"/>
              <w:rPr>
                <w:rFonts w:hint="default" w:ascii="宋体" w:hAnsi="宋体" w:eastAsia="宋体" w:cs="宋体"/>
                <w:color w:val="auto"/>
                <w:kern w:val="0"/>
                <w:sz w:val="21"/>
                <w:szCs w:val="24"/>
                <w:lang w:val="en-US" w:eastAsia="zh-CN" w:bidi="ar-SA"/>
              </w:rPr>
            </w:pPr>
            <w:r>
              <w:rPr>
                <w:rFonts w:hint="eastAsia"/>
              </w:rPr>
              <w:t>其他</w:t>
            </w:r>
          </w:p>
        </w:tc>
        <w:tc>
          <w:tcPr>
            <w:tcW w:w="475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无</w:t>
            </w:r>
          </w:p>
        </w:tc>
      </w:tr>
    </w:tbl>
    <w:p>
      <w:pPr>
        <w:pStyle w:val="19"/>
        <w:jc w:val="center"/>
        <w:outlineLvl w:val="0"/>
        <w:rPr>
          <w:rFonts w:ascii="黑体" w:hAnsi="黑体" w:eastAsia="黑体"/>
          <w:snapToGrid w:val="0"/>
          <w:color w:val="auto"/>
          <w:sz w:val="30"/>
          <w:szCs w:val="30"/>
        </w:rPr>
      </w:pPr>
      <w:r>
        <w:rPr>
          <w:rFonts w:eastAsia="仿宋_GB2312"/>
          <w:b/>
          <w:bCs/>
          <w:color w:val="auto"/>
        </w:rPr>
        <w:br w:type="page"/>
      </w:r>
      <w:r>
        <w:rPr>
          <w:rFonts w:hint="eastAsia" w:ascii="黑体" w:hAnsi="黑体" w:eastAsia="黑体"/>
          <w:snapToGrid w:val="0"/>
          <w:color w:val="auto"/>
          <w:sz w:val="30"/>
          <w:szCs w:val="30"/>
        </w:rPr>
        <w:t>三、生态环境现状、保护目标及评价标准</w:t>
      </w:r>
    </w:p>
    <w:tbl>
      <w:tblPr>
        <w:tblStyle w:val="21"/>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0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cs="宋体"/>
                <w:color w:val="auto"/>
                <w:kern w:val="0"/>
                <w:szCs w:val="21"/>
              </w:rPr>
            </w:pPr>
            <w:r>
              <w:rPr>
                <w:rFonts w:hint="eastAsia" w:ascii="宋体" w:hAnsi="宋体" w:cs="宋体"/>
                <w:color w:val="auto"/>
                <w:kern w:val="0"/>
                <w:sz w:val="21"/>
                <w:szCs w:val="21"/>
              </w:rPr>
              <w:t>生态环境现状</w:t>
            </w:r>
          </w:p>
        </w:tc>
        <w:tc>
          <w:tcPr>
            <w:tcW w:w="82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1 </w:t>
            </w:r>
            <w:r>
              <w:rPr>
                <w:rFonts w:hint="eastAsia" w:ascii="宋体" w:hAnsi="宋体" w:eastAsia="宋体" w:cs="宋体"/>
                <w:b/>
                <w:bCs/>
                <w:color w:val="auto"/>
                <w:kern w:val="0"/>
                <w:sz w:val="24"/>
                <w:szCs w:val="24"/>
              </w:rPr>
              <w:t>主体功能区划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w:t>
            </w:r>
            <w:r>
              <w:rPr>
                <w:rFonts w:hint="eastAsia" w:ascii="Times New Roman" w:hAnsi="Times New Roman" w:eastAsia="宋体" w:cs="Times New Roman"/>
                <w:color w:val="auto"/>
                <w:sz w:val="24"/>
                <w:szCs w:val="24"/>
              </w:rPr>
              <w:t>《新疆维吾尔自治区主体功能区规划》</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评价区属</w:t>
            </w:r>
            <w:r>
              <w:rPr>
                <w:rFonts w:hint="eastAsia" w:ascii="Times New Roman" w:hAnsi="Times New Roman" w:eastAsia="宋体" w:cs="Times New Roman"/>
                <w:color w:val="auto"/>
                <w:sz w:val="24"/>
                <w:szCs w:val="24"/>
                <w:lang w:val="en-US" w:eastAsia="zh-CN"/>
              </w:rPr>
              <w:t>“阿尔金草原荒漠化防治生态功能区”</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该功能区发展方向见下表。</w:t>
            </w:r>
          </w:p>
          <w:p>
            <w:pPr>
              <w:pStyle w:val="5"/>
              <w:suppressLineNumbers w:val="0"/>
              <w:bidi w:val="0"/>
              <w:spacing w:before="0" w:after="0"/>
              <w:ind w:left="0" w:right="0"/>
              <w:rPr>
                <w:rFonts w:hint="eastAsia"/>
                <w:lang w:val="en-US" w:eastAsia="zh-CN"/>
              </w:rPr>
            </w:pPr>
            <w:r>
              <w:rPr>
                <w:rFonts w:hint="eastAsia"/>
                <w:lang w:val="en-US" w:eastAsia="zh-CN"/>
              </w:rPr>
              <w:t>表3-1  新疆重点生态功能区的类型和发展方向</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084"/>
              <w:gridCol w:w="3767"/>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868" w:type="pct"/>
                  <w:noWrap w:val="0"/>
                  <w:vAlign w:val="center"/>
                </w:tcPr>
                <w:p>
                  <w:pPr>
                    <w:pStyle w:val="6"/>
                    <w:suppressLineNumbers w:val="0"/>
                    <w:bidi w:val="0"/>
                    <w:spacing w:before="0" w:beforeAutospacing="0" w:after="0" w:afterAutospacing="0"/>
                    <w:ind w:left="0" w:right="0"/>
                    <w:rPr>
                      <w:rFonts w:hint="eastAsia"/>
                      <w:lang w:eastAsia="zh-CN"/>
                    </w:rPr>
                  </w:pPr>
                  <w:r>
                    <w:rPr>
                      <w:rFonts w:hint="eastAsia"/>
                      <w:lang w:eastAsia="zh-CN"/>
                    </w:rPr>
                    <w:t>名称</w:t>
                  </w:r>
                </w:p>
              </w:tc>
              <w:tc>
                <w:tcPr>
                  <w:tcW w:w="675" w:type="pct"/>
                  <w:noWrap w:val="0"/>
                  <w:vAlign w:val="center"/>
                </w:tcPr>
                <w:p>
                  <w:pPr>
                    <w:pStyle w:val="6"/>
                    <w:suppressLineNumbers w:val="0"/>
                    <w:bidi w:val="0"/>
                    <w:spacing w:before="0" w:beforeAutospacing="0" w:after="0" w:afterAutospacing="0"/>
                    <w:ind w:left="0" w:right="0"/>
                    <w:rPr>
                      <w:rFonts w:hint="eastAsia"/>
                      <w:lang w:eastAsia="zh-CN"/>
                    </w:rPr>
                  </w:pPr>
                  <w:r>
                    <w:rPr>
                      <w:rFonts w:hint="eastAsia"/>
                      <w:lang w:eastAsia="zh-CN"/>
                    </w:rPr>
                    <w:t>类型</w:t>
                  </w:r>
                </w:p>
              </w:tc>
              <w:tc>
                <w:tcPr>
                  <w:tcW w:w="2347" w:type="pct"/>
                  <w:noWrap w:val="0"/>
                  <w:vAlign w:val="center"/>
                </w:tcPr>
                <w:p>
                  <w:pPr>
                    <w:pStyle w:val="6"/>
                    <w:suppressLineNumbers w:val="0"/>
                    <w:bidi w:val="0"/>
                    <w:spacing w:before="0" w:beforeAutospacing="0" w:after="0" w:afterAutospacing="0"/>
                    <w:ind w:left="0" w:right="0"/>
                    <w:rPr>
                      <w:rFonts w:hint="eastAsia"/>
                      <w:lang w:eastAsia="zh-CN"/>
                    </w:rPr>
                  </w:pPr>
                  <w:r>
                    <w:rPr>
                      <w:rFonts w:hint="eastAsia"/>
                      <w:lang w:eastAsia="zh-CN"/>
                    </w:rPr>
                    <w:t>综合评价</w:t>
                  </w:r>
                </w:p>
              </w:tc>
              <w:tc>
                <w:tcPr>
                  <w:tcW w:w="1109" w:type="pct"/>
                  <w:noWrap w:val="0"/>
                  <w:vAlign w:val="center"/>
                </w:tcPr>
                <w:p>
                  <w:pPr>
                    <w:pStyle w:val="6"/>
                    <w:suppressLineNumbers w:val="0"/>
                    <w:bidi w:val="0"/>
                    <w:spacing w:before="0" w:beforeAutospacing="0" w:after="0" w:afterAutospacing="0"/>
                    <w:ind w:left="0" w:right="0"/>
                    <w:rPr>
                      <w:rFonts w:hint="eastAsia"/>
                      <w:lang w:eastAsia="zh-CN"/>
                    </w:rPr>
                  </w:pPr>
                  <w:r>
                    <w:rPr>
                      <w:rFonts w:hint="eastAsia"/>
                      <w:lang w:eastAsia="zh-CN"/>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68"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阿尔金草原荒漠化防治生态功能区</w:t>
                  </w:r>
                </w:p>
              </w:tc>
              <w:tc>
                <w:tcPr>
                  <w:tcW w:w="675"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防风固沙</w:t>
                  </w:r>
                </w:p>
              </w:tc>
              <w:tc>
                <w:tcPr>
                  <w:tcW w:w="2347"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气候极为干旱，地表植被稀少，保存着完整的高原自然生态系统，拥有许多极为珍贵的特有物种，土地沙漠化敏感程度极高。目前鼠害肆虐，土地荒漠化加剧，珍稀动植物的生存受到威胁。</w:t>
                  </w:r>
                </w:p>
              </w:tc>
              <w:tc>
                <w:tcPr>
                  <w:tcW w:w="1109"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控制放牧和旅游区范围，防范盗猎，减少人类活动干扰。</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rPr>
                <w:rFonts w:hint="eastAsia"/>
                <w:color w:val="auto"/>
                <w:sz w:val="24"/>
                <w:szCs w:val="24"/>
                <w:lang w:val="en-US" w:eastAsia="zh-CN"/>
              </w:rPr>
            </w:pPr>
            <w:r>
              <w:rPr>
                <w:rFonts w:hint="eastAsia"/>
                <w:color w:val="auto"/>
                <w:sz w:val="24"/>
                <w:szCs w:val="24"/>
              </w:rPr>
              <w:t>本项目属于防渗渠节水改造项目，项目所在区域不在生态</w:t>
            </w:r>
            <w:r>
              <w:rPr>
                <w:rFonts w:hint="eastAsia"/>
                <w:color w:val="auto"/>
                <w:sz w:val="24"/>
                <w:szCs w:val="24"/>
                <w:lang w:eastAsia="zh-CN"/>
              </w:rPr>
              <w:t>保护</w:t>
            </w:r>
            <w:r>
              <w:rPr>
                <w:rFonts w:hint="eastAsia"/>
                <w:color w:val="auto"/>
                <w:sz w:val="24"/>
                <w:szCs w:val="24"/>
              </w:rPr>
              <w:t>红线内</w:t>
            </w:r>
            <w:r>
              <w:rPr>
                <w:rFonts w:hint="eastAsia"/>
                <w:color w:val="auto"/>
                <w:sz w:val="24"/>
                <w:szCs w:val="24"/>
                <w:lang w:val="en-US" w:eastAsia="zh-CN"/>
              </w:rPr>
              <w:t>，</w:t>
            </w:r>
            <w:r>
              <w:rPr>
                <w:rFonts w:hint="eastAsia"/>
                <w:color w:val="auto"/>
                <w:sz w:val="24"/>
                <w:szCs w:val="24"/>
                <w:lang w:eastAsia="zh-CN"/>
              </w:rPr>
              <w:t>本</w:t>
            </w:r>
            <w:r>
              <w:rPr>
                <w:rFonts w:hint="eastAsia"/>
                <w:color w:val="auto"/>
                <w:sz w:val="24"/>
                <w:szCs w:val="24"/>
              </w:rPr>
              <w:t>环评已提出尽量少占用土地及施工后的生态恢复相关要求，同时要求建设单位需对开发活动严格控制，尽可能减少对生态系统的干扰；在项目实施过程中积极采取生态保护措施，加强对生态系统保护和恢复</w:t>
            </w:r>
            <w:r>
              <w:rPr>
                <w:rFonts w:hint="eastAsia"/>
                <w:color w:val="auto"/>
                <w:sz w:val="24"/>
                <w:szCs w:val="24"/>
                <w:lang w:eastAsia="zh-CN"/>
              </w:rPr>
              <w:t>，</w:t>
            </w:r>
            <w:r>
              <w:rPr>
                <w:rFonts w:hint="eastAsia"/>
                <w:color w:val="auto"/>
                <w:sz w:val="24"/>
                <w:szCs w:val="24"/>
              </w:rPr>
              <w:t>保护地貌，维护自然生态环境，积极落实本环评提出的各项生态环境保护措施</w:t>
            </w:r>
            <w:r>
              <w:rPr>
                <w:rFonts w:hint="eastAsia"/>
                <w:color w:val="auto"/>
                <w:sz w:val="24"/>
                <w:szCs w:val="24"/>
                <w:lang w:val="en-US"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firstLine="480" w:firstLineChars="200"/>
              <w:rPr>
                <w:rFonts w:hint="eastAsia"/>
                <w:color w:val="auto"/>
                <w:sz w:val="24"/>
                <w:szCs w:val="24"/>
                <w:highlight w:val="none"/>
              </w:rPr>
            </w:pPr>
            <w:r>
              <w:rPr>
                <w:rFonts w:hint="eastAsia"/>
                <w:color w:val="auto"/>
                <w:sz w:val="24"/>
                <w:szCs w:val="24"/>
                <w:lang w:val="en-US" w:eastAsia="zh-CN"/>
              </w:rPr>
              <w:t>综上</w:t>
            </w:r>
            <w:r>
              <w:rPr>
                <w:rFonts w:hint="eastAsia"/>
                <w:color w:val="auto"/>
                <w:sz w:val="24"/>
                <w:szCs w:val="24"/>
              </w:rPr>
              <w:t>，本项目</w:t>
            </w:r>
            <w:r>
              <w:rPr>
                <w:rFonts w:hint="eastAsia"/>
                <w:color w:val="auto"/>
                <w:sz w:val="24"/>
                <w:szCs w:val="24"/>
                <w:lang w:val="en-US" w:eastAsia="zh-CN"/>
              </w:rPr>
              <w:t>的</w:t>
            </w:r>
            <w:r>
              <w:rPr>
                <w:rFonts w:hint="eastAsia"/>
                <w:color w:val="auto"/>
                <w:sz w:val="24"/>
                <w:szCs w:val="24"/>
              </w:rPr>
              <w:t>建设符合《新疆维吾尔自治区主体功能区规划》</w:t>
            </w:r>
            <w:r>
              <w:rPr>
                <w:rFonts w:hint="eastAsia"/>
                <w:color w:val="auto"/>
                <w:sz w:val="24"/>
                <w:szCs w:val="24"/>
                <w:lang w:eastAsia="zh-CN"/>
              </w:rPr>
              <w:t>对</w:t>
            </w:r>
            <w:r>
              <w:rPr>
                <w:rFonts w:hint="eastAsia"/>
                <w:color w:val="auto"/>
                <w:sz w:val="24"/>
                <w:szCs w:val="24"/>
              </w:rPr>
              <w:t>工程区块的开发原则，与区域生态功能的保护是协调的。</w:t>
            </w:r>
            <w:r>
              <w:rPr>
                <w:rFonts w:hint="eastAsia"/>
                <w:color w:val="auto"/>
                <w:sz w:val="24"/>
                <w:szCs w:val="24"/>
                <w:highlight w:val="none"/>
              </w:rPr>
              <w:t>项目在“新疆主体功能区规划”中的位置见附图</w:t>
            </w:r>
            <w:r>
              <w:rPr>
                <w:rFonts w:hint="eastAsia"/>
                <w:color w:val="auto"/>
                <w:sz w:val="24"/>
                <w:szCs w:val="24"/>
                <w:highlight w:val="none"/>
                <w:lang w:val="en-US" w:eastAsia="zh-CN"/>
              </w:rPr>
              <w:t>9</w:t>
            </w:r>
            <w:r>
              <w:rPr>
                <w:rFonts w:hint="eastAsia"/>
                <w:color w:val="auto"/>
                <w:sz w:val="24"/>
                <w:szCs w:val="24"/>
                <w:highlight w:val="none"/>
              </w:rPr>
              <w:t>。</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2 </w:t>
            </w:r>
            <w:r>
              <w:rPr>
                <w:rFonts w:hint="eastAsia" w:ascii="宋体" w:hAnsi="宋体" w:eastAsia="宋体" w:cs="宋体"/>
                <w:b/>
                <w:bCs/>
                <w:color w:val="auto"/>
                <w:kern w:val="0"/>
                <w:sz w:val="24"/>
                <w:szCs w:val="24"/>
                <w:highlight w:val="none"/>
              </w:rPr>
              <w:t>生态功能区划状况</w:t>
            </w:r>
          </w:p>
          <w:p>
            <w:pPr>
              <w:keepNext w:val="0"/>
              <w:keepLines w:val="0"/>
              <w:suppressLineNumbers w:val="0"/>
              <w:bidi w:val="0"/>
              <w:spacing w:before="0" w:beforeAutospacing="0" w:after="0" w:afterAutospacing="0"/>
              <w:ind w:left="0" w:right="0"/>
              <w:rPr>
                <w:rFonts w:hint="eastAsia"/>
              </w:rPr>
            </w:pPr>
            <w:r>
              <w:rPr>
                <w:rFonts w:hint="eastAsia"/>
              </w:rPr>
              <w:t>根据《新疆生态功能区划》，项目所在区属“65．若羌绿洲沙漠化敏感生态功能区”，具体见下表。</w:t>
            </w:r>
            <w:r>
              <w:rPr>
                <w:rFonts w:hint="eastAsia"/>
                <w:highlight w:val="none"/>
              </w:rPr>
              <w:t>本项目在新疆生态功能区划中位置见附图</w:t>
            </w:r>
            <w:r>
              <w:rPr>
                <w:rFonts w:hint="eastAsia"/>
                <w:highlight w:val="none"/>
                <w:lang w:val="en-US" w:eastAsia="zh-CN"/>
              </w:rPr>
              <w:t>10</w:t>
            </w:r>
            <w:r>
              <w:rPr>
                <w:rFonts w:hint="eastAsia"/>
                <w:highlight w:val="none"/>
              </w:rPr>
              <w:t>。</w:t>
            </w:r>
          </w:p>
          <w:p>
            <w:pPr>
              <w:pStyle w:val="5"/>
              <w:suppressLineNumbers w:val="0"/>
              <w:bidi w:val="0"/>
              <w:spacing w:before="0" w:after="0"/>
              <w:ind w:left="0" w:right="0"/>
              <w:rPr>
                <w:rFonts w:hint="default"/>
                <w:lang w:val="en-US" w:eastAsia="zh-CN"/>
              </w:rPr>
            </w:pPr>
            <w:r>
              <w:rPr>
                <w:rFonts w:hint="eastAsia"/>
                <w:lang w:val="en-US" w:eastAsia="zh-CN"/>
              </w:rPr>
              <w:t>表3-2  新疆生态功能区划</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727"/>
              <w:gridCol w:w="854"/>
              <w:gridCol w:w="809"/>
              <w:gridCol w:w="645"/>
              <w:gridCol w:w="857"/>
              <w:gridCol w:w="886"/>
              <w:gridCol w:w="1061"/>
              <w:gridCol w:w="785"/>
              <w:gridCol w:w="13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248" w:hRule="atLeast"/>
                <w:jc w:val="center"/>
              </w:trPr>
              <w:tc>
                <w:tcPr>
                  <w:tcW w:w="1489" w:type="pct"/>
                  <w:gridSpan w:val="3"/>
                  <w:noWrap w:val="0"/>
                  <w:vAlign w:val="center"/>
                </w:tcPr>
                <w:p>
                  <w:pPr>
                    <w:pStyle w:val="6"/>
                    <w:suppressLineNumbers w:val="0"/>
                    <w:bidi w:val="0"/>
                    <w:spacing w:before="0" w:beforeAutospacing="0" w:after="0" w:afterAutospacing="0"/>
                    <w:ind w:left="0" w:right="0"/>
                    <w:rPr>
                      <w:rFonts w:hint="default"/>
                    </w:rPr>
                  </w:pPr>
                  <w:r>
                    <w:rPr>
                      <w:rFonts w:hint="default"/>
                    </w:rPr>
                    <w:t>生态功能分区单元</w:t>
                  </w:r>
                </w:p>
              </w:tc>
              <w:tc>
                <w:tcPr>
                  <w:tcW w:w="402" w:type="pct"/>
                  <w:vMerge w:val="restart"/>
                  <w:noWrap w:val="0"/>
                  <w:vAlign w:val="center"/>
                </w:tcPr>
                <w:p>
                  <w:pPr>
                    <w:pStyle w:val="6"/>
                    <w:suppressLineNumbers w:val="0"/>
                    <w:bidi w:val="0"/>
                    <w:spacing w:before="0" w:beforeAutospacing="0" w:after="0" w:afterAutospacing="0"/>
                    <w:ind w:left="0" w:right="0"/>
                    <w:rPr>
                      <w:rFonts w:hint="default"/>
                    </w:rPr>
                  </w:pPr>
                  <w:r>
                    <w:rPr>
                      <w:rFonts w:hint="default"/>
                    </w:rPr>
                    <w:t>隶属</w:t>
                  </w:r>
                </w:p>
                <w:p>
                  <w:pPr>
                    <w:pStyle w:val="6"/>
                    <w:suppressLineNumbers w:val="0"/>
                    <w:bidi w:val="0"/>
                    <w:spacing w:before="0" w:beforeAutospacing="0" w:after="0" w:afterAutospacing="0"/>
                    <w:ind w:left="0" w:right="0"/>
                    <w:rPr>
                      <w:rFonts w:hint="default"/>
                    </w:rPr>
                  </w:pPr>
                  <w:r>
                    <w:rPr>
                      <w:rFonts w:hint="default"/>
                    </w:rPr>
                    <w:t>行政区</w:t>
                  </w:r>
                </w:p>
              </w:tc>
              <w:tc>
                <w:tcPr>
                  <w:tcW w:w="534" w:type="pct"/>
                  <w:vMerge w:val="restart"/>
                  <w:noWrap w:val="0"/>
                  <w:vAlign w:val="center"/>
                </w:tcPr>
                <w:p>
                  <w:pPr>
                    <w:pStyle w:val="6"/>
                    <w:suppressLineNumbers w:val="0"/>
                    <w:bidi w:val="0"/>
                    <w:spacing w:before="0" w:beforeAutospacing="0" w:after="0" w:afterAutospacing="0"/>
                    <w:ind w:left="0" w:right="0"/>
                    <w:rPr>
                      <w:rFonts w:hint="default"/>
                    </w:rPr>
                  </w:pPr>
                  <w:r>
                    <w:rPr>
                      <w:rFonts w:hint="default"/>
                    </w:rPr>
                    <w:t>主要生态</w:t>
                  </w:r>
                </w:p>
                <w:p>
                  <w:pPr>
                    <w:pStyle w:val="6"/>
                    <w:suppressLineNumbers w:val="0"/>
                    <w:bidi w:val="0"/>
                    <w:spacing w:before="0" w:beforeAutospacing="0" w:after="0" w:afterAutospacing="0"/>
                    <w:ind w:left="0" w:right="0"/>
                    <w:rPr>
                      <w:rFonts w:hint="default"/>
                    </w:rPr>
                  </w:pPr>
                  <w:r>
                    <w:rPr>
                      <w:rFonts w:hint="default"/>
                    </w:rPr>
                    <w:t>服务功能</w:t>
                  </w:r>
                </w:p>
              </w:tc>
              <w:tc>
                <w:tcPr>
                  <w:tcW w:w="552" w:type="pct"/>
                  <w:vMerge w:val="restart"/>
                  <w:noWrap w:val="0"/>
                  <w:vAlign w:val="center"/>
                </w:tcPr>
                <w:p>
                  <w:pPr>
                    <w:pStyle w:val="6"/>
                    <w:suppressLineNumbers w:val="0"/>
                    <w:bidi w:val="0"/>
                    <w:spacing w:before="0" w:beforeAutospacing="0" w:after="0" w:afterAutospacing="0"/>
                    <w:ind w:left="0" w:right="0"/>
                    <w:rPr>
                      <w:rFonts w:hint="default"/>
                    </w:rPr>
                  </w:pPr>
                  <w:r>
                    <w:rPr>
                      <w:rFonts w:hint="default"/>
                    </w:rPr>
                    <w:t>主要生态</w:t>
                  </w:r>
                </w:p>
                <w:p>
                  <w:pPr>
                    <w:pStyle w:val="6"/>
                    <w:suppressLineNumbers w:val="0"/>
                    <w:bidi w:val="0"/>
                    <w:spacing w:before="0" w:beforeAutospacing="0" w:after="0" w:afterAutospacing="0"/>
                    <w:ind w:left="0" w:right="0"/>
                    <w:rPr>
                      <w:rFonts w:hint="default"/>
                    </w:rPr>
                  </w:pPr>
                  <w:r>
                    <w:rPr>
                      <w:rFonts w:hint="default"/>
                    </w:rPr>
                    <w:t>环境问题</w:t>
                  </w:r>
                </w:p>
              </w:tc>
              <w:tc>
                <w:tcPr>
                  <w:tcW w:w="661" w:type="pct"/>
                  <w:vMerge w:val="restart"/>
                  <w:noWrap w:val="0"/>
                  <w:vAlign w:val="center"/>
                </w:tcPr>
                <w:p>
                  <w:pPr>
                    <w:pStyle w:val="6"/>
                    <w:suppressLineNumbers w:val="0"/>
                    <w:bidi w:val="0"/>
                    <w:spacing w:before="0" w:beforeAutospacing="0" w:after="0" w:afterAutospacing="0"/>
                    <w:ind w:left="0" w:right="0"/>
                    <w:rPr>
                      <w:rFonts w:hint="default"/>
                    </w:rPr>
                  </w:pPr>
                  <w:r>
                    <w:rPr>
                      <w:rFonts w:hint="default"/>
                    </w:rPr>
                    <w:t>主要生态敏感因子、敏感程度</w:t>
                  </w:r>
                </w:p>
              </w:tc>
              <w:tc>
                <w:tcPr>
                  <w:tcW w:w="489" w:type="pct"/>
                  <w:vMerge w:val="restart"/>
                  <w:noWrap w:val="0"/>
                  <w:vAlign w:val="center"/>
                </w:tcPr>
                <w:p>
                  <w:pPr>
                    <w:pStyle w:val="6"/>
                    <w:suppressLineNumbers w:val="0"/>
                    <w:bidi w:val="0"/>
                    <w:spacing w:before="0" w:beforeAutospacing="0" w:after="0" w:afterAutospacing="0"/>
                    <w:ind w:left="0" w:right="0"/>
                    <w:rPr>
                      <w:rFonts w:hint="default"/>
                    </w:rPr>
                  </w:pPr>
                  <w:r>
                    <w:rPr>
                      <w:rFonts w:hint="default"/>
                    </w:rPr>
                    <w:t>主要保护目标</w:t>
                  </w:r>
                </w:p>
              </w:tc>
              <w:tc>
                <w:tcPr>
                  <w:tcW w:w="870" w:type="pct"/>
                  <w:vMerge w:val="restar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保护措施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233" w:hRule="atLeast"/>
                <w:jc w:val="center"/>
              </w:trPr>
              <w:tc>
                <w:tcPr>
                  <w:tcW w:w="453" w:type="pct"/>
                  <w:noWrap w:val="0"/>
                  <w:vAlign w:val="center"/>
                </w:tcPr>
                <w:p>
                  <w:pPr>
                    <w:pStyle w:val="6"/>
                    <w:suppressLineNumbers w:val="0"/>
                    <w:bidi w:val="0"/>
                    <w:spacing w:before="0" w:beforeAutospacing="0" w:after="0" w:afterAutospacing="0"/>
                    <w:ind w:left="0" w:right="0"/>
                    <w:rPr>
                      <w:rFonts w:hint="default"/>
                    </w:rPr>
                  </w:pPr>
                  <w:r>
                    <w:rPr>
                      <w:rFonts w:hint="default"/>
                    </w:rPr>
                    <w:t>生态区</w:t>
                  </w:r>
                </w:p>
              </w:tc>
              <w:tc>
                <w:tcPr>
                  <w:tcW w:w="532" w:type="pct"/>
                  <w:noWrap w:val="0"/>
                  <w:vAlign w:val="center"/>
                </w:tcPr>
                <w:p>
                  <w:pPr>
                    <w:pStyle w:val="6"/>
                    <w:suppressLineNumbers w:val="0"/>
                    <w:bidi w:val="0"/>
                    <w:spacing w:before="0" w:beforeAutospacing="0" w:after="0" w:afterAutospacing="0"/>
                    <w:ind w:left="0" w:right="0"/>
                    <w:rPr>
                      <w:rFonts w:hint="default"/>
                    </w:rPr>
                  </w:pPr>
                  <w:r>
                    <w:rPr>
                      <w:rFonts w:hint="default"/>
                    </w:rPr>
                    <w:t>生态亚区</w:t>
                  </w:r>
                </w:p>
              </w:tc>
              <w:tc>
                <w:tcPr>
                  <w:tcW w:w="504" w:type="pct"/>
                  <w:noWrap w:val="0"/>
                  <w:vAlign w:val="center"/>
                </w:tcPr>
                <w:p>
                  <w:pPr>
                    <w:pStyle w:val="6"/>
                    <w:suppressLineNumbers w:val="0"/>
                    <w:bidi w:val="0"/>
                    <w:spacing w:before="0" w:beforeAutospacing="0" w:after="0" w:afterAutospacing="0"/>
                    <w:ind w:left="0" w:right="0"/>
                    <w:rPr>
                      <w:rFonts w:hint="default"/>
                    </w:rPr>
                  </w:pPr>
                  <w:r>
                    <w:rPr>
                      <w:rFonts w:hint="default"/>
                    </w:rPr>
                    <w:t>生态功能区</w:t>
                  </w:r>
                </w:p>
              </w:tc>
              <w:tc>
                <w:tcPr>
                  <w:tcW w:w="402" w:type="pct"/>
                  <w:vMerge w:val="continue"/>
                  <w:noWrap w:val="0"/>
                  <w:vAlign w:val="center"/>
                </w:tcPr>
                <w:p>
                  <w:pPr>
                    <w:pStyle w:val="54"/>
                    <w:keepNext w:val="0"/>
                    <w:keepLines w:val="0"/>
                    <w:pageBreakBefore w:val="0"/>
                    <w:widowControl w:val="0"/>
                    <w:suppressLineNumbers w:val="0"/>
                    <w:kinsoku/>
                    <w:wordWrap/>
                    <w:overflowPunct/>
                    <w:topLinePunct w:val="0"/>
                    <w:bidi w:val="0"/>
                    <w:adjustRightInd/>
                    <w:snapToGrid/>
                    <w:spacing w:before="0" w:beforeAutospacing="0" w:after="0" w:afterAutospacing="0"/>
                    <w:ind w:left="0" w:right="0" w:firstLine="0"/>
                    <w:jc w:val="center"/>
                    <w:rPr>
                      <w:rFonts w:hint="default"/>
                      <w:color w:val="auto"/>
                      <w:sz w:val="21"/>
                      <w:szCs w:val="21"/>
                    </w:rPr>
                  </w:pPr>
                </w:p>
              </w:tc>
              <w:tc>
                <w:tcPr>
                  <w:tcW w:w="534" w:type="pct"/>
                  <w:vMerge w:val="continue"/>
                  <w:noWrap w:val="0"/>
                  <w:vAlign w:val="center"/>
                </w:tcPr>
                <w:p>
                  <w:pPr>
                    <w:pStyle w:val="54"/>
                    <w:keepNext w:val="0"/>
                    <w:keepLines w:val="0"/>
                    <w:pageBreakBefore w:val="0"/>
                    <w:widowControl w:val="0"/>
                    <w:suppressLineNumbers w:val="0"/>
                    <w:kinsoku/>
                    <w:wordWrap/>
                    <w:overflowPunct/>
                    <w:topLinePunct w:val="0"/>
                    <w:bidi w:val="0"/>
                    <w:adjustRightInd/>
                    <w:snapToGrid/>
                    <w:spacing w:before="0" w:beforeAutospacing="0" w:after="0" w:afterAutospacing="0"/>
                    <w:ind w:left="0" w:right="0" w:firstLine="0"/>
                    <w:jc w:val="center"/>
                    <w:rPr>
                      <w:rFonts w:hint="default"/>
                      <w:color w:val="auto"/>
                      <w:sz w:val="21"/>
                      <w:szCs w:val="21"/>
                    </w:rPr>
                  </w:pPr>
                </w:p>
              </w:tc>
              <w:tc>
                <w:tcPr>
                  <w:tcW w:w="552" w:type="pct"/>
                  <w:vMerge w:val="continue"/>
                  <w:noWrap w:val="0"/>
                  <w:vAlign w:val="center"/>
                </w:tcPr>
                <w:p>
                  <w:pPr>
                    <w:pStyle w:val="54"/>
                    <w:keepNext w:val="0"/>
                    <w:keepLines w:val="0"/>
                    <w:pageBreakBefore w:val="0"/>
                    <w:widowControl w:val="0"/>
                    <w:suppressLineNumbers w:val="0"/>
                    <w:kinsoku/>
                    <w:wordWrap/>
                    <w:overflowPunct/>
                    <w:topLinePunct w:val="0"/>
                    <w:bidi w:val="0"/>
                    <w:adjustRightInd/>
                    <w:snapToGrid/>
                    <w:spacing w:before="0" w:beforeAutospacing="0" w:after="0" w:afterAutospacing="0"/>
                    <w:ind w:left="0" w:right="0" w:firstLine="0"/>
                    <w:jc w:val="center"/>
                    <w:rPr>
                      <w:rFonts w:hint="default"/>
                      <w:color w:val="auto"/>
                      <w:sz w:val="21"/>
                      <w:szCs w:val="21"/>
                    </w:rPr>
                  </w:pPr>
                </w:p>
              </w:tc>
              <w:tc>
                <w:tcPr>
                  <w:tcW w:w="661" w:type="pct"/>
                  <w:vMerge w:val="continue"/>
                  <w:noWrap w:val="0"/>
                  <w:vAlign w:val="center"/>
                </w:tcPr>
                <w:p>
                  <w:pPr>
                    <w:pStyle w:val="54"/>
                    <w:keepNext w:val="0"/>
                    <w:keepLines w:val="0"/>
                    <w:pageBreakBefore w:val="0"/>
                    <w:widowControl w:val="0"/>
                    <w:suppressLineNumbers w:val="0"/>
                    <w:kinsoku/>
                    <w:wordWrap/>
                    <w:overflowPunct/>
                    <w:topLinePunct w:val="0"/>
                    <w:bidi w:val="0"/>
                    <w:adjustRightInd/>
                    <w:snapToGrid/>
                    <w:spacing w:before="0" w:beforeAutospacing="0" w:after="0" w:afterAutospacing="0"/>
                    <w:ind w:left="0" w:right="0" w:firstLine="0"/>
                    <w:jc w:val="center"/>
                    <w:rPr>
                      <w:rFonts w:hint="default"/>
                      <w:color w:val="auto"/>
                      <w:sz w:val="21"/>
                      <w:szCs w:val="21"/>
                    </w:rPr>
                  </w:pPr>
                </w:p>
              </w:tc>
              <w:tc>
                <w:tcPr>
                  <w:tcW w:w="489" w:type="pct"/>
                  <w:vMerge w:val="continue"/>
                  <w:noWrap w:val="0"/>
                  <w:vAlign w:val="center"/>
                </w:tcPr>
                <w:p>
                  <w:pPr>
                    <w:pStyle w:val="54"/>
                    <w:keepNext w:val="0"/>
                    <w:keepLines w:val="0"/>
                    <w:pageBreakBefore w:val="0"/>
                    <w:widowControl w:val="0"/>
                    <w:suppressLineNumbers w:val="0"/>
                    <w:kinsoku/>
                    <w:wordWrap/>
                    <w:overflowPunct/>
                    <w:topLinePunct w:val="0"/>
                    <w:bidi w:val="0"/>
                    <w:adjustRightInd/>
                    <w:snapToGrid/>
                    <w:spacing w:before="0" w:beforeAutospacing="0" w:after="0" w:afterAutospacing="0"/>
                    <w:ind w:left="0" w:right="0" w:firstLine="0"/>
                    <w:jc w:val="center"/>
                    <w:rPr>
                      <w:rFonts w:hint="default"/>
                      <w:color w:val="auto"/>
                      <w:sz w:val="21"/>
                      <w:szCs w:val="21"/>
                    </w:rPr>
                  </w:pPr>
                </w:p>
              </w:tc>
              <w:tc>
                <w:tcPr>
                  <w:tcW w:w="870" w:type="pct"/>
                  <w:vMerge w:val="continue"/>
                  <w:noWrap w:val="0"/>
                  <w:vAlign w:val="center"/>
                </w:tcPr>
                <w:p>
                  <w:pPr>
                    <w:pStyle w:val="54"/>
                    <w:keepNext w:val="0"/>
                    <w:keepLines w:val="0"/>
                    <w:pageBreakBefore w:val="0"/>
                    <w:widowControl w:val="0"/>
                    <w:suppressLineNumbers w:val="0"/>
                    <w:kinsoku/>
                    <w:wordWrap/>
                    <w:overflowPunct/>
                    <w:topLinePunct w:val="0"/>
                    <w:bidi w:val="0"/>
                    <w:adjustRightInd/>
                    <w:snapToGrid/>
                    <w:spacing w:before="0" w:beforeAutospacing="0" w:after="0" w:afterAutospacing="0"/>
                    <w:ind w:left="0" w:right="0" w:firstLine="0"/>
                    <w:jc w:val="center"/>
                    <w:rPr>
                      <w:rFonts w:hint="default"/>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691" w:hRule="atLeast"/>
                <w:jc w:val="center"/>
              </w:trPr>
              <w:tc>
                <w:tcPr>
                  <w:tcW w:w="453"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rPr>
                    <w:t>Ⅳ 塔里木盆地暖温荒漠及绿洲农业生态区</w:t>
                  </w:r>
                </w:p>
              </w:tc>
              <w:tc>
                <w:tcPr>
                  <w:tcW w:w="532"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rPr>
                    <w:t>Ⅳ2 塔里木盆地南部和东部沙漠、戈壁及绿洲农业生态亚区</w:t>
                  </w:r>
                </w:p>
              </w:tc>
              <w:tc>
                <w:tcPr>
                  <w:tcW w:w="504"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65.</w:t>
                  </w:r>
                  <w:r>
                    <w:rPr>
                      <w:rFonts w:hint="default"/>
                      <w:lang w:val="en-US" w:eastAsia="zh-CN"/>
                    </w:rPr>
                    <w:t>若羌绿洲沙漠化敏感生态功能区</w:t>
                  </w:r>
                </w:p>
              </w:tc>
              <w:tc>
                <w:tcPr>
                  <w:tcW w:w="402" w:type="pct"/>
                  <w:noWrap w:val="0"/>
                  <w:vAlign w:val="center"/>
                </w:tcPr>
                <w:p>
                  <w:pPr>
                    <w:pStyle w:val="6"/>
                    <w:suppressLineNumbers w:val="0"/>
                    <w:bidi w:val="0"/>
                    <w:spacing w:before="0" w:beforeAutospacing="0" w:after="0" w:afterAutospacing="0"/>
                    <w:ind w:left="0" w:right="0"/>
                    <w:rPr>
                      <w:rFonts w:hint="default" w:eastAsia="宋体"/>
                      <w:lang w:val="en-US" w:eastAsia="zh-CN"/>
                    </w:rPr>
                  </w:pPr>
                  <w:r>
                    <w:rPr>
                      <w:rFonts w:hint="eastAsia"/>
                      <w:lang w:val="en-US" w:eastAsia="zh-CN"/>
                    </w:rPr>
                    <w:t>若羌县</w:t>
                  </w:r>
                </w:p>
              </w:tc>
              <w:tc>
                <w:tcPr>
                  <w:tcW w:w="534"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农产品生产、沙漠化控制</w:t>
                  </w:r>
                </w:p>
              </w:tc>
              <w:tc>
                <w:tcPr>
                  <w:tcW w:w="552"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干旱缺水、风沙和干热风危害、乱樵采、能源短缺</w:t>
                  </w:r>
                </w:p>
              </w:tc>
              <w:tc>
                <w:tcPr>
                  <w:tcW w:w="661"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土壤侵蚀、土地沙漠化高度敏感</w:t>
                  </w:r>
                </w:p>
              </w:tc>
              <w:tc>
                <w:tcPr>
                  <w:tcW w:w="489"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保护绿洲农田、保护荒漠植被、保护米兰遗址</w:t>
                  </w:r>
                </w:p>
              </w:tc>
              <w:tc>
                <w:tcPr>
                  <w:tcW w:w="870"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完善绿洲内部林网化和外部防护林体系、禁止樵采、禁止开荒、开发太阳能和风能等新型天然能源</w:t>
                  </w:r>
                </w:p>
              </w:tc>
            </w:tr>
          </w:tbl>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3 项目区生态现状</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3.1 植被类型</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人工植被：项目沿线区域内人工植被占比较大，红枣林是主要的人工植被类型，若羌县红枣种植规模庞大，项目沿线区域人工植被除红枣林外，还种植有小麦、玉米、棉花、西甜瓜、蔬菜等农作物，多分布于规整的耕地中。天然植被：项目区由于地处塔克拉玛干沙漠边缘，气候干旱少雨，以耐旱、耐盐碱的植被为主，红柳、梭梭等灌木在沙漠边缘、荒地及部分盐碱地有所分布，此外还有少量适应恶劣环境的草本植物。</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本项目永久占地主要为现状老渠道且为土渠，渠道边有一些老树根，无树木分布。本次工程施工渠道清基时将其挖除，不涉及砍伐树木。项目临时占地分布于渠道两侧，严格控制施工范围</w:t>
            </w:r>
            <w:r>
              <w:rPr>
                <w:rFonts w:hint="eastAsia"/>
                <w:lang w:eastAsia="zh-CN"/>
              </w:rPr>
              <w:t>，</w:t>
            </w:r>
            <w:r>
              <w:rPr>
                <w:rFonts w:hint="eastAsia"/>
                <w:highlight w:val="none"/>
                <w:lang w:val="en-US" w:eastAsia="zh-CN"/>
              </w:rPr>
              <w:t>减少临时占地对项目区植被的影响。植被覆盖类型示意图见附图3。</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3.2 动物类型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根据调查，项目区动物群系主要为村庄农田动物群，其中鸟类分布居多，项目区内基本以麻雀、家燕等鸟类和小家鼠等啮齿类动物为主。无国家保护的野生动物，无国家级、省级的重点保护动物，也没有保护物种的栖息地和繁殖地。</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3.3 土地利用类型</w:t>
            </w:r>
          </w:p>
          <w:p>
            <w:pPr>
              <w:keepNext w:val="0"/>
              <w:keepLines w:val="0"/>
              <w:suppressLineNumbers w:val="0"/>
              <w:bidi w:val="0"/>
              <w:spacing w:before="0" w:beforeAutospacing="0" w:after="0" w:afterAutospacing="0"/>
              <w:ind w:left="0" w:right="0"/>
              <w:rPr>
                <w:rFonts w:hint="default"/>
                <w:lang w:val="en-US"/>
              </w:rPr>
            </w:pPr>
            <w:r>
              <w:rPr>
                <w:rFonts w:hint="eastAsia"/>
                <w:lang w:val="en-US" w:eastAsia="zh-CN"/>
              </w:rPr>
              <w:t>项目永久占地主要类型为旱地。</w:t>
            </w:r>
            <w:r>
              <w:rPr>
                <w:rFonts w:hint="eastAsia"/>
                <w:highlight w:val="none"/>
                <w:lang w:val="en-US" w:eastAsia="zh-CN"/>
              </w:rPr>
              <w:t>土地利用类型示意图见附图4</w:t>
            </w:r>
            <w:r>
              <w:rPr>
                <w:rFonts w:hint="eastAsia"/>
                <w:lang w:val="en-US" w:eastAsia="zh-CN"/>
              </w:rPr>
              <w:t>。</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3.4 土壤类型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default" w:ascii="Times New Roman" w:hAnsi="Times New Roman" w:eastAsia="宋体" w:cs="Times New Roman"/>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项目区土壤类型主要为人为土。</w:t>
            </w:r>
            <w:r>
              <w:rPr>
                <w:rFonts w:hint="default" w:ascii="Times New Roman" w:hAnsi="Times New Roman" w:eastAsia="宋体" w:cs="Times New Roman"/>
                <w:b w:val="0"/>
                <w:bCs w:val="0"/>
                <w:color w:val="auto"/>
                <w:kern w:val="0"/>
                <w:sz w:val="24"/>
                <w:szCs w:val="24"/>
                <w:highlight w:val="none"/>
                <w:lang w:val="en-US" w:eastAsia="zh-CN"/>
              </w:rPr>
              <w:t>土壤类型示意图见附图</w:t>
            </w:r>
            <w:r>
              <w:rPr>
                <w:rFonts w:hint="default" w:ascii="Times New Roman" w:hAnsi="Times New Roman" w:cs="Times New Roman"/>
                <w:b w:val="0"/>
                <w:bCs w:val="0"/>
                <w:color w:val="auto"/>
                <w:kern w:val="0"/>
                <w:sz w:val="24"/>
                <w:szCs w:val="24"/>
                <w:highlight w:val="none"/>
                <w:lang w:val="en-US" w:eastAsia="zh-CN"/>
              </w:rPr>
              <w:t>5</w:t>
            </w:r>
            <w:r>
              <w:rPr>
                <w:rFonts w:hint="default" w:ascii="Times New Roman" w:hAnsi="Times New Roman" w:eastAsia="宋体" w:cs="Times New Roman"/>
                <w:b w:val="0"/>
                <w:bCs w:val="0"/>
                <w:color w:val="auto"/>
                <w:kern w:val="0"/>
                <w:sz w:val="24"/>
                <w:szCs w:val="24"/>
                <w:highlight w:val="none"/>
                <w:lang w:val="en-US" w:eastAsia="zh-CN"/>
              </w:rPr>
              <w:t>。</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 xml:space="preserve">3.5 </w:t>
            </w:r>
            <w:r>
              <w:rPr>
                <w:rFonts w:hint="eastAsia"/>
              </w:rPr>
              <w:t>水土流失现状</w:t>
            </w:r>
            <w:r>
              <w:rPr>
                <w:rFonts w:hint="eastAsia"/>
                <w:lang w:val="en-US" w:eastAsia="zh-CN"/>
              </w:rPr>
              <w:t>调查</w:t>
            </w:r>
          </w:p>
          <w:p>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根据《水利部办公厅关于印发〈全国水土保持规划国家级水土流失重点预防区和重点治理区复核划分成果〉的通知》，</w:t>
            </w:r>
            <w:r>
              <w:rPr>
                <w:rFonts w:hint="eastAsia" w:cs="Times New Roman"/>
                <w:b w:val="0"/>
                <w:bCs w:val="0"/>
                <w:color w:val="auto"/>
                <w:kern w:val="0"/>
                <w:sz w:val="24"/>
                <w:szCs w:val="24"/>
                <w:highlight w:val="none"/>
                <w:lang w:val="en-US" w:eastAsia="zh-CN"/>
              </w:rPr>
              <w:t>若羌</w:t>
            </w:r>
            <w:r>
              <w:rPr>
                <w:rFonts w:hint="default" w:ascii="Times New Roman" w:hAnsi="Times New Roman" w:eastAsia="宋体" w:cs="Times New Roman"/>
                <w:b w:val="0"/>
                <w:bCs w:val="0"/>
                <w:color w:val="auto"/>
                <w:kern w:val="0"/>
                <w:sz w:val="24"/>
                <w:szCs w:val="24"/>
                <w:highlight w:val="none"/>
                <w:lang w:val="en-US" w:eastAsia="zh-CN"/>
              </w:rPr>
              <w:t>县属于</w:t>
            </w:r>
            <w:r>
              <w:rPr>
                <w:rFonts w:hint="eastAsia" w:cs="Times New Roman"/>
                <w:b w:val="0"/>
                <w:bCs w:val="0"/>
                <w:color w:val="auto"/>
                <w:kern w:val="0"/>
                <w:sz w:val="24"/>
                <w:szCs w:val="24"/>
                <w:highlight w:val="none"/>
                <w:lang w:val="en-US" w:eastAsia="zh-CN"/>
              </w:rPr>
              <w:t>阿尔金山</w:t>
            </w:r>
            <w:r>
              <w:rPr>
                <w:rFonts w:hint="default" w:ascii="Times New Roman" w:hAnsi="Times New Roman" w:eastAsia="宋体" w:cs="Times New Roman"/>
                <w:b w:val="0"/>
                <w:bCs w:val="0"/>
                <w:color w:val="auto"/>
                <w:kern w:val="0"/>
                <w:sz w:val="24"/>
                <w:szCs w:val="24"/>
                <w:highlight w:val="none"/>
                <w:lang w:val="en-US" w:eastAsia="zh-CN"/>
              </w:rPr>
              <w:t>国家级水土流失重点预防区。</w:t>
            </w:r>
          </w:p>
          <w:p>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520" w:lineRule="exact"/>
              <w:ind w:left="0" w:right="0" w:firstLine="480" w:firstLineChars="200"/>
              <w:textAlignment w:val="baseline"/>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依照《土壤侵蚀分类分级标准》（SL190-2007）的规定，结合项目区所处的地理位置、地形地貌和气候环境特点，工程区为微度水力侵蚀区。原地貌土壤侵蚀模数背景值为1000t/km²·a，平均流失厚度0.74mm/a。</w:t>
            </w:r>
          </w:p>
          <w:p>
            <w:pPr>
              <w:pStyle w:val="3"/>
              <w:keepLines w:val="0"/>
              <w:suppressLineNumbers w:val="0"/>
              <w:bidi w:val="0"/>
              <w:spacing w:before="0" w:beforeAutospacing="0" w:after="0" w:afterAutospacing="0"/>
              <w:ind w:right="0"/>
              <w:rPr>
                <w:rFonts w:hint="eastAsia"/>
              </w:rPr>
            </w:pPr>
            <w:r>
              <w:rPr>
                <w:rFonts w:hint="eastAsia"/>
                <w:lang w:val="en-US" w:eastAsia="zh-CN"/>
              </w:rPr>
              <w:t>3.6 沙化土地现状调查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textAlignment w:val="auto"/>
              <w:rPr>
                <w:rFonts w:hint="default" w:ascii="宋体" w:hAnsi="宋体" w:eastAsia="宋体" w:cs="宋体"/>
                <w:b/>
                <w:bCs/>
                <w:color w:val="auto"/>
                <w:kern w:val="0"/>
                <w:sz w:val="24"/>
                <w:szCs w:val="24"/>
                <w:highlight w:val="yellow"/>
                <w:lang w:val="en-US" w:eastAsia="zh-CN"/>
              </w:rPr>
            </w:pPr>
            <w:r>
              <w:rPr>
                <w:rFonts w:hint="eastAsia" w:ascii="Times New Roman" w:hAnsi="Times New Roman"/>
                <w:color w:val="auto"/>
                <w:kern w:val="2"/>
                <w:sz w:val="24"/>
                <w:highlight w:val="none"/>
                <w:lang w:val="en-US" w:eastAsia="zh-CN"/>
              </w:rPr>
              <w:t>根据新疆第六次沙化监测报告中沙化土地类型分布图，项目</w:t>
            </w:r>
            <w:r>
              <w:rPr>
                <w:rFonts w:hint="eastAsia"/>
                <w:color w:val="auto"/>
                <w:kern w:val="2"/>
                <w:sz w:val="24"/>
                <w:highlight w:val="none"/>
                <w:lang w:val="en-US" w:eastAsia="zh-CN"/>
              </w:rPr>
              <w:t>施工</w:t>
            </w:r>
            <w:r>
              <w:rPr>
                <w:rFonts w:hint="eastAsia" w:ascii="Times New Roman" w:hAnsi="Times New Roman"/>
                <w:color w:val="auto"/>
                <w:kern w:val="2"/>
                <w:sz w:val="24"/>
                <w:highlight w:val="none"/>
                <w:lang w:val="en-US" w:eastAsia="zh-CN"/>
              </w:rPr>
              <w:t>区为非沙化土地，沙化土地类型见附图</w:t>
            </w:r>
            <w:r>
              <w:rPr>
                <w:rFonts w:hint="eastAsia"/>
                <w:color w:val="auto"/>
                <w:kern w:val="2"/>
                <w:sz w:val="24"/>
                <w:highlight w:val="none"/>
                <w:lang w:val="en-US" w:eastAsia="zh-CN"/>
              </w:rPr>
              <w:t>6</w:t>
            </w:r>
            <w:r>
              <w:rPr>
                <w:rFonts w:hint="eastAsia" w:ascii="Times New Roman" w:hAnsi="Times New Roman"/>
                <w:color w:val="auto"/>
                <w:kern w:val="2"/>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right="0" w:firstLine="482" w:firstLineChars="200"/>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 xml:space="preserve">4 </w:t>
            </w:r>
            <w:r>
              <w:rPr>
                <w:rFonts w:hint="eastAsia" w:ascii="宋体" w:hAnsi="宋体" w:eastAsia="宋体" w:cs="宋体"/>
                <w:b/>
                <w:bCs/>
                <w:color w:val="auto"/>
                <w:kern w:val="0"/>
                <w:sz w:val="24"/>
                <w:szCs w:val="24"/>
              </w:rPr>
              <w:t>大气环境</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根据《建设项目环境影响报告表编制技术指南（污染影响类）（试行）》，对于基本污染物环境质量现状数据，项目所在区域达标判定优先采用国家或地方生态环境主管部门公开发布的评价基准年环境质量公告或环境质量报告中的数据或结论。</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本工程建设地点位于新疆巴音郭楞蒙古自治州若羌县铁干里克镇托格拉克勒克村，本次评价选用若羌县2024年全年例行监测点的监测数据，作为环境空气现状评价基本污染物SO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的数据来源。</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（1）监测项目、监测时间</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监测项目：基本污染物SO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监测时间：基本污染物SO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的监测时间为2024年连续1年监测数据。</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（2）评价标准</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根据《环境空气质量标准》（GB 3095-2026）规定：自本标准实施之日起至2030年12月31日止，环境空气污染物基本项目（表1）执行过渡阶段浓度限值，本项目所在区域为二类区执行二级浓度标准。故本次评价基本污染物SO</w:t>
            </w:r>
            <w:r>
              <w:rPr>
                <w:rFonts w:hint="eastAsia"/>
                <w:vertAlign w:val="subscript"/>
                <w:lang w:val="en-US" w:eastAsia="zh-CN"/>
              </w:rPr>
              <w:t>2</w:t>
            </w:r>
            <w:r>
              <w:rPr>
                <w:rFonts w:hint="eastAsia"/>
                <w:lang w:val="en-US" w:eastAsia="zh-CN"/>
              </w:rPr>
              <w:t>、NO</w:t>
            </w:r>
            <w:r>
              <w:rPr>
                <w:rFonts w:hint="eastAsia"/>
                <w:vertAlign w:val="subscript"/>
                <w:lang w:val="en-US" w:eastAsia="zh-CN"/>
              </w:rPr>
              <w:t>2</w:t>
            </w:r>
            <w:r>
              <w:rPr>
                <w:rFonts w:hint="eastAsia"/>
                <w:lang w:val="en-US" w:eastAsia="zh-CN"/>
              </w:rPr>
              <w:t>、PM</w:t>
            </w:r>
            <w:r>
              <w:rPr>
                <w:rFonts w:hint="eastAsia"/>
                <w:vertAlign w:val="subscript"/>
                <w:lang w:val="en-US" w:eastAsia="zh-CN"/>
              </w:rPr>
              <w:t>10</w:t>
            </w:r>
            <w:r>
              <w:rPr>
                <w:rFonts w:hint="eastAsia"/>
                <w:lang w:val="en-US" w:eastAsia="zh-CN"/>
              </w:rPr>
              <w:t>、PM</w:t>
            </w:r>
            <w:r>
              <w:rPr>
                <w:rFonts w:hint="eastAsia"/>
                <w:vertAlign w:val="subscript"/>
                <w:lang w:val="en-US" w:eastAsia="zh-CN"/>
              </w:rPr>
              <w:t>2.5</w:t>
            </w:r>
            <w:r>
              <w:rPr>
                <w:rFonts w:hint="eastAsia"/>
                <w:lang w:val="en-US" w:eastAsia="zh-CN"/>
              </w:rPr>
              <w:t>、CO和O</w:t>
            </w:r>
            <w:r>
              <w:rPr>
                <w:rFonts w:hint="eastAsia"/>
                <w:vertAlign w:val="subscript"/>
                <w:lang w:val="en-US" w:eastAsia="zh-CN"/>
              </w:rPr>
              <w:t>3</w:t>
            </w:r>
            <w:r>
              <w:rPr>
                <w:rFonts w:hint="eastAsia"/>
                <w:lang w:val="en-US" w:eastAsia="zh-CN"/>
              </w:rPr>
              <w:t>执行《环境空气质量标准》（GB3095-2026）过渡阶段的二级标准。</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（3）评价方法</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按照《环境空气质量评价技术规范（试行）》（HJ663-2013）中各评价项目的年度评价指标进行判定。年评价指标中的年均浓度和相应百分位数24h平均或8h平均质量浓度满足《环境空气质量标准》（GB3095-2026）过渡阶段的二级标准要求的即为达标。对于超标的污染物，计算其超标倍数和超标率。</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（4）空气质量达标区的判定</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环境空气质量现状评价结果见表3-3。</w:t>
            </w:r>
          </w:p>
          <w:p>
            <w:pPr>
              <w:pStyle w:val="5"/>
              <w:suppressLineNumbers w:val="0"/>
              <w:bidi w:val="0"/>
              <w:spacing w:before="0" w:after="0"/>
              <w:ind w:left="0" w:right="0"/>
              <w:rPr>
                <w:rFonts w:hint="eastAsia"/>
                <w:lang w:val="zh-CN" w:eastAsia="zh-CN"/>
              </w:rPr>
            </w:pPr>
            <w:r>
              <w:rPr>
                <w:rFonts w:hint="eastAsia"/>
                <w:lang w:val="zh-CN" w:eastAsia="zh-CN"/>
              </w:rPr>
              <w:br w:type="page"/>
            </w:r>
            <w:r>
              <w:rPr>
                <w:rFonts w:hint="eastAsia"/>
                <w:lang w:val="zh-CN" w:eastAsia="zh-CN"/>
              </w:rPr>
              <w:t>表3-</w:t>
            </w:r>
            <w:r>
              <w:rPr>
                <w:rFonts w:hint="eastAsia"/>
                <w:lang w:val="en-US" w:eastAsia="zh-CN"/>
              </w:rPr>
              <w:t>3</w:t>
            </w:r>
            <w:r>
              <w:rPr>
                <w:rFonts w:hint="eastAsia"/>
                <w:lang w:val="zh-CN" w:eastAsia="zh-CN"/>
              </w:rPr>
              <w:t xml:space="preserve">  环境空气质量现状评价一览表</w:t>
            </w:r>
          </w:p>
          <w:tbl>
            <w:tblPr>
              <w:tblStyle w:val="22"/>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456"/>
              <w:gridCol w:w="1321"/>
              <w:gridCol w:w="1324"/>
              <w:gridCol w:w="132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污染物</w:t>
                  </w: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评价项目</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default"/>
                    </w:rPr>
                    <w:t>浓度（μ</w:t>
                  </w:r>
                  <w:r>
                    <w:rPr>
                      <w:rFonts w:hint="eastAsia"/>
                      <w:lang w:val="en-US" w:eastAsia="zh-CN"/>
                    </w:rPr>
                    <w:t>g</w:t>
                  </w:r>
                  <w:r>
                    <w:rPr>
                      <w:rFonts w:hint="default"/>
                    </w:rPr>
                    <w:t>/m</w:t>
                  </w:r>
                  <w:r>
                    <w:rPr>
                      <w:rFonts w:hint="default"/>
                      <w:vertAlign w:val="superscript"/>
                    </w:rPr>
                    <w:t>3</w:t>
                  </w:r>
                  <w:r>
                    <w:rPr>
                      <w:rFonts w:hint="default"/>
                    </w:rPr>
                    <w:t>）</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标准（二级）</w:t>
                  </w:r>
                  <w:r>
                    <w:rPr>
                      <w:rFonts w:hint="default"/>
                    </w:rPr>
                    <w:t>（μ</w:t>
                  </w:r>
                  <w:r>
                    <w:rPr>
                      <w:rFonts w:hint="eastAsia"/>
                      <w:lang w:val="en-US" w:eastAsia="zh-CN"/>
                    </w:rPr>
                    <w:t>g</w:t>
                  </w:r>
                  <w:r>
                    <w:rPr>
                      <w:rFonts w:hint="default"/>
                    </w:rPr>
                    <w:t>/m</w:t>
                  </w:r>
                  <w:r>
                    <w:rPr>
                      <w:rFonts w:hint="default"/>
                      <w:vertAlign w:val="superscript"/>
                    </w:rPr>
                    <w:t>3</w:t>
                  </w:r>
                  <w:r>
                    <w:rPr>
                      <w:rFonts w:hint="default"/>
                    </w:rPr>
                    <w:t>）</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eastAsia="zh-CN"/>
                    </w:rPr>
                    <w:t>占标率</w:t>
                  </w:r>
                  <w:r>
                    <w:rPr>
                      <w:rFonts w:hint="eastAsia"/>
                      <w:lang w:val="en-US" w:eastAsia="zh-CN"/>
                    </w:rPr>
                    <w:t>%</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pct"/>
                  <w:vMerge w:val="restar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SO</w:t>
                  </w:r>
                  <w:r>
                    <w:rPr>
                      <w:rFonts w:hint="eastAsia"/>
                      <w:vertAlign w:val="subscript"/>
                    </w:rPr>
                    <w:t>2</w:t>
                  </w: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6</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60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10</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lang w:eastAsia="zh-CN"/>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9</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1</w:t>
                  </w:r>
                  <w:r>
                    <w:rPr>
                      <w:rFonts w:hint="default" w:ascii="Times New Roman" w:hAnsi="Times New Roman" w:cs="Times New Roman"/>
                    </w:rPr>
                    <w:t>50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6</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restar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NO</w:t>
                  </w:r>
                  <w:r>
                    <w:rPr>
                      <w:rFonts w:hint="eastAsia"/>
                      <w:vertAlign w:val="subscript"/>
                    </w:rPr>
                    <w:t>2</w:t>
                  </w: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8</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40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20</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15</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80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18.75</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CO（mg/m</w:t>
                  </w:r>
                  <w:r>
                    <w:rPr>
                      <w:rFonts w:hint="eastAsia"/>
                      <w:vertAlign w:val="superscript"/>
                    </w:rPr>
                    <w:t>3</w:t>
                  </w:r>
                  <w:r>
                    <w:rPr>
                      <w:rFonts w:hint="eastAsia"/>
                    </w:rPr>
                    <w:t>）</w:t>
                  </w: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日均值</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0.5</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default" w:ascii="Times New Roman" w:hAnsi="Times New Roman" w:cs="Times New Roman"/>
                    </w:rPr>
                    <w:t>4</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12.5</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O</w:t>
                  </w:r>
                  <w:r>
                    <w:rPr>
                      <w:rFonts w:hint="eastAsia"/>
                      <w:vertAlign w:val="subscript"/>
                    </w:rPr>
                    <w:t>3</w:t>
                  </w: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w:t>
                  </w:r>
                  <w:r>
                    <w:rPr>
                      <w:rFonts w:hint="default" w:ascii="Times New Roman" w:hAnsi="Times New Roman" w:cs="Times New Roman"/>
                      <w:lang w:val="en-US" w:eastAsia="zh-CN"/>
                    </w:rPr>
                    <w:t>最大8小时平均</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131</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160</w:t>
                  </w:r>
                </w:p>
              </w:tc>
              <w:tc>
                <w:tcPr>
                  <w:tcW w:w="825" w:type="pct"/>
                  <w:tcBorders>
                    <w:tl2br w:val="nil"/>
                    <w:tr2bl w:val="nil"/>
                  </w:tcBorders>
                  <w:noWrap w:val="0"/>
                  <w:vAlign w:val="center"/>
                </w:tcPr>
                <w:p>
                  <w:pPr>
                    <w:pStyle w:val="6"/>
                    <w:suppressLineNumbers w:val="0"/>
                    <w:bidi w:val="0"/>
                    <w:spacing w:before="0" w:beforeAutospacing="0" w:after="0" w:afterAutospacing="0"/>
                    <w:ind w:left="0" w:right="0"/>
                    <w:jc w:val="center"/>
                    <w:rPr>
                      <w:rFonts w:hint="default"/>
                      <w:lang w:val="en-US" w:eastAsia="zh-CN"/>
                    </w:rPr>
                  </w:pPr>
                  <w:r>
                    <w:rPr>
                      <w:rFonts w:hint="default"/>
                      <w:lang w:val="en-US" w:eastAsia="zh-CN"/>
                    </w:rPr>
                    <w:t>81.875</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default"/>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819" w:type="pct"/>
                  <w:vMerge w:val="restar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PM</w:t>
                  </w:r>
                  <w:r>
                    <w:rPr>
                      <w:rFonts w:hint="eastAsia"/>
                      <w:vertAlign w:val="subscript"/>
                    </w:rPr>
                    <w:t>10</w:t>
                  </w: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284</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60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473</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eastAsia"/>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876</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120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730</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eastAsia"/>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restar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rPr>
                    <w:t>PM</w:t>
                  </w:r>
                  <w:r>
                    <w:rPr>
                      <w:rFonts w:hint="eastAsia"/>
                      <w:vertAlign w:val="subscript"/>
                    </w:rPr>
                    <w:t>2.5</w:t>
                  </w: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ascii="Times New Roman" w:hAnsi="Times New Roman" w:cs="Times New Roman"/>
                      <w:lang w:val="en-US" w:eastAsia="zh-CN"/>
                    </w:rPr>
                    <w:t>年平均</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94</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30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313</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eastAsia"/>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 w:type="pct"/>
                  <w:vMerge w:val="continue"/>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p>
              </w:tc>
              <w:tc>
                <w:tcPr>
                  <w:tcW w:w="907"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cs="Times New Roman"/>
                      <w:lang w:val="en-US" w:eastAsia="zh-CN"/>
                    </w:rPr>
                    <w:t>日均值</w:t>
                  </w:r>
                </w:p>
              </w:tc>
              <w:tc>
                <w:tcPr>
                  <w:tcW w:w="823"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320</w:t>
                  </w:r>
                </w:p>
              </w:tc>
              <w:tc>
                <w:tcPr>
                  <w:tcW w:w="825"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default"/>
                    </w:rPr>
                  </w:pPr>
                  <w:r>
                    <w:rPr>
                      <w:rFonts w:hint="eastAsia" w:cs="Times New Roman"/>
                      <w:lang w:val="en-US" w:eastAsia="zh-CN"/>
                    </w:rPr>
                    <w:t>60</w:t>
                  </w:r>
                </w:p>
              </w:tc>
              <w:tc>
                <w:tcPr>
                  <w:tcW w:w="825" w:type="pct"/>
                  <w:tcBorders>
                    <w:tl2br w:val="nil"/>
                    <w:tr2bl w:val="nil"/>
                  </w:tcBorders>
                  <w:noWrap w:val="0"/>
                  <w:vAlign w:val="top"/>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533</w:t>
                  </w:r>
                </w:p>
              </w:tc>
              <w:tc>
                <w:tcPr>
                  <w:tcW w:w="798" w:type="pct"/>
                  <w:tcBorders>
                    <w:tl2br w:val="nil"/>
                    <w:tr2bl w:val="nil"/>
                  </w:tcBorders>
                  <w:noWrap w:val="0"/>
                  <w:vAlign w:val="center"/>
                </w:tcPr>
                <w:p>
                  <w:pPr>
                    <w:pStyle w:val="6"/>
                    <w:suppressLineNumbers w:val="0"/>
                    <w:bidi w:val="0"/>
                    <w:spacing w:before="0" w:beforeAutospacing="0" w:after="0" w:afterAutospacing="0"/>
                    <w:ind w:left="0" w:leftChars="0" w:right="0" w:rightChars="0" w:firstLine="0" w:firstLineChars="0"/>
                    <w:jc w:val="center"/>
                    <w:rPr>
                      <w:rFonts w:hint="eastAsia"/>
                    </w:rPr>
                  </w:pPr>
                  <w:r>
                    <w:rPr>
                      <w:rFonts w:hint="eastAsia"/>
                      <w:lang w:val="en-US" w:eastAsia="zh-CN"/>
                    </w:rPr>
                    <w:t>超标</w:t>
                  </w:r>
                </w:p>
              </w:tc>
            </w:tr>
          </w:tbl>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根据表3-1评价结果，PM</w:t>
            </w:r>
            <w:r>
              <w:rPr>
                <w:rFonts w:hint="default" w:ascii="Times New Roman" w:hAnsi="Times New Roman" w:cs="Times New Roman"/>
                <w:vertAlign w:val="subscript"/>
                <w:lang w:val="en-US" w:eastAsia="zh-CN"/>
              </w:rPr>
              <w:t>10</w:t>
            </w:r>
            <w:r>
              <w:rPr>
                <w:rFonts w:hint="default" w:ascii="Times New Roman" w:hAnsi="Times New Roman" w:cs="Times New Roman"/>
                <w:lang w:val="en-US" w:eastAsia="zh-CN"/>
              </w:rPr>
              <w:t>、PM</w:t>
            </w:r>
            <w:r>
              <w:rPr>
                <w:rFonts w:hint="default" w:ascii="Times New Roman" w:hAnsi="Times New Roman" w:cs="Times New Roman"/>
                <w:vertAlign w:val="subscript"/>
                <w:lang w:val="en-US" w:eastAsia="zh-CN"/>
              </w:rPr>
              <w:t>2.5</w:t>
            </w:r>
            <w:r>
              <w:rPr>
                <w:rFonts w:hint="default" w:ascii="Times New Roman" w:hAnsi="Times New Roman" w:cs="Times New Roman"/>
                <w:lang w:val="en-US" w:eastAsia="zh-CN"/>
              </w:rPr>
              <w:t>年均值和日均值浓度超过《环境空气质量标准》（GB3095-20</w:t>
            </w:r>
            <w:r>
              <w:rPr>
                <w:rFonts w:hint="eastAsia" w:cs="Times New Roman"/>
                <w:lang w:val="en-US" w:eastAsia="zh-CN"/>
              </w:rPr>
              <w:t>26</w:t>
            </w:r>
            <w:r>
              <w:rPr>
                <w:rFonts w:hint="default" w:ascii="Times New Roman" w:hAnsi="Times New Roman" w:cs="Times New Roman"/>
                <w:lang w:val="en-US" w:eastAsia="zh-CN"/>
              </w:rPr>
              <w:t>）</w:t>
            </w:r>
            <w:r>
              <w:rPr>
                <w:rFonts w:hint="eastAsia" w:cs="Times New Roman"/>
                <w:lang w:val="en-US" w:eastAsia="zh-CN"/>
              </w:rPr>
              <w:t>过渡阶段的二级标准，</w:t>
            </w:r>
            <w:r>
              <w:rPr>
                <w:rFonts w:hint="default" w:ascii="Times New Roman" w:hAnsi="Times New Roman" w:cs="Times New Roman"/>
                <w:lang w:val="en-US" w:eastAsia="zh-CN"/>
              </w:rPr>
              <w:t>因此，项目所在的若羌县空气质量判定为不达标区。超标原因是若羌县地处塔克拉玛干沙漠边缘，气候干燥，连续两年气温偏高，降水偏少，导致沙尘频发。造成空气中PM</w:t>
            </w:r>
            <w:r>
              <w:rPr>
                <w:rFonts w:hint="default" w:ascii="Times New Roman" w:hAnsi="Times New Roman" w:cs="Times New Roman"/>
                <w:vertAlign w:val="subscript"/>
                <w:lang w:val="en-US" w:eastAsia="zh-CN"/>
              </w:rPr>
              <w:t>10</w:t>
            </w:r>
            <w:r>
              <w:rPr>
                <w:rFonts w:hint="eastAsia" w:cs="Times New Roman"/>
                <w:vertAlign w:val="baseline"/>
                <w:lang w:val="en-US" w:eastAsia="zh-CN"/>
              </w:rPr>
              <w:t>、</w:t>
            </w:r>
            <w:r>
              <w:rPr>
                <w:rFonts w:hint="default" w:ascii="Times New Roman" w:hAnsi="Times New Roman" w:cs="Times New Roman"/>
                <w:lang w:val="en-US" w:eastAsia="zh-CN"/>
              </w:rPr>
              <w:t>PM</w:t>
            </w:r>
            <w:r>
              <w:rPr>
                <w:rFonts w:hint="default" w:ascii="Times New Roman" w:hAnsi="Times New Roman" w:cs="Times New Roman"/>
                <w:vertAlign w:val="subscript"/>
                <w:lang w:val="en-US" w:eastAsia="zh-CN"/>
              </w:rPr>
              <w:t>2.5</w:t>
            </w:r>
            <w:r>
              <w:rPr>
                <w:rFonts w:hint="default" w:ascii="Times New Roman" w:hAnsi="Times New Roman" w:cs="Times New Roman"/>
                <w:lang w:val="en-US" w:eastAsia="zh-CN"/>
              </w:rPr>
              <w:t>浓度较大。本项目除施工期少量施工扬尘外，运行期无废气排放。</w:t>
            </w:r>
          </w:p>
          <w:p>
            <w:pPr>
              <w:pStyle w:val="3"/>
              <w:keepLines w:val="0"/>
              <w:suppressLineNumbers w:val="0"/>
              <w:bidi w:val="0"/>
              <w:spacing w:before="0" w:beforeAutospacing="0" w:after="0" w:afterAutospacing="0"/>
              <w:ind w:right="0"/>
              <w:rPr>
                <w:rFonts w:hint="eastAsia"/>
              </w:rPr>
            </w:pPr>
            <w:r>
              <w:rPr>
                <w:rFonts w:hint="eastAsia"/>
                <w:lang w:val="en-US" w:eastAsia="zh-CN"/>
              </w:rPr>
              <w:t xml:space="preserve">5 </w:t>
            </w:r>
            <w:r>
              <w:rPr>
                <w:rFonts w:hint="eastAsia"/>
              </w:rPr>
              <w:t>地表水环境</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项目施工期及运营期均无生产废水</w:t>
            </w:r>
            <w:r>
              <w:rPr>
                <w:rFonts w:hint="eastAsia"/>
                <w:highlight w:val="none"/>
                <w:lang w:val="en-US" w:eastAsia="zh-CN"/>
              </w:rPr>
              <w:t>和生活污水</w:t>
            </w:r>
            <w:r>
              <w:rPr>
                <w:rFonts w:hint="default"/>
                <w:highlight w:val="none"/>
                <w:lang w:val="en-US" w:eastAsia="zh-CN"/>
              </w:rPr>
              <w:t>外排，不向周边地表水体排放任何废水。距离项目区最近的地表水体为西侧230m处为若羌河，若羌河监测数据引用</w:t>
            </w:r>
            <w:r>
              <w:rPr>
                <w:rFonts w:hint="eastAsia"/>
                <w:highlight w:val="none"/>
                <w:lang w:val="en-US" w:eastAsia="zh-CN"/>
              </w:rPr>
              <w:t>巴州永诚环境检测技术服务有限公司</w:t>
            </w:r>
            <w:r>
              <w:rPr>
                <w:rFonts w:hint="default"/>
                <w:highlight w:val="none"/>
                <w:lang w:val="en-US" w:eastAsia="zh-CN"/>
              </w:rPr>
              <w:t>于2023年</w:t>
            </w:r>
            <w:r>
              <w:rPr>
                <w:rFonts w:hint="eastAsia"/>
                <w:highlight w:val="none"/>
                <w:lang w:val="en-US" w:eastAsia="zh-CN"/>
              </w:rPr>
              <w:t>6</w:t>
            </w:r>
            <w:r>
              <w:rPr>
                <w:rFonts w:hint="default"/>
                <w:highlight w:val="none"/>
                <w:lang w:val="en-US" w:eastAsia="zh-CN"/>
              </w:rPr>
              <w:t>月1</w:t>
            </w:r>
            <w:r>
              <w:rPr>
                <w:rFonts w:hint="eastAsia"/>
                <w:highlight w:val="none"/>
                <w:lang w:val="en-US" w:eastAsia="zh-CN"/>
              </w:rPr>
              <w:t>9</w:t>
            </w:r>
            <w:r>
              <w:rPr>
                <w:rFonts w:hint="default"/>
                <w:highlight w:val="none"/>
                <w:lang w:val="en-US" w:eastAsia="zh-CN"/>
              </w:rPr>
              <w:t>日针对</w:t>
            </w:r>
            <w:r>
              <w:rPr>
                <w:rFonts w:hint="eastAsia"/>
                <w:highlight w:val="none"/>
                <w:lang w:val="en-US" w:eastAsia="zh-CN"/>
              </w:rPr>
              <w:t>若羌河水库</w:t>
            </w:r>
            <w:r>
              <w:rPr>
                <w:rFonts w:hint="default"/>
                <w:highlight w:val="none"/>
                <w:lang w:val="en-US" w:eastAsia="zh-CN"/>
              </w:rPr>
              <w:t>开展的地表水监测数据(附件1</w:t>
            </w:r>
            <w:r>
              <w:rPr>
                <w:rFonts w:hint="eastAsia"/>
                <w:highlight w:val="none"/>
                <w:lang w:val="en-US" w:eastAsia="zh-CN"/>
              </w:rPr>
              <w:t>5</w:t>
            </w:r>
            <w:r>
              <w:rPr>
                <w:rFonts w:hint="default"/>
                <w:highlight w:val="none"/>
                <w:lang w:val="en-US" w:eastAsia="zh-CN"/>
              </w:rPr>
              <w:t>)。对照《地表水环境质量标准》(GB 3838-2002)，若羌河水质满足《地表水环境质量标准》(GB 3838-2002)</w:t>
            </w:r>
            <w:r>
              <w:rPr>
                <w:rFonts w:hint="eastAsia" w:ascii="微软雅黑" w:hAnsi="微软雅黑" w:eastAsia="微软雅黑" w:cs="微软雅黑"/>
                <w:highlight w:val="none"/>
                <w:lang w:val="en-US" w:eastAsia="zh-CN"/>
              </w:rPr>
              <w:t>Ⅲ</w:t>
            </w:r>
            <w:r>
              <w:rPr>
                <w:rFonts w:hint="default"/>
                <w:highlight w:val="none"/>
                <w:lang w:val="en-US" w:eastAsia="zh-CN"/>
              </w:rPr>
              <w:t>类标准要求。</w:t>
            </w:r>
          </w:p>
          <w:p>
            <w:pPr>
              <w:pStyle w:val="3"/>
              <w:keepLines w:val="0"/>
              <w:suppressLineNumbers w:val="0"/>
              <w:bidi w:val="0"/>
              <w:spacing w:before="0" w:beforeAutospacing="0" w:after="0" w:afterAutospacing="0"/>
              <w:ind w:right="0"/>
              <w:rPr>
                <w:rFonts w:hint="eastAsia"/>
              </w:rPr>
            </w:pPr>
            <w:r>
              <w:rPr>
                <w:rFonts w:hint="eastAsia"/>
                <w:lang w:val="en-US" w:eastAsia="zh-CN"/>
              </w:rPr>
              <w:t xml:space="preserve">6 </w:t>
            </w:r>
            <w:r>
              <w:rPr>
                <w:rFonts w:hint="eastAsia"/>
              </w:rPr>
              <w:t>声环境</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根据</w:t>
            </w:r>
            <w:r>
              <w:rPr>
                <w:rFonts w:hint="eastAsia" w:cs="宋体"/>
                <w:color w:val="auto"/>
                <w:kern w:val="2"/>
                <w:sz w:val="24"/>
                <w:szCs w:val="24"/>
                <w:highlight w:val="none"/>
                <w:lang w:val="en-US" w:eastAsia="zh-CN" w:bidi="ar-SA"/>
              </w:rPr>
              <w:t>《建设项目环境影响报告表编制技术指南 生态影响类（试行）》“固定声源环境质量现状监测参照《建设项目环境影响报告表编制技术指南 污染影响类（试行）》相关规定开展补充监测”</w:t>
            </w:r>
            <w:r>
              <w:rPr>
                <w:rFonts w:hint="eastAsia" w:ascii="Times New Roman" w:hAnsi="Times New Roman" w:eastAsia="宋体" w:cs="宋体"/>
                <w:color w:val="auto"/>
                <w:kern w:val="2"/>
                <w:sz w:val="24"/>
                <w:szCs w:val="24"/>
                <w:highlight w:val="none"/>
                <w:lang w:val="en-US" w:eastAsia="zh-CN" w:bidi="ar-SA"/>
              </w:rPr>
              <w:t>，厂界外周边50米范围内存在声环境保护目标，应监测保护目标声环境质量现状并评价达标情况。</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监测单位：</w:t>
            </w:r>
            <w:r>
              <w:rPr>
                <w:rFonts w:hint="eastAsia" w:cs="宋体"/>
                <w:color w:val="auto"/>
                <w:kern w:val="2"/>
                <w:sz w:val="24"/>
                <w:szCs w:val="24"/>
                <w:highlight w:val="none"/>
                <w:lang w:val="en-US" w:eastAsia="zh-CN" w:bidi="ar-SA"/>
              </w:rPr>
              <w:t>新疆壹诺环保科技有限公司</w:t>
            </w:r>
            <w:r>
              <w:rPr>
                <w:rFonts w:hint="eastAsia" w:ascii="Times New Roman" w:hAnsi="Times New Roman" w:eastAsia="宋体" w:cs="宋体"/>
                <w:color w:val="auto"/>
                <w:kern w:val="2"/>
                <w:sz w:val="24"/>
                <w:szCs w:val="24"/>
                <w:highlight w:val="none"/>
                <w:lang w:val="en-US" w:eastAsia="zh-CN" w:bidi="ar-SA"/>
              </w:rPr>
              <w:t>；</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监测项目：等效连续A声级Leq（A）；</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监测点位：选取具有特征性的敏感目标进行现状监测；</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监测频次：202</w:t>
            </w:r>
            <w:r>
              <w:rPr>
                <w:rFonts w:hint="eastAsia" w:cs="宋体"/>
                <w:color w:val="auto"/>
                <w:kern w:val="2"/>
                <w:sz w:val="24"/>
                <w:szCs w:val="24"/>
                <w:highlight w:val="none"/>
                <w:lang w:val="en-US" w:eastAsia="zh-CN" w:bidi="ar-SA"/>
              </w:rPr>
              <w:t>6</w:t>
            </w:r>
            <w:r>
              <w:rPr>
                <w:rFonts w:hint="eastAsia" w:ascii="Times New Roman" w:hAnsi="Times New Roman" w:eastAsia="宋体" w:cs="宋体"/>
                <w:color w:val="auto"/>
                <w:kern w:val="2"/>
                <w:sz w:val="24"/>
                <w:szCs w:val="24"/>
                <w:highlight w:val="none"/>
                <w:lang w:val="en-US" w:eastAsia="zh-CN" w:bidi="ar-SA"/>
              </w:rPr>
              <w:t>年</w:t>
            </w:r>
            <w:r>
              <w:rPr>
                <w:rFonts w:hint="eastAsia"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18</w:t>
            </w:r>
            <w:r>
              <w:rPr>
                <w:rFonts w:hint="eastAsia" w:ascii="Times New Roman" w:hAnsi="Times New Roman" w:eastAsia="宋体" w:cs="宋体"/>
                <w:color w:val="auto"/>
                <w:kern w:val="2"/>
                <w:sz w:val="24"/>
                <w:szCs w:val="24"/>
                <w:highlight w:val="none"/>
                <w:lang w:val="en-US" w:eastAsia="zh-CN" w:bidi="ar-SA"/>
              </w:rPr>
              <w:t>日～202</w:t>
            </w:r>
            <w:r>
              <w:rPr>
                <w:rFonts w:hint="eastAsia" w:cs="宋体"/>
                <w:color w:val="auto"/>
                <w:kern w:val="2"/>
                <w:sz w:val="24"/>
                <w:szCs w:val="24"/>
                <w:highlight w:val="none"/>
                <w:lang w:val="en-US" w:eastAsia="zh-CN" w:bidi="ar-SA"/>
              </w:rPr>
              <w:t>6</w:t>
            </w:r>
            <w:r>
              <w:rPr>
                <w:rFonts w:hint="eastAsia" w:ascii="Times New Roman" w:hAnsi="Times New Roman" w:eastAsia="宋体" w:cs="宋体"/>
                <w:color w:val="auto"/>
                <w:kern w:val="2"/>
                <w:sz w:val="24"/>
                <w:szCs w:val="24"/>
                <w:highlight w:val="none"/>
                <w:lang w:val="en-US" w:eastAsia="zh-CN" w:bidi="ar-SA"/>
              </w:rPr>
              <w:t>年</w:t>
            </w:r>
            <w:r>
              <w:rPr>
                <w:rFonts w:hint="eastAsia"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19</w:t>
            </w:r>
            <w:r>
              <w:rPr>
                <w:rFonts w:hint="eastAsia" w:ascii="Times New Roman" w:hAnsi="Times New Roman" w:eastAsia="宋体" w:cs="宋体"/>
                <w:color w:val="auto"/>
                <w:kern w:val="2"/>
                <w:sz w:val="24"/>
                <w:szCs w:val="24"/>
                <w:highlight w:val="none"/>
                <w:lang w:val="en-US" w:eastAsia="zh-CN" w:bidi="ar-SA"/>
              </w:rPr>
              <w:t>日，昼间、夜间各监测一次；</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监测方法：按照《声环境质量标准》（GB 3096-2008）的规定进行；</w:t>
            </w:r>
          </w:p>
          <w:p>
            <w:pPr>
              <w:keepNext w:val="0"/>
              <w:keepLines w:val="0"/>
              <w:widowControl w:val="0"/>
              <w:suppressLineNumbers w:val="0"/>
              <w:wordWrap w:val="0"/>
              <w:adjustRightInd w:val="0"/>
              <w:snapToGrid w:val="0"/>
              <w:spacing w:before="0" w:beforeLines="0" w:beforeAutospacing="0" w:after="0" w:afterLines="0" w:afterAutospacing="0" w:line="520" w:lineRule="exact"/>
              <w:ind w:left="0" w:right="0" w:firstLine="480" w:firstLineChars="200"/>
              <w:jc w:val="left"/>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评价标准：声环境保护目标执行《声环境质量标准》（GB 3096-2008）中1类标准。声环境质量监测及评价结果见</w:t>
            </w:r>
            <w:r>
              <w:rPr>
                <w:rFonts w:hint="eastAsia" w:cs="宋体"/>
                <w:color w:val="auto"/>
                <w:kern w:val="2"/>
                <w:sz w:val="24"/>
                <w:szCs w:val="24"/>
                <w:highlight w:val="none"/>
                <w:lang w:val="en-US" w:eastAsia="zh-CN" w:bidi="ar-SA"/>
              </w:rPr>
              <w:t>下表</w:t>
            </w:r>
            <w:r>
              <w:rPr>
                <w:rFonts w:hint="eastAsia" w:ascii="Times New Roman" w:hAnsi="Times New Roman" w:eastAsia="宋体" w:cs="宋体"/>
                <w:color w:val="auto"/>
                <w:kern w:val="2"/>
                <w:sz w:val="24"/>
                <w:szCs w:val="24"/>
                <w:highlight w:val="none"/>
                <w:lang w:val="en-US" w:eastAsia="zh-CN" w:bidi="ar-SA"/>
              </w:rPr>
              <w:t>，监测点位示意图见附图</w:t>
            </w:r>
            <w:r>
              <w:rPr>
                <w:rFonts w:hint="eastAsia" w:cs="宋体"/>
                <w:color w:val="auto"/>
                <w:kern w:val="2"/>
                <w:sz w:val="24"/>
                <w:szCs w:val="24"/>
                <w:highlight w:val="none"/>
                <w:lang w:val="en-US" w:eastAsia="zh-CN" w:bidi="ar-SA"/>
              </w:rPr>
              <w:t>11</w:t>
            </w:r>
            <w:r>
              <w:rPr>
                <w:rFonts w:hint="eastAsia" w:ascii="Times New Roman" w:hAnsi="Times New Roman" w:eastAsia="宋体" w:cs="宋体"/>
                <w:color w:val="auto"/>
                <w:kern w:val="2"/>
                <w:sz w:val="24"/>
                <w:szCs w:val="24"/>
                <w:highlight w:val="none"/>
                <w:lang w:val="en-US" w:eastAsia="zh-CN" w:bidi="ar-SA"/>
              </w:rPr>
              <w:t>。</w:t>
            </w:r>
          </w:p>
          <w:p>
            <w:pPr>
              <w:pStyle w:val="5"/>
              <w:suppressLineNumbers w:val="0"/>
              <w:bidi w:val="0"/>
              <w:spacing w:before="0" w:after="0"/>
              <w:ind w:left="0" w:right="0"/>
              <w:rPr>
                <w:rFonts w:hint="eastAsia"/>
                <w:highlight w:val="yellow"/>
                <w:lang w:val="zh-CN" w:eastAsia="zh-CN"/>
              </w:rPr>
            </w:pPr>
            <w:r>
              <w:rPr>
                <w:rFonts w:hint="eastAsia"/>
                <w:lang w:val="zh-CN" w:eastAsia="zh-CN"/>
              </w:rPr>
              <w:t>表3-</w:t>
            </w:r>
            <w:r>
              <w:rPr>
                <w:rFonts w:hint="eastAsia"/>
                <w:lang w:val="en-US" w:eastAsia="zh-CN"/>
              </w:rPr>
              <w:t>4</w:t>
            </w:r>
            <w:r>
              <w:rPr>
                <w:rFonts w:hint="eastAsia"/>
                <w:lang w:val="zh-CN" w:eastAsia="zh-CN"/>
              </w:rPr>
              <w:t xml:space="preserve">  声环境噪声监测及评价结果一览表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750"/>
              <w:gridCol w:w="1650"/>
              <w:gridCol w:w="725"/>
              <w:gridCol w:w="663"/>
              <w:gridCol w:w="800"/>
              <w:gridCol w:w="657"/>
              <w:gridCol w:w="642"/>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1395" w:type="pct"/>
                  <w:gridSpan w:val="2"/>
                  <w:vMerge w:val="restart"/>
                  <w:tcBorders>
                    <w:top w:val="single" w:color="auto" w:sz="4" w:space="0"/>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color w:val="auto"/>
                      <w:sz w:val="21"/>
                      <w:szCs w:val="21"/>
                      <w:highlight w:val="yellow"/>
                    </w:rPr>
                  </w:pPr>
                  <w:r>
                    <w:rPr>
                      <w:rFonts w:hint="eastAsia"/>
                      <w:color w:val="auto"/>
                      <w:sz w:val="21"/>
                      <w:szCs w:val="21"/>
                      <w:highlight w:val="none"/>
                    </w:rPr>
                    <w:t>点位</w:t>
                  </w:r>
                </w:p>
              </w:tc>
              <w:tc>
                <w:tcPr>
                  <w:tcW w:w="1028" w:type="pct"/>
                  <w:vMerge w:val="restart"/>
                  <w:tcBorders>
                    <w:top w:val="single" w:color="auto" w:sz="4" w:space="0"/>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点位</w:t>
                  </w:r>
                </w:p>
              </w:tc>
              <w:tc>
                <w:tcPr>
                  <w:tcW w:w="86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rPr>
                    <w:t>现状值</w:t>
                  </w:r>
                </w:p>
              </w:tc>
              <w:tc>
                <w:tcPr>
                  <w:tcW w:w="90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标准值</w:t>
                  </w:r>
                </w:p>
              </w:tc>
              <w:tc>
                <w:tcPr>
                  <w:tcW w:w="80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rPr>
                    <w:t>达标分析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95" w:type="pct"/>
                  <w:gridSpan w:val="2"/>
                  <w:vMerge w:val="continue"/>
                  <w:tcBorders>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color w:val="auto"/>
                      <w:sz w:val="21"/>
                      <w:szCs w:val="21"/>
                      <w:highlight w:val="yellow"/>
                    </w:rPr>
                  </w:pPr>
                </w:p>
              </w:tc>
              <w:tc>
                <w:tcPr>
                  <w:tcW w:w="1028" w:type="pct"/>
                  <w:vMerge w:val="continue"/>
                  <w:tcBorders>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color w:val="auto"/>
                      <w:sz w:val="21"/>
                      <w:szCs w:val="21"/>
                      <w:highlight w:val="yellow"/>
                    </w:rPr>
                  </w:pP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rPr>
                    <w:t>昼间</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rPr>
                    <w:t>夜间</w:t>
                  </w:r>
                </w:p>
              </w:tc>
              <w:tc>
                <w:tcPr>
                  <w:tcW w:w="49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color w:val="auto"/>
                      <w:sz w:val="21"/>
                      <w:szCs w:val="21"/>
                      <w:highlight w:val="none"/>
                    </w:rPr>
                  </w:pPr>
                  <w:r>
                    <w:rPr>
                      <w:rFonts w:hint="eastAsia"/>
                      <w:color w:val="auto"/>
                      <w:sz w:val="21"/>
                      <w:szCs w:val="21"/>
                      <w:highlight w:val="none"/>
                    </w:rPr>
                    <w:t>昼间</w:t>
                  </w:r>
                </w:p>
              </w:tc>
              <w:tc>
                <w:tcPr>
                  <w:tcW w:w="40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color w:val="auto"/>
                      <w:sz w:val="21"/>
                      <w:szCs w:val="21"/>
                      <w:highlight w:val="none"/>
                    </w:rPr>
                  </w:pPr>
                  <w:r>
                    <w:rPr>
                      <w:rFonts w:hint="eastAsia"/>
                      <w:color w:val="auto"/>
                      <w:sz w:val="21"/>
                      <w:szCs w:val="21"/>
                      <w:highlight w:val="none"/>
                    </w:rPr>
                    <w:t>夜间</w:t>
                  </w: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rPr>
                    <w:t>昼间</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1#</w:t>
                  </w:r>
                </w:p>
              </w:tc>
              <w:tc>
                <w:tcPr>
                  <w:tcW w:w="109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lang w:val="en-US"/>
                    </w:rPr>
                  </w:pPr>
                  <w:r>
                    <w:rPr>
                      <w:rFonts w:hint="eastAsia"/>
                      <w:lang w:val="en-US" w:eastAsia="zh-CN"/>
                    </w:rPr>
                    <w:t>英苏牧业村</w:t>
                  </w:r>
                </w:p>
              </w:tc>
              <w:tc>
                <w:tcPr>
                  <w:tcW w:w="10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E:</w:t>
                  </w:r>
                  <w:r>
                    <w:rPr>
                      <w:rFonts w:hint="default"/>
                      <w:lang w:val="en-US" w:eastAsia="zh-CN"/>
                    </w:rPr>
                    <w:t>88°10′21.477″,</w:t>
                  </w:r>
                  <w:r>
                    <w:rPr>
                      <w:rFonts w:hint="eastAsia"/>
                      <w:lang w:val="en-US" w:eastAsia="zh-CN"/>
                    </w:rPr>
                    <w:t>N:</w:t>
                  </w:r>
                  <w:r>
                    <w:rPr>
                      <w:rFonts w:hint="default"/>
                      <w:lang w:val="en-US" w:eastAsia="zh-CN"/>
                    </w:rPr>
                    <w:t>39°3′34.49</w:t>
                  </w:r>
                  <w:r>
                    <w:rPr>
                      <w:rFonts w:hint="eastAsia"/>
                      <w:lang w:val="en-US" w:eastAsia="zh-CN"/>
                    </w:rPr>
                    <w:t>2</w:t>
                  </w:r>
                  <w:r>
                    <w:rPr>
                      <w:rFonts w:hint="default"/>
                      <w:lang w:val="en-US" w:eastAsia="zh-CN"/>
                    </w:rPr>
                    <w:t>″</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highlight w:val="none"/>
                      <w:lang w:val="en-US" w:eastAsia="zh-CN"/>
                    </w:rPr>
                    <w:t>44</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42</w:t>
                  </w:r>
                </w:p>
              </w:tc>
              <w:tc>
                <w:tcPr>
                  <w:tcW w:w="498" w:type="pct"/>
                  <w:vMerge w:val="restart"/>
                  <w:tcBorders>
                    <w:top w:val="single" w:color="auto" w:sz="4" w:space="0"/>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55</w:t>
                  </w:r>
                </w:p>
              </w:tc>
              <w:tc>
                <w:tcPr>
                  <w:tcW w:w="409" w:type="pct"/>
                  <w:vMerge w:val="restart"/>
                  <w:tcBorders>
                    <w:top w:val="single" w:color="auto" w:sz="4" w:space="0"/>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45</w:t>
                  </w: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109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托格拉克勒克村</w:t>
                  </w:r>
                </w:p>
              </w:tc>
              <w:tc>
                <w:tcPr>
                  <w:tcW w:w="10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E:88°10′6.800″,</w:t>
                  </w:r>
                </w:p>
                <w:p>
                  <w:pPr>
                    <w:pStyle w:val="6"/>
                    <w:suppressLineNumbers w:val="0"/>
                    <w:bidi w:val="0"/>
                    <w:spacing w:before="0" w:beforeAutospacing="0" w:after="0" w:afterAutospacing="0"/>
                    <w:ind w:left="0" w:right="0"/>
                    <w:rPr>
                      <w:rFonts w:hint="default"/>
                      <w:lang w:val="en-US" w:eastAsia="zh-CN"/>
                    </w:rPr>
                  </w:pPr>
                  <w:r>
                    <w:rPr>
                      <w:rFonts w:hint="default"/>
                      <w:lang w:val="en-US" w:eastAsia="zh-CN"/>
                    </w:rPr>
                    <w:t>N:39°3′30.359″</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highlight w:val="none"/>
                      <w:lang w:val="en-US" w:eastAsia="zh-CN"/>
                    </w:rPr>
                    <w:t>45</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41</w:t>
                  </w:r>
                </w:p>
              </w:tc>
              <w:tc>
                <w:tcPr>
                  <w:tcW w:w="498" w:type="pct"/>
                  <w:vMerge w:val="continue"/>
                  <w:tcBorders>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9" w:type="pct"/>
                  <w:vMerge w:val="continue"/>
                  <w:tcBorders>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09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托格拉克勒克村</w:t>
                  </w:r>
                </w:p>
              </w:tc>
              <w:tc>
                <w:tcPr>
                  <w:tcW w:w="10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E:88°10′7.95</w:t>
                  </w:r>
                  <w:r>
                    <w:rPr>
                      <w:rFonts w:hint="eastAsia"/>
                      <w:lang w:val="en-US" w:eastAsia="zh-CN"/>
                    </w:rPr>
                    <w:t>9</w:t>
                  </w:r>
                  <w:r>
                    <w:rPr>
                      <w:rFonts w:hint="default"/>
                      <w:lang w:val="en-US" w:eastAsia="zh-CN"/>
                    </w:rPr>
                    <w:t>″,</w:t>
                  </w:r>
                </w:p>
                <w:p>
                  <w:pPr>
                    <w:pStyle w:val="6"/>
                    <w:suppressLineNumbers w:val="0"/>
                    <w:bidi w:val="0"/>
                    <w:spacing w:before="0" w:beforeAutospacing="0" w:after="0" w:afterAutospacing="0"/>
                    <w:ind w:left="0" w:right="0"/>
                    <w:rPr>
                      <w:rFonts w:hint="default"/>
                      <w:lang w:val="en-US" w:eastAsia="zh-CN"/>
                    </w:rPr>
                  </w:pPr>
                  <w:r>
                    <w:rPr>
                      <w:rFonts w:hint="default"/>
                      <w:lang w:val="en-US" w:eastAsia="zh-CN"/>
                    </w:rPr>
                    <w:t>N:39°3′17.188″</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leftChars="0" w:right="0" w:rightChars="0"/>
                    <w:rPr>
                      <w:rFonts w:hint="default" w:eastAsia="宋体"/>
                      <w:color w:val="auto"/>
                      <w:sz w:val="21"/>
                      <w:szCs w:val="21"/>
                      <w:highlight w:val="none"/>
                      <w:lang w:val="en-US" w:eastAsia="zh-CN"/>
                    </w:rPr>
                  </w:pPr>
                  <w:r>
                    <w:rPr>
                      <w:rFonts w:hint="eastAsia"/>
                      <w:color w:val="auto"/>
                      <w:sz w:val="21"/>
                      <w:szCs w:val="21"/>
                      <w:highlight w:val="none"/>
                      <w:lang w:val="en-US" w:eastAsia="zh-CN"/>
                    </w:rPr>
                    <w:t>47</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leftChars="0" w:right="0" w:rightChars="0"/>
                    <w:rPr>
                      <w:rFonts w:hint="default" w:eastAsia="宋体"/>
                      <w:color w:val="auto"/>
                      <w:sz w:val="21"/>
                      <w:szCs w:val="21"/>
                      <w:highlight w:val="none"/>
                      <w:lang w:val="en-US" w:eastAsia="zh-CN"/>
                    </w:rPr>
                  </w:pPr>
                  <w:r>
                    <w:rPr>
                      <w:rFonts w:hint="eastAsia"/>
                      <w:color w:val="auto"/>
                      <w:sz w:val="21"/>
                      <w:szCs w:val="21"/>
                      <w:highlight w:val="none"/>
                      <w:lang w:val="en-US" w:eastAsia="zh-CN"/>
                    </w:rPr>
                    <w:t>41</w:t>
                  </w:r>
                </w:p>
              </w:tc>
              <w:tc>
                <w:tcPr>
                  <w:tcW w:w="498" w:type="pct"/>
                  <w:vMerge w:val="continue"/>
                  <w:tcBorders>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9" w:type="pct"/>
                  <w:vMerge w:val="continue"/>
                  <w:tcBorders>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09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lang w:val="en-US"/>
                    </w:rPr>
                  </w:pPr>
                  <w:r>
                    <w:rPr>
                      <w:rFonts w:hint="default"/>
                      <w:lang w:val="en-US" w:eastAsia="zh-CN"/>
                    </w:rPr>
                    <w:t>托格拉克勒克村</w:t>
                  </w:r>
                </w:p>
              </w:tc>
              <w:tc>
                <w:tcPr>
                  <w:tcW w:w="10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E:88°10′9.079″,</w:t>
                  </w:r>
                </w:p>
                <w:p>
                  <w:pPr>
                    <w:pStyle w:val="6"/>
                    <w:suppressLineNumbers w:val="0"/>
                    <w:bidi w:val="0"/>
                    <w:spacing w:before="0" w:beforeAutospacing="0" w:after="0" w:afterAutospacing="0"/>
                    <w:ind w:left="0" w:right="0"/>
                    <w:rPr>
                      <w:rFonts w:hint="default"/>
                      <w:lang w:val="en-US" w:eastAsia="zh-CN"/>
                    </w:rPr>
                  </w:pPr>
                  <w:r>
                    <w:rPr>
                      <w:rFonts w:hint="default"/>
                      <w:lang w:val="en-US" w:eastAsia="zh-CN"/>
                    </w:rPr>
                    <w:t>N:39°3′2.936″</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highlight w:val="none"/>
                      <w:lang w:val="en-US" w:eastAsia="zh-CN"/>
                    </w:rPr>
                    <w:t>47</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eastAsia="宋体"/>
                      <w:color w:val="auto"/>
                      <w:highlight w:val="none"/>
                      <w:lang w:val="en-US" w:eastAsia="zh-CN"/>
                    </w:rPr>
                    <w:t>4</w:t>
                  </w:r>
                  <w:r>
                    <w:rPr>
                      <w:rFonts w:hint="eastAsia"/>
                      <w:color w:val="auto"/>
                      <w:highlight w:val="none"/>
                      <w:lang w:val="en-US" w:eastAsia="zh-CN"/>
                    </w:rPr>
                    <w:t>1</w:t>
                  </w:r>
                </w:p>
              </w:tc>
              <w:tc>
                <w:tcPr>
                  <w:tcW w:w="498" w:type="pct"/>
                  <w:vMerge w:val="continue"/>
                  <w:tcBorders>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9" w:type="pct"/>
                  <w:vMerge w:val="continue"/>
                  <w:tcBorders>
                    <w:left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0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09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托格拉克勒克村</w:t>
                  </w:r>
                </w:p>
              </w:tc>
              <w:tc>
                <w:tcPr>
                  <w:tcW w:w="102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E:88°9′47.52</w:t>
                  </w:r>
                  <w:r>
                    <w:rPr>
                      <w:rFonts w:hint="eastAsia"/>
                      <w:lang w:val="en-US" w:eastAsia="zh-CN"/>
                    </w:rPr>
                    <w:t>7</w:t>
                  </w:r>
                  <w:r>
                    <w:rPr>
                      <w:rFonts w:hint="default"/>
                      <w:lang w:val="en-US" w:eastAsia="zh-CN"/>
                    </w:rPr>
                    <w:t>″,</w:t>
                  </w:r>
                </w:p>
                <w:p>
                  <w:pPr>
                    <w:pStyle w:val="6"/>
                    <w:suppressLineNumbers w:val="0"/>
                    <w:bidi w:val="0"/>
                    <w:spacing w:before="0" w:beforeAutospacing="0" w:after="0" w:afterAutospacing="0"/>
                    <w:ind w:left="0" w:right="0"/>
                    <w:rPr>
                      <w:rFonts w:hint="default"/>
                      <w:lang w:val="en-US" w:eastAsia="zh-CN"/>
                    </w:rPr>
                  </w:pPr>
                  <w:r>
                    <w:rPr>
                      <w:rFonts w:hint="default"/>
                      <w:lang w:val="en-US" w:eastAsia="zh-CN"/>
                    </w:rPr>
                    <w:t>N:39°2′53.20</w:t>
                  </w:r>
                  <w:r>
                    <w:rPr>
                      <w:rFonts w:hint="eastAsia"/>
                      <w:lang w:val="en-US" w:eastAsia="zh-CN"/>
                    </w:rPr>
                    <w:t>3</w:t>
                  </w:r>
                  <w:r>
                    <w:rPr>
                      <w:rFonts w:hint="default"/>
                      <w:lang w:val="en-US" w:eastAsia="zh-CN"/>
                    </w:rPr>
                    <w:t>″</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highlight w:val="none"/>
                      <w:lang w:val="en-US" w:eastAsia="zh-CN"/>
                    </w:rPr>
                    <w:t>48</w:t>
                  </w:r>
                </w:p>
              </w:tc>
              <w:tc>
                <w:tcPr>
                  <w:tcW w:w="41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c>
                <w:tcPr>
                  <w:tcW w:w="498" w:type="pct"/>
                  <w:vMerge w:val="continue"/>
                  <w:tcBorders>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9" w:type="pct"/>
                  <w:vMerge w:val="continue"/>
                  <w:tcBorders>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eastAsia="宋体"/>
                      <w:color w:val="auto"/>
                      <w:sz w:val="21"/>
                      <w:szCs w:val="21"/>
                      <w:highlight w:val="none"/>
                      <w:lang w:val="en-US" w:eastAsia="zh-CN"/>
                    </w:rPr>
                  </w:pPr>
                </w:p>
              </w:tc>
              <w:tc>
                <w:tcPr>
                  <w:tcW w:w="40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eepNext w:val="0"/>
                    <w:keepLines w:val="0"/>
                    <w:suppressLineNumbers w:val="0"/>
                    <w:spacing w:before="0" w:beforeLines="0" w:beforeAutospacing="0" w:after="0" w:afterLines="0" w:afterAutospacing="0"/>
                    <w:ind w:left="0" w:right="0"/>
                    <w:rPr>
                      <w:rFonts w:hint="default"/>
                      <w:color w:val="auto"/>
                      <w:sz w:val="21"/>
                      <w:szCs w:val="21"/>
                      <w:highlight w:val="none"/>
                    </w:rPr>
                  </w:pPr>
                  <w:r>
                    <w:rPr>
                      <w:rFonts w:hint="eastAsia"/>
                      <w:color w:val="auto"/>
                      <w:sz w:val="21"/>
                      <w:szCs w:val="21"/>
                      <w:highlight w:val="none"/>
                      <w:lang w:val="en-US" w:eastAsia="zh-CN"/>
                    </w:rPr>
                    <w:t>达标</w:t>
                  </w:r>
                </w:p>
              </w:tc>
            </w:tr>
          </w:tbl>
          <w:p>
            <w:pPr>
              <w:keepNext w:val="0"/>
              <w:keepLines w:val="0"/>
              <w:suppressLineNumbers w:val="0"/>
              <w:bidi w:val="0"/>
              <w:spacing w:before="0" w:beforeAutospacing="0" w:after="0" w:afterAutospacing="0"/>
              <w:ind w:left="0" w:right="0"/>
              <w:rPr>
                <w:rFonts w:hint="eastAsia"/>
              </w:rPr>
            </w:pPr>
            <w:r>
              <w:rPr>
                <w:rFonts w:hint="eastAsia"/>
              </w:rPr>
              <w:t>由表3-</w:t>
            </w:r>
            <w:r>
              <w:rPr>
                <w:rFonts w:hint="eastAsia"/>
                <w:lang w:val="en-US" w:eastAsia="zh-CN"/>
              </w:rPr>
              <w:t>4</w:t>
            </w:r>
            <w:r>
              <w:rPr>
                <w:rFonts w:hint="eastAsia"/>
              </w:rPr>
              <w:t>可知，项目区保护目标声环境质量现状满足《声环境质量标准》（</w:t>
            </w:r>
            <w:r>
              <w:rPr>
                <w:rFonts w:hint="eastAsia"/>
                <w:lang w:eastAsia="zh-CN"/>
              </w:rPr>
              <w:t xml:space="preserve">GB </w:t>
            </w:r>
            <w:r>
              <w:rPr>
                <w:rFonts w:hint="default"/>
              </w:rPr>
              <w:t>3096-2008</w:t>
            </w:r>
            <w:r>
              <w:rPr>
                <w:rFonts w:hint="eastAsia"/>
              </w:rPr>
              <w:t>）中</w:t>
            </w:r>
            <w:r>
              <w:rPr>
                <w:rFonts w:hint="eastAsia"/>
                <w:lang w:val="en-US" w:eastAsia="zh-CN"/>
              </w:rPr>
              <w:t>1类</w:t>
            </w:r>
            <w:r>
              <w:rPr>
                <w:rFonts w:hint="eastAsia"/>
              </w:rPr>
              <w:t>标准要求。</w:t>
            </w:r>
          </w:p>
          <w:p>
            <w:pPr>
              <w:pStyle w:val="3"/>
              <w:keepLines w:val="0"/>
              <w:suppressLineNumbers w:val="0"/>
              <w:bidi w:val="0"/>
              <w:spacing w:before="0" w:beforeAutospacing="0" w:after="0" w:afterAutospacing="0"/>
              <w:ind w:right="0"/>
              <w:rPr>
                <w:rFonts w:hint="eastAsia"/>
              </w:rPr>
            </w:pPr>
            <w:r>
              <w:rPr>
                <w:rFonts w:hint="eastAsia"/>
                <w:lang w:val="en-US" w:eastAsia="zh-CN"/>
              </w:rPr>
              <w:t xml:space="preserve">7 </w:t>
            </w:r>
            <w:r>
              <w:rPr>
                <w:rFonts w:hint="eastAsia"/>
              </w:rPr>
              <w:t>地下水、土壤环境</w:t>
            </w:r>
          </w:p>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20" w:lineRule="exact"/>
              <w:ind w:left="0" w:right="0" w:firstLine="480" w:firstLineChars="200"/>
              <w:jc w:val="both"/>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本项目属于《环境影响评价技术导则</w:t>
            </w:r>
            <w:r>
              <w:rPr>
                <w:rFonts w:hint="eastAsia" w:cs="Times New Roman"/>
                <w:color w:val="auto"/>
                <w:kern w:val="0"/>
                <w:sz w:val="24"/>
                <w:szCs w:val="24"/>
                <w:highlight w:val="none"/>
                <w:lang w:val="en-US" w:eastAsia="zh-CN" w:bidi="ar-SA"/>
              </w:rPr>
              <w:t xml:space="preserve"> </w:t>
            </w:r>
            <w:r>
              <w:rPr>
                <w:rFonts w:hint="eastAsia" w:ascii="Times New Roman" w:hAnsi="Times New Roman" w:eastAsia="宋体" w:cs="Times New Roman"/>
                <w:color w:val="auto"/>
                <w:kern w:val="0"/>
                <w:sz w:val="24"/>
                <w:szCs w:val="24"/>
                <w:highlight w:val="none"/>
                <w:lang w:val="en-US" w:eastAsia="zh-CN" w:bidi="ar-SA"/>
              </w:rPr>
              <w:t>地下水环境》（HJ610-2016）附录A地下水环境影响评价行业分类表中的“2灌区工程－其他”，项目类别均属</w:t>
            </w:r>
            <w:r>
              <w:rPr>
                <w:rFonts w:hint="default" w:ascii="Times New Roman" w:hAnsi="Times New Roman" w:eastAsia="宋体" w:cs="Times New Roman"/>
                <w:color w:val="auto"/>
                <w:kern w:val="0"/>
                <w:sz w:val="24"/>
                <w:szCs w:val="24"/>
                <w:highlight w:val="none"/>
                <w:lang w:val="en-US" w:eastAsia="zh-CN" w:bidi="ar-SA"/>
              </w:rPr>
              <w:t>Ⅳ</w:t>
            </w:r>
            <w:r>
              <w:rPr>
                <w:rFonts w:hint="eastAsia" w:ascii="Times New Roman" w:hAnsi="Times New Roman" w:eastAsia="宋体" w:cs="Times New Roman"/>
                <w:color w:val="auto"/>
                <w:kern w:val="0"/>
                <w:sz w:val="24"/>
                <w:szCs w:val="24"/>
                <w:highlight w:val="none"/>
                <w:lang w:val="en-US" w:eastAsia="zh-CN" w:bidi="ar-SA"/>
              </w:rPr>
              <w:t>类建设项目，可不开展地下水环境质量现状调查工作。</w:t>
            </w:r>
          </w:p>
          <w:p>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20" w:lineRule="exact"/>
              <w:ind w:left="0" w:right="0" w:firstLine="480" w:firstLineChars="200"/>
              <w:jc w:val="both"/>
              <w:rPr>
                <w:rFonts w:hint="default" w:ascii="宋体" w:hAnsi="宋体" w:cs="宋体"/>
                <w:color w:val="auto"/>
                <w:kern w:val="0"/>
                <w:szCs w:val="21"/>
              </w:rPr>
            </w:pPr>
            <w:r>
              <w:rPr>
                <w:rFonts w:hint="eastAsia" w:ascii="Times New Roman" w:hAnsi="Times New Roman" w:eastAsia="宋体" w:cs="Times New Roman"/>
                <w:color w:val="auto"/>
                <w:kern w:val="0"/>
                <w:sz w:val="24"/>
                <w:szCs w:val="24"/>
                <w:highlight w:val="none"/>
                <w:lang w:val="en-US" w:eastAsia="zh-CN" w:bidi="ar-SA"/>
              </w:rPr>
              <w:t>根据《环境影响评价技术导则 土壤环境（试行）》（HJ 964-2018）附录A土壤环境影响评价项目类别中的“农林牧渔业-其他”，项目类别均属Ⅳ类建设项目，可不开展</w:t>
            </w:r>
            <w:r>
              <w:rPr>
                <w:rFonts w:hint="eastAsia" w:cs="Times New Roman"/>
                <w:color w:val="auto"/>
                <w:kern w:val="0"/>
                <w:sz w:val="24"/>
                <w:szCs w:val="24"/>
                <w:highlight w:val="none"/>
                <w:lang w:val="en-US" w:eastAsia="zh-CN" w:bidi="ar-SA"/>
              </w:rPr>
              <w:t>土壤</w:t>
            </w:r>
            <w:r>
              <w:rPr>
                <w:rFonts w:hint="eastAsia" w:ascii="Times New Roman" w:hAnsi="Times New Roman" w:eastAsia="宋体" w:cs="Times New Roman"/>
                <w:color w:val="auto"/>
                <w:kern w:val="0"/>
                <w:sz w:val="24"/>
                <w:szCs w:val="24"/>
                <w:highlight w:val="none"/>
                <w:lang w:val="en-US" w:eastAsia="zh-CN" w:bidi="ar-SA"/>
              </w:rPr>
              <w:t>环境质量现状调查工作。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0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cs="宋体"/>
                <w:color w:val="auto"/>
                <w:kern w:val="0"/>
                <w:szCs w:val="21"/>
              </w:rPr>
            </w:pPr>
            <w:r>
              <w:rPr>
                <w:rFonts w:hint="eastAsia" w:ascii="宋体" w:hAnsi="宋体"/>
                <w:bCs/>
                <w:color w:val="auto"/>
                <w:sz w:val="21"/>
                <w:szCs w:val="21"/>
              </w:rPr>
              <w:t>与项目有关的原有环境污染和生态破坏问题</w:t>
            </w:r>
          </w:p>
        </w:tc>
        <w:tc>
          <w:tcPr>
            <w:tcW w:w="8253" w:type="dxa"/>
            <w:noWrap w:val="0"/>
            <w:vAlign w:val="center"/>
          </w:tcPr>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 工程现状</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现场踏勘，灌区内基本形成条田、渠道、林带、道路、居民点的格局，规划布局也基本合理，但由于自然条件及资金等原因，灌溉渠道未能防渗，原有设施破损、缺失严重；局部时段供水能力不足。灌区存在以下几个方面问题：</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（1）渠道渗漏损失大，</w:t>
            </w:r>
            <w:r>
              <w:rPr>
                <w:rFonts w:hint="eastAsia"/>
                <w:lang w:val="en-US" w:eastAsia="zh-CN"/>
              </w:rPr>
              <w:t>构筑物</w:t>
            </w:r>
            <w:r>
              <w:rPr>
                <w:rFonts w:hint="default"/>
                <w:lang w:val="en-US" w:eastAsia="zh-CN"/>
              </w:rPr>
              <w:t>缺失灌溉困难</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工程现状输水渠道中部分干渠为未经防渗土渠，渗漏损失严重，水资源浪费较大；因渠道纵坡较小，渠道流水不畅，分水口</w:t>
            </w:r>
            <w:r>
              <w:rPr>
                <w:rFonts w:hint="eastAsia"/>
                <w:lang w:val="en-US" w:eastAsia="zh-CN"/>
              </w:rPr>
              <w:t>构筑物</w:t>
            </w:r>
            <w:r>
              <w:rPr>
                <w:rFonts w:hint="default"/>
                <w:lang w:val="en-US" w:eastAsia="zh-CN"/>
              </w:rPr>
              <w:t>缺失，导致灌溉困难，多处边坡塌陷，掏蚀严重。</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（2）冲刷、淤积破坏较为严重</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区地形较为平坦，因此渠道纵坡较小，流速较小，导致在输水过程中时常发生淤积、翻水，导致渠肩塌陷，造成断面不规则，甚至出现冲坑，水土流失较为严重。为确保灌区农牧业生产的正常用水，灌区农民群众每年需对渠道进行维修整治，增加了灌区农民群众的负担。</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（3）管理设施不完善且管理力量薄弱</w:t>
            </w:r>
          </w:p>
          <w:p>
            <w:pPr>
              <w:keepNext w:val="0"/>
              <w:keepLines w:val="0"/>
              <w:suppressLineNumbers w:val="0"/>
              <w:bidi w:val="0"/>
              <w:spacing w:before="0" w:beforeAutospacing="0" w:after="0" w:afterAutospacing="0"/>
              <w:ind w:left="0" w:right="0"/>
              <w:rPr>
                <w:rFonts w:hint="eastAsia" w:cs="Times New Roman"/>
                <w:color w:val="auto"/>
                <w:sz w:val="24"/>
                <w:szCs w:val="24"/>
                <w:highlight w:val="none"/>
                <w:lang w:val="en-US" w:eastAsia="zh-CN"/>
              </w:rPr>
            </w:pPr>
            <w:r>
              <w:rPr>
                <w:rFonts w:hint="eastAsia"/>
                <w:lang w:val="en-US" w:eastAsia="zh-CN"/>
              </w:rPr>
              <w:t>灌区内量水、测水设施少，未设置自动化监控系统，无法有效调配水量，灌区用水量采用按亩均摊的办法，给用水单位用水和水管部门管理造成困难。渠道沿线配套构筑物数量不足、不完善、不配套，农民破坏渠道随意设立取水口、木桥，更有甚者，房屋建在渠道上，存在安全隐患。闸门年久失修、变形，闸门简陋，部分分水口缺少闸门，启闭设备不配套、操作不灵活，止水橡皮老化，闸门漏水严重，已不能起到节制控水作用。虽然建立了管理机构，但缺少科学的管理机制，人员配置不全，技术力量薄弱，不能按灌区需水适量灌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 xml:space="preserve"> </w:t>
            </w:r>
            <w:r>
              <w:rPr>
                <w:rFonts w:hint="eastAsia" w:cs="Times New Roman"/>
                <w:b/>
                <w:bCs/>
                <w:color w:val="auto"/>
                <w:sz w:val="24"/>
                <w:szCs w:val="24"/>
                <w:highlight w:val="none"/>
                <w:lang w:val="en-US" w:eastAsia="zh-CN"/>
              </w:rPr>
              <w:t>整改后影响</w:t>
            </w:r>
          </w:p>
          <w:p>
            <w:pPr>
              <w:keepNext w:val="0"/>
              <w:keepLines w:val="0"/>
              <w:suppressLineNumbers w:val="0"/>
              <w:bidi w:val="0"/>
              <w:spacing w:before="0" w:beforeAutospacing="0" w:after="0" w:afterAutospacing="0"/>
              <w:ind w:left="0" w:right="0"/>
              <w:rPr>
                <w:rFonts w:hint="default"/>
              </w:rPr>
            </w:pPr>
            <w:r>
              <w:rPr>
                <w:rFonts w:hint="default" w:ascii="Times New Roman" w:hAnsi="Times New Roman" w:eastAsia="宋体" w:cs="Times New Roman"/>
                <w:b w:val="0"/>
                <w:bCs w:val="0"/>
                <w:color w:val="auto"/>
                <w:sz w:val="24"/>
                <w:szCs w:val="24"/>
                <w:highlight w:val="none"/>
                <w:lang w:val="en-US" w:eastAsia="zh-CN"/>
              </w:rPr>
              <w:t>本项目为原有灌渠改造及构筑物配套工程，各改建渠道均沿原渠道进行建设，不破坏渠道周边环境。所有渠道均采取有效防渗措施，防止渠水渗漏，提高渠系利用系数。工程实施后，可减少渗漏损失，增加有效水量，改善灌溉条件，提高作物产量，增加生态用水，具有良好的经济、生态、社会效益，项目的实施将为灌区经济的可持续发展奠定坚实的基础，工程的实施能够一定的有效保障项目区灌区</w:t>
            </w:r>
            <w:r>
              <w:rPr>
                <w:rFonts w:hint="eastAsia" w:cs="Times New Roman"/>
                <w:b w:val="0"/>
                <w:bCs w:val="0"/>
                <w:color w:val="auto"/>
                <w:sz w:val="24"/>
                <w:szCs w:val="24"/>
                <w:highlight w:val="none"/>
                <w:lang w:val="en-US" w:eastAsia="zh-CN"/>
              </w:rPr>
              <w:t>223</w:t>
            </w:r>
            <w:r>
              <w:rPr>
                <w:rFonts w:hint="default" w:ascii="Times New Roman" w:hAnsi="Times New Roman" w:eastAsia="宋体" w:cs="Times New Roman"/>
                <w:b w:val="0"/>
                <w:bCs w:val="0"/>
                <w:color w:val="auto"/>
                <w:sz w:val="24"/>
                <w:szCs w:val="24"/>
                <w:highlight w:val="none"/>
                <w:lang w:val="en-US" w:eastAsia="zh-CN"/>
              </w:rPr>
              <w:t>0亩的灌溉用水量。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0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cs="宋体"/>
                <w:color w:val="auto"/>
                <w:kern w:val="0"/>
                <w:szCs w:val="21"/>
              </w:rPr>
            </w:pPr>
            <w:r>
              <w:rPr>
                <w:rFonts w:hint="eastAsia" w:ascii="宋体" w:hAnsi="宋体" w:cs="宋体"/>
                <w:color w:val="auto"/>
                <w:kern w:val="0"/>
                <w:sz w:val="21"/>
                <w:szCs w:val="21"/>
              </w:rPr>
              <w:t>生态环境保护目标</w:t>
            </w:r>
          </w:p>
        </w:tc>
        <w:tc>
          <w:tcPr>
            <w:tcW w:w="8253" w:type="dxa"/>
            <w:noWrap w:val="0"/>
            <w:vAlign w:val="center"/>
          </w:tcPr>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（1）环境空气保护目标</w:t>
            </w:r>
          </w:p>
          <w:p>
            <w:pPr>
              <w:keepNext w:val="0"/>
              <w:keepLines w:val="0"/>
              <w:suppressLineNumbers w:val="0"/>
              <w:bidi w:val="0"/>
              <w:spacing w:before="0" w:beforeAutospacing="0" w:after="0" w:afterAutospacing="0"/>
              <w:ind w:left="0" w:right="0"/>
              <w:rPr>
                <w:rFonts w:hint="default"/>
              </w:rPr>
            </w:pPr>
            <w:r>
              <w:rPr>
                <w:rFonts w:hint="eastAsia"/>
                <w:lang w:val="en-US" w:eastAsia="zh-CN"/>
              </w:rPr>
              <w:t>根据现场勘查，项目区周界外500m范围内有环境空气保护目标，主要是村庄。</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（2）地下水环境保护目标</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本工程边界外500米范围内无地下水集中式饮用水水源和热水、矿泉水、温泉等特殊地下水资源。</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（3）地表水环境保护目标</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项目区西侧230m处为若羌河</w:t>
            </w:r>
            <w:r>
              <w:rPr>
                <w:rFonts w:hint="eastAsia"/>
                <w:lang w:eastAsia="zh-CN"/>
              </w:rPr>
              <w:t>。</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（4）声环境保护目标</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项目周边50m范围内有声环境保护目标，主要是村庄。</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（5）生态环境保护目标</w:t>
            </w:r>
          </w:p>
          <w:p>
            <w:pPr>
              <w:keepNext w:val="0"/>
              <w:keepLines w:val="0"/>
              <w:suppressLineNumbers w:val="0"/>
              <w:bidi w:val="0"/>
              <w:spacing w:before="0" w:beforeAutospacing="0" w:after="0" w:afterAutospacing="0"/>
              <w:ind w:left="0" w:right="0"/>
              <w:rPr>
                <w:rFonts w:hint="default"/>
                <w:lang w:val="en-US" w:eastAsia="zh-CN"/>
              </w:rPr>
            </w:pPr>
            <w:r>
              <w:rPr>
                <w:rFonts w:hint="eastAsia"/>
              </w:rPr>
              <w:t>根据踏勘和调查，本项目不涉及《</w:t>
            </w:r>
            <w:r>
              <w:rPr>
                <w:rFonts w:hint="eastAsia"/>
                <w:lang w:eastAsia="zh-CN"/>
              </w:rPr>
              <w:t>环境影响评价技术导则 生态影响</w:t>
            </w:r>
            <w:r>
              <w:rPr>
                <w:rFonts w:hint="eastAsia"/>
              </w:rPr>
              <w:fldChar w:fldCharType="begin"/>
            </w:r>
            <w:r>
              <w:rPr>
                <w:rFonts w:hint="eastAsia"/>
              </w:rPr>
              <w:instrText xml:space="preserve">HYPERLINK"http://www.mee.gov.cn/ywgz/fgbz/bz/bzwb/other/pjjsdz/201104/W020130206494860363682.pdf"</w:instrText>
            </w:r>
            <w:r>
              <w:rPr>
                <w:rFonts w:hint="eastAsia"/>
              </w:rPr>
              <w:fldChar w:fldCharType="separate"/>
            </w:r>
            <w:r>
              <w:rPr>
                <w:rFonts w:hint="eastAsia"/>
              </w:rPr>
              <w:t>》（HJ19-20</w:t>
            </w:r>
            <w:r>
              <w:rPr>
                <w:rFonts w:hint="eastAsia"/>
                <w:lang w:val="en-US" w:eastAsia="zh-CN"/>
              </w:rPr>
              <w:t>22</w:t>
            </w:r>
            <w:r>
              <w:rPr>
                <w:rFonts w:hint="eastAsia"/>
              </w:rPr>
              <w:t>）</w:t>
            </w:r>
            <w:r>
              <w:rPr>
                <w:rFonts w:hint="eastAsia"/>
              </w:rPr>
              <w:fldChar w:fldCharType="end"/>
            </w:r>
            <w:r>
              <w:rPr>
                <w:rFonts w:hint="eastAsia"/>
              </w:rPr>
              <w:t>中所列国家公园、自然保护区、风景名胜区、世界文化和自然遗产地、重要湿地、原始天然林、珍稀濒危野生动植物天然集中分布区、重要水生生物的自然产卵场及索饵场、越冬场和洄游通道、天然渔场等生态敏感区。</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主要保护目标见下表。</w:t>
            </w:r>
          </w:p>
          <w:p>
            <w:pPr>
              <w:pStyle w:val="5"/>
              <w:suppressLineNumbers w:val="0"/>
              <w:bidi w:val="0"/>
              <w:spacing w:before="0" w:after="0"/>
              <w:ind w:left="0" w:right="0"/>
              <w:rPr>
                <w:rFonts w:hint="default"/>
                <w:lang w:val="en-US" w:eastAsia="zh-CN"/>
              </w:rPr>
            </w:pPr>
            <w:r>
              <w:rPr>
                <w:rFonts w:hint="default"/>
                <w:lang w:val="en-US" w:eastAsia="zh-CN"/>
              </w:rPr>
              <w:t>表3-</w:t>
            </w:r>
            <w:r>
              <w:rPr>
                <w:rFonts w:hint="eastAsia"/>
                <w:lang w:val="en-US" w:eastAsia="zh-CN"/>
              </w:rPr>
              <w:t xml:space="preserve">5 </w:t>
            </w:r>
            <w:r>
              <w:rPr>
                <w:rFonts w:hint="default"/>
                <w:lang w:val="en-US" w:eastAsia="zh-CN"/>
              </w:rPr>
              <w:t xml:space="preserve"> 项目主要保护目标一览表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623"/>
              <w:gridCol w:w="665"/>
              <w:gridCol w:w="2600"/>
              <w:gridCol w:w="9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名称</w:t>
                  </w:r>
                </w:p>
              </w:tc>
              <w:tc>
                <w:tcPr>
                  <w:tcW w:w="1011" w:type="pct"/>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主要保护对象</w:t>
                  </w:r>
                </w:p>
              </w:tc>
              <w:tc>
                <w:tcPr>
                  <w:tcW w:w="414" w:type="pct"/>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规模</w:t>
                  </w:r>
                </w:p>
              </w:tc>
              <w:tc>
                <w:tcPr>
                  <w:tcW w:w="1620" w:type="pct"/>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与建设项目的位置关系</w:t>
                  </w:r>
                </w:p>
              </w:tc>
              <w:tc>
                <w:tcPr>
                  <w:tcW w:w="60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最近距离m</w:t>
                  </w:r>
                </w:p>
              </w:tc>
              <w:tc>
                <w:tcPr>
                  <w:tcW w:w="710" w:type="pct"/>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涉及的功能分区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生态环境</w:t>
                  </w:r>
                </w:p>
              </w:tc>
              <w:tc>
                <w:tcPr>
                  <w:tcW w:w="1011" w:type="pct"/>
                  <w:noWrap w:val="0"/>
                  <w:vAlign w:val="center"/>
                </w:tcPr>
                <w:p>
                  <w:pPr>
                    <w:pStyle w:val="6"/>
                    <w:suppressLineNumbers w:val="0"/>
                    <w:bidi w:val="0"/>
                    <w:spacing w:before="0" w:beforeAutospacing="0" w:after="0" w:afterAutospacing="0"/>
                    <w:ind w:left="0" w:right="0"/>
                    <w:rPr>
                      <w:rFonts w:hint="default"/>
                      <w:highlight w:val="none"/>
                      <w:lang w:val="en-US"/>
                    </w:rPr>
                  </w:pPr>
                  <w:r>
                    <w:rPr>
                      <w:rFonts w:hint="default"/>
                      <w:highlight w:val="none"/>
                      <w:lang w:val="en-US"/>
                    </w:rPr>
                    <w:t>陆生</w:t>
                  </w:r>
                  <w:r>
                    <w:rPr>
                      <w:rFonts w:hint="default"/>
                      <w:highlight w:val="none"/>
                      <w:lang w:val="en-US" w:eastAsia="zh-CN"/>
                    </w:rPr>
                    <w:t>生</w:t>
                  </w:r>
                  <w:r>
                    <w:rPr>
                      <w:rFonts w:hint="default"/>
                      <w:highlight w:val="none"/>
                      <w:lang w:val="en-US"/>
                    </w:rPr>
                    <w:t>态系统结构及功能</w:t>
                  </w:r>
                </w:p>
              </w:tc>
              <w:tc>
                <w:tcPr>
                  <w:tcW w:w="41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w:t>
                  </w:r>
                </w:p>
              </w:tc>
              <w:tc>
                <w:tcPr>
                  <w:tcW w:w="162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渠道沿线</w:t>
                  </w:r>
                </w:p>
              </w:tc>
              <w:tc>
                <w:tcPr>
                  <w:tcW w:w="60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w:t>
                  </w:r>
                </w:p>
              </w:tc>
              <w:tc>
                <w:tcPr>
                  <w:tcW w:w="71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restar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环境空气</w:t>
                  </w:r>
                </w:p>
              </w:tc>
              <w:tc>
                <w:tcPr>
                  <w:tcW w:w="1011"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库尔干村</w:t>
                  </w:r>
                </w:p>
              </w:tc>
              <w:tc>
                <w:tcPr>
                  <w:tcW w:w="41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300</w:t>
                  </w:r>
                </w:p>
              </w:tc>
              <w:tc>
                <w:tcPr>
                  <w:tcW w:w="162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阿其克乌依村1斗渠两侧</w:t>
                  </w:r>
                </w:p>
              </w:tc>
              <w:tc>
                <w:tcPr>
                  <w:tcW w:w="60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399</w:t>
                  </w:r>
                </w:p>
              </w:tc>
              <w:tc>
                <w:tcPr>
                  <w:tcW w:w="710" w:type="pct"/>
                  <w:vMerge w:val="restar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二类</w:t>
                  </w:r>
                  <w:r>
                    <w:rPr>
                      <w:rFonts w:hint="default"/>
                      <w:highlight w:val="none"/>
                      <w:lang w:val="en-US" w:eastAsia="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suppressLineNumbers w:val="0"/>
                    <w:bidi w:val="0"/>
                    <w:spacing w:before="0" w:beforeAutospacing="0" w:after="0" w:afterAutospacing="0"/>
                    <w:ind w:left="0" w:right="0"/>
                    <w:rPr>
                      <w:rFonts w:hint="default"/>
                      <w:highlight w:val="none"/>
                      <w:lang w:val="en-US" w:eastAsia="zh-CN"/>
                    </w:rPr>
                  </w:pPr>
                </w:p>
              </w:tc>
              <w:tc>
                <w:tcPr>
                  <w:tcW w:w="1011"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托格拉克勒克村</w:t>
                  </w:r>
                </w:p>
              </w:tc>
              <w:tc>
                <w:tcPr>
                  <w:tcW w:w="41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1500</w:t>
                  </w:r>
                </w:p>
              </w:tc>
              <w:tc>
                <w:tcPr>
                  <w:tcW w:w="162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一队三条田杨圣之1号渠北侧</w:t>
                  </w:r>
                </w:p>
              </w:tc>
              <w:tc>
                <w:tcPr>
                  <w:tcW w:w="60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3</w:t>
                  </w:r>
                </w:p>
              </w:tc>
              <w:tc>
                <w:tcPr>
                  <w:tcW w:w="710" w:type="pct"/>
                  <w:vMerge w:val="continue"/>
                  <w:noWrap w:val="0"/>
                  <w:vAlign w:val="center"/>
                </w:tcPr>
                <w:p>
                  <w:pPr>
                    <w:pStyle w:val="6"/>
                    <w:suppressLineNumbers w:val="0"/>
                    <w:bidi w:val="0"/>
                    <w:spacing w:before="0" w:beforeAutospacing="0" w:after="0" w:afterAutospacing="0"/>
                    <w:ind w:left="0" w:right="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suppressLineNumbers w:val="0"/>
                    <w:bidi w:val="0"/>
                    <w:spacing w:before="0" w:beforeAutospacing="0" w:after="0" w:afterAutospacing="0"/>
                    <w:ind w:left="0" w:right="0"/>
                    <w:rPr>
                      <w:rFonts w:hint="default"/>
                      <w:highlight w:val="none"/>
                      <w:lang w:val="en-US" w:eastAsia="zh-CN"/>
                    </w:rPr>
                  </w:pPr>
                </w:p>
              </w:tc>
              <w:tc>
                <w:tcPr>
                  <w:tcW w:w="1011"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英苏牧业村</w:t>
                  </w:r>
                </w:p>
              </w:tc>
              <w:tc>
                <w:tcPr>
                  <w:tcW w:w="41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1500</w:t>
                  </w:r>
                </w:p>
              </w:tc>
              <w:tc>
                <w:tcPr>
                  <w:tcW w:w="162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三队三条田阿曼吾加布拉4号渠东侧</w:t>
                  </w:r>
                </w:p>
              </w:tc>
              <w:tc>
                <w:tcPr>
                  <w:tcW w:w="60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16</w:t>
                  </w:r>
                </w:p>
              </w:tc>
              <w:tc>
                <w:tcPr>
                  <w:tcW w:w="710" w:type="pct"/>
                  <w:vMerge w:val="continue"/>
                  <w:noWrap w:val="0"/>
                  <w:vAlign w:val="center"/>
                </w:tcPr>
                <w:p>
                  <w:pPr>
                    <w:pStyle w:val="6"/>
                    <w:suppressLineNumbers w:val="0"/>
                    <w:bidi w:val="0"/>
                    <w:spacing w:before="0" w:beforeAutospacing="0" w:after="0" w:afterAutospacing="0"/>
                    <w:ind w:left="0" w:right="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suppressLineNumbers w:val="0"/>
                    <w:bidi w:val="0"/>
                    <w:spacing w:before="0" w:beforeAutospacing="0" w:after="0" w:afterAutospacing="0"/>
                    <w:ind w:left="0" w:right="0"/>
                    <w:rPr>
                      <w:rFonts w:hint="default"/>
                      <w:highlight w:val="none"/>
                      <w:lang w:val="en-US" w:eastAsia="zh-CN"/>
                    </w:rPr>
                  </w:pPr>
                </w:p>
              </w:tc>
              <w:tc>
                <w:tcPr>
                  <w:tcW w:w="1011"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布拉克巴什村</w:t>
                  </w:r>
                </w:p>
              </w:tc>
              <w:tc>
                <w:tcPr>
                  <w:tcW w:w="41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500</w:t>
                  </w:r>
                </w:p>
              </w:tc>
              <w:tc>
                <w:tcPr>
                  <w:tcW w:w="162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一队一条田箱包厂东1号渠南侧</w:t>
                  </w:r>
                </w:p>
              </w:tc>
              <w:tc>
                <w:tcPr>
                  <w:tcW w:w="60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310</w:t>
                  </w:r>
                </w:p>
              </w:tc>
              <w:tc>
                <w:tcPr>
                  <w:tcW w:w="710" w:type="pct"/>
                  <w:vMerge w:val="continue"/>
                  <w:noWrap w:val="0"/>
                  <w:vAlign w:val="center"/>
                </w:tcPr>
                <w:p>
                  <w:pPr>
                    <w:pStyle w:val="6"/>
                    <w:suppressLineNumbers w:val="0"/>
                    <w:bidi w:val="0"/>
                    <w:spacing w:before="0" w:beforeAutospacing="0" w:after="0" w:afterAutospacing="0"/>
                    <w:ind w:left="0" w:right="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土壤</w:t>
                  </w:r>
                </w:p>
              </w:tc>
              <w:tc>
                <w:tcPr>
                  <w:tcW w:w="1011" w:type="pct"/>
                  <w:noWrap w:val="0"/>
                  <w:vAlign w:val="center"/>
                </w:tcPr>
                <w:p>
                  <w:pPr>
                    <w:pStyle w:val="6"/>
                    <w:suppressLineNumbers w:val="0"/>
                    <w:bidi w:val="0"/>
                    <w:spacing w:before="0" w:beforeAutospacing="0" w:after="0" w:afterAutospacing="0"/>
                    <w:ind w:left="0" w:right="0"/>
                    <w:rPr>
                      <w:rFonts w:hint="default"/>
                      <w:highlight w:val="none"/>
                    </w:rPr>
                  </w:pPr>
                  <w:r>
                    <w:rPr>
                      <w:rFonts w:hint="default"/>
                      <w:highlight w:val="none"/>
                    </w:rPr>
                    <w:t>土壤环境质量</w:t>
                  </w:r>
                </w:p>
              </w:tc>
              <w:tc>
                <w:tcPr>
                  <w:tcW w:w="41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w:t>
                  </w:r>
                </w:p>
              </w:tc>
              <w:tc>
                <w:tcPr>
                  <w:tcW w:w="162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渠道沿线</w:t>
                  </w:r>
                </w:p>
              </w:tc>
              <w:tc>
                <w:tcPr>
                  <w:tcW w:w="604"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w:t>
                  </w:r>
                </w:p>
              </w:tc>
              <w:tc>
                <w:tcPr>
                  <w:tcW w:w="710"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restar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声环境</w:t>
                  </w:r>
                </w:p>
              </w:tc>
              <w:tc>
                <w:tcPr>
                  <w:tcW w:w="1011"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托格拉克勒克村</w:t>
                  </w:r>
                </w:p>
              </w:tc>
              <w:tc>
                <w:tcPr>
                  <w:tcW w:w="414"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1500</w:t>
                  </w:r>
                </w:p>
              </w:tc>
              <w:tc>
                <w:tcPr>
                  <w:tcW w:w="1620"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一队三条田杨圣之1号渠北侧</w:t>
                  </w:r>
                </w:p>
              </w:tc>
              <w:tc>
                <w:tcPr>
                  <w:tcW w:w="604"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3</w:t>
                  </w:r>
                </w:p>
              </w:tc>
              <w:tc>
                <w:tcPr>
                  <w:tcW w:w="710" w:type="pct"/>
                  <w:shd w:val="clear" w:color="auto" w:fill="auto"/>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一</w:t>
                  </w:r>
                  <w:r>
                    <w:rPr>
                      <w:rFonts w:hint="default"/>
                      <w:highlight w:val="none"/>
                      <w:lang w:val="en-US" w:eastAsia="zh-CN"/>
                    </w:rPr>
                    <w:t>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vMerge w:val="continue"/>
                  <w:noWrap w:val="0"/>
                  <w:vAlign w:val="center"/>
                </w:tcPr>
                <w:p>
                  <w:pPr>
                    <w:pStyle w:val="6"/>
                    <w:suppressLineNumbers w:val="0"/>
                    <w:bidi w:val="0"/>
                    <w:spacing w:before="0" w:beforeAutospacing="0" w:after="0" w:afterAutospacing="0"/>
                    <w:ind w:left="0" w:right="0"/>
                    <w:rPr>
                      <w:rFonts w:hint="eastAsia"/>
                      <w:highlight w:val="none"/>
                      <w:lang w:val="en-US" w:eastAsia="zh-CN"/>
                    </w:rPr>
                  </w:pPr>
                </w:p>
              </w:tc>
              <w:tc>
                <w:tcPr>
                  <w:tcW w:w="1011" w:type="pct"/>
                  <w:shd w:val="clear" w:color="auto" w:fill="auto"/>
                  <w:noWrap w:val="0"/>
                  <w:vAlign w:val="center"/>
                </w:tcPr>
                <w:p>
                  <w:pPr>
                    <w:pStyle w:val="6"/>
                    <w:suppressLineNumbers w:val="0"/>
                    <w:bidi w:val="0"/>
                    <w:spacing w:before="0" w:beforeAutospacing="0" w:after="0" w:afterAutospacing="0"/>
                    <w:ind w:left="0" w:right="0" w:firstLine="0" w:firstLineChars="0"/>
                    <w:rPr>
                      <w:rFonts w:hint="eastAsia"/>
                      <w:highlight w:val="none"/>
                      <w:lang w:val="en-US" w:eastAsia="zh-CN"/>
                    </w:rPr>
                  </w:pPr>
                  <w:r>
                    <w:rPr>
                      <w:rFonts w:hint="eastAsia"/>
                      <w:highlight w:val="none"/>
                      <w:lang w:val="en-US" w:eastAsia="zh-CN"/>
                    </w:rPr>
                    <w:t>英苏牧业村</w:t>
                  </w:r>
                </w:p>
              </w:tc>
              <w:tc>
                <w:tcPr>
                  <w:tcW w:w="414"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1500</w:t>
                  </w:r>
                </w:p>
              </w:tc>
              <w:tc>
                <w:tcPr>
                  <w:tcW w:w="1620"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三队三条田阿曼吾加布拉4号渠东侧</w:t>
                  </w:r>
                </w:p>
              </w:tc>
              <w:tc>
                <w:tcPr>
                  <w:tcW w:w="604"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16</w:t>
                  </w:r>
                </w:p>
              </w:tc>
              <w:tc>
                <w:tcPr>
                  <w:tcW w:w="710" w:type="pct"/>
                  <w:shd w:val="clear" w:color="auto" w:fill="auto"/>
                  <w:noWrap w:val="0"/>
                  <w:vAlign w:val="center"/>
                </w:tcPr>
                <w:p>
                  <w:pPr>
                    <w:pStyle w:val="6"/>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一</w:t>
                  </w:r>
                  <w:r>
                    <w:rPr>
                      <w:rFonts w:hint="default"/>
                      <w:highlight w:val="none"/>
                      <w:lang w:val="en-US" w:eastAsia="zh-CN"/>
                    </w:rPr>
                    <w:t>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pStyle w:val="6"/>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水环境</w:t>
                  </w:r>
                </w:p>
              </w:tc>
              <w:tc>
                <w:tcPr>
                  <w:tcW w:w="1011"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若羌河</w:t>
                  </w:r>
                </w:p>
              </w:tc>
              <w:tc>
                <w:tcPr>
                  <w:tcW w:w="414"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w:t>
                  </w:r>
                </w:p>
              </w:tc>
              <w:tc>
                <w:tcPr>
                  <w:tcW w:w="1620"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渠道西侧</w:t>
                  </w:r>
                </w:p>
              </w:tc>
              <w:tc>
                <w:tcPr>
                  <w:tcW w:w="604" w:type="pct"/>
                  <w:shd w:val="clear" w:color="auto" w:fill="auto"/>
                  <w:noWrap w:val="0"/>
                  <w:vAlign w:val="center"/>
                </w:tcPr>
                <w:p>
                  <w:pPr>
                    <w:pStyle w:val="6"/>
                    <w:suppressLineNumbers w:val="0"/>
                    <w:bidi w:val="0"/>
                    <w:spacing w:before="0" w:beforeAutospacing="0" w:after="0" w:afterAutospacing="0"/>
                    <w:ind w:left="0" w:right="0" w:firstLine="0" w:firstLineChars="0"/>
                    <w:rPr>
                      <w:rFonts w:hint="default"/>
                      <w:highlight w:val="yellow"/>
                      <w:lang w:val="en-US" w:eastAsia="zh-CN"/>
                    </w:rPr>
                  </w:pPr>
                  <w:r>
                    <w:rPr>
                      <w:rFonts w:hint="eastAsia"/>
                      <w:highlight w:val="none"/>
                      <w:lang w:val="en-US" w:eastAsia="zh-CN"/>
                    </w:rPr>
                    <w:t>230</w:t>
                  </w:r>
                </w:p>
              </w:tc>
              <w:tc>
                <w:tcPr>
                  <w:tcW w:w="710" w:type="pct"/>
                  <w:shd w:val="clear" w:color="auto" w:fill="auto"/>
                  <w:noWrap w:val="0"/>
                  <w:vAlign w:val="center"/>
                </w:tcPr>
                <w:p>
                  <w:pPr>
                    <w:pStyle w:val="6"/>
                    <w:suppressLineNumbers w:val="0"/>
                    <w:bidi w:val="0"/>
                    <w:spacing w:before="0" w:beforeAutospacing="0" w:after="0" w:afterAutospacing="0"/>
                    <w:ind w:left="0" w:right="0"/>
                    <w:rPr>
                      <w:rFonts w:hint="default"/>
                      <w:highlight w:val="yellow"/>
                      <w:lang w:val="en-US" w:eastAsia="zh-CN"/>
                    </w:rPr>
                  </w:pPr>
                  <w:r>
                    <w:rPr>
                      <w:rFonts w:hint="eastAsia"/>
                      <w:highlight w:val="none"/>
                      <w:lang w:val="en-US" w:eastAsia="zh-CN"/>
                    </w:rPr>
                    <w:t>Ⅲ类</w:t>
                  </w:r>
                </w:p>
              </w:tc>
            </w:tr>
          </w:tbl>
          <w:p>
            <w:pPr>
              <w:keepNext w:val="0"/>
              <w:keepLines w:val="0"/>
              <w:suppressLineNumbers w:val="0"/>
              <w:adjustRightInd w:val="0"/>
              <w:snapToGrid w:val="0"/>
              <w:spacing w:before="0" w:beforeAutospacing="0" w:after="0" w:afterAutospacing="0"/>
              <w:ind w:left="0" w:right="0"/>
              <w:rPr>
                <w:rFonts w:hint="default" w:ascii="宋体" w:hAnsi="宋体"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90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cs="宋体"/>
                <w:color w:val="auto"/>
                <w:kern w:val="0"/>
                <w:sz w:val="21"/>
                <w:szCs w:val="21"/>
              </w:rPr>
            </w:pPr>
            <w:r>
              <w:rPr>
                <w:rFonts w:hint="eastAsia" w:ascii="宋体" w:hAnsi="宋体" w:cs="宋体"/>
                <w:color w:val="auto"/>
                <w:kern w:val="0"/>
                <w:sz w:val="21"/>
                <w:szCs w:val="21"/>
              </w:rPr>
              <w:t>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cs="宋体"/>
                <w:color w:val="auto"/>
                <w:kern w:val="0"/>
                <w:szCs w:val="21"/>
              </w:rPr>
            </w:pPr>
            <w:r>
              <w:rPr>
                <w:rFonts w:hint="eastAsia" w:ascii="宋体" w:hAnsi="宋体" w:cs="宋体"/>
                <w:color w:val="auto"/>
                <w:kern w:val="0"/>
                <w:sz w:val="21"/>
                <w:szCs w:val="21"/>
              </w:rPr>
              <w:t>标准</w:t>
            </w:r>
          </w:p>
        </w:tc>
        <w:tc>
          <w:tcPr>
            <w:tcW w:w="8253" w:type="dxa"/>
            <w:noWrap w:val="0"/>
            <w:vAlign w:val="center"/>
          </w:tcPr>
          <w:p>
            <w:pPr>
              <w:pStyle w:val="3"/>
              <w:keepLines w:val="0"/>
              <w:suppressLineNumbers w:val="0"/>
              <w:bidi w:val="0"/>
              <w:spacing w:before="0" w:beforeAutospacing="0" w:after="0" w:afterAutospacing="0"/>
              <w:ind w:right="0"/>
              <w:rPr>
                <w:rFonts w:hint="default"/>
              </w:rPr>
            </w:pPr>
            <w:r>
              <w:rPr>
                <w:rFonts w:hint="default"/>
              </w:rPr>
              <w:t>1</w:t>
            </w:r>
            <w:r>
              <w:rPr>
                <w:rFonts w:hint="eastAsia"/>
                <w:lang w:val="en-US" w:eastAsia="zh-CN"/>
              </w:rPr>
              <w:t xml:space="preserve"> </w:t>
            </w:r>
            <w:r>
              <w:rPr>
                <w:rFonts w:hint="default"/>
              </w:rPr>
              <w:t>环境质量标准</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1.1 </w:t>
            </w:r>
            <w:r>
              <w:rPr>
                <w:rFonts w:hint="default"/>
                <w:lang w:val="en-US" w:eastAsia="zh-CN"/>
              </w:rPr>
              <w:t>环境空气</w:t>
            </w:r>
          </w:p>
          <w:p>
            <w:pPr>
              <w:keepNext w:val="0"/>
              <w:keepLines w:val="0"/>
              <w:suppressLineNumbers w:val="0"/>
              <w:bidi w:val="0"/>
              <w:spacing w:before="0" w:beforeAutospacing="0" w:after="0" w:afterAutospacing="0"/>
              <w:ind w:left="0" w:right="0"/>
              <w:rPr>
                <w:rFonts w:hint="eastAsia" w:eastAsia="宋体"/>
                <w:lang w:eastAsia="zh-CN"/>
              </w:rPr>
            </w:pPr>
            <w:r>
              <w:rPr>
                <w:rFonts w:hint="default"/>
                <w:lang w:val="en-US" w:eastAsia="zh-CN"/>
              </w:rPr>
              <w:t>《环境空气质量标准》（GB3095-2026）过渡阶段的二级标准</w:t>
            </w:r>
            <w:r>
              <w:rPr>
                <w:rFonts w:hint="eastAsia"/>
                <w:lang w:val="en-US" w:eastAsia="zh-CN"/>
              </w:rPr>
              <w:t>。</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1.2 </w:t>
            </w:r>
            <w:r>
              <w:rPr>
                <w:rFonts w:hint="default"/>
                <w:lang w:val="en-US" w:eastAsia="zh-CN"/>
              </w:rPr>
              <w:t>声环境</w:t>
            </w:r>
          </w:p>
          <w:p>
            <w:pPr>
              <w:keepNext w:val="0"/>
              <w:keepLines w:val="0"/>
              <w:suppressLineNumbers w:val="0"/>
              <w:bidi w:val="0"/>
              <w:spacing w:before="0" w:beforeAutospacing="0" w:after="0" w:afterAutospacing="0"/>
              <w:ind w:left="0" w:right="0"/>
              <w:rPr>
                <w:rFonts w:hint="default"/>
                <w:lang w:val="en-US" w:eastAsia="zh-CN"/>
              </w:rPr>
            </w:pPr>
            <w:r>
              <w:rPr>
                <w:rFonts w:hint="default"/>
                <w:lang w:eastAsia="zh-CN"/>
              </w:rPr>
              <w:t>《</w:t>
            </w:r>
            <w:r>
              <w:rPr>
                <w:rFonts w:hint="default"/>
              </w:rPr>
              <w:t>声环境质量标准</w:t>
            </w:r>
            <w:r>
              <w:rPr>
                <w:rFonts w:hint="default"/>
                <w:lang w:eastAsia="zh-CN"/>
              </w:rPr>
              <w:t>》</w:t>
            </w:r>
            <w:r>
              <w:rPr>
                <w:rFonts w:hint="default"/>
              </w:rPr>
              <w:t>（GB 3096－2008）</w:t>
            </w:r>
            <w:r>
              <w:rPr>
                <w:rFonts w:hint="default"/>
                <w:lang w:val="en-US" w:eastAsia="zh-CN"/>
              </w:rPr>
              <w:t>1类标准。</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1.3 </w:t>
            </w:r>
            <w:r>
              <w:rPr>
                <w:rFonts w:hint="default"/>
                <w:lang w:val="en-US" w:eastAsia="zh-CN"/>
              </w:rPr>
              <w:t>水环境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若羌河</w:t>
            </w:r>
            <w:r>
              <w:rPr>
                <w:rFonts w:hint="default" w:ascii="Times New Roman" w:hAnsi="Times New Roman" w:eastAsia="宋体" w:cs="Times New Roman"/>
                <w:color w:val="auto"/>
                <w:sz w:val="24"/>
                <w:szCs w:val="24"/>
                <w:highlight w:val="none"/>
                <w:lang w:eastAsia="zh-CN"/>
              </w:rPr>
              <w:t>执行</w:t>
            </w:r>
            <w:r>
              <w:rPr>
                <w:rFonts w:hint="default" w:ascii="Times New Roman" w:hAnsi="Times New Roman" w:eastAsia="宋体" w:cs="Times New Roman"/>
                <w:color w:val="auto"/>
                <w:sz w:val="24"/>
                <w:szCs w:val="24"/>
                <w:highlight w:val="none"/>
              </w:rPr>
              <w:t>《地表水环境质量标准》（GB3838—2002）</w:t>
            </w:r>
            <w:r>
              <w:rPr>
                <w:rFonts w:hint="default" w:ascii="Times New Roman" w:hAnsi="Times New Roman" w:cs="Times New Roman"/>
                <w:color w:val="auto"/>
                <w:sz w:val="24"/>
                <w:szCs w:val="24"/>
                <w:highlight w:val="none"/>
                <w:lang w:val="en-US" w:eastAsia="zh-CN"/>
              </w:rPr>
              <w:t>Ⅲ</w:t>
            </w:r>
            <w:r>
              <w:rPr>
                <w:rFonts w:hint="default" w:ascii="Times New Roman" w:hAnsi="Times New Roman" w:eastAsia="宋体" w:cs="Times New Roman"/>
                <w:color w:val="auto"/>
                <w:sz w:val="24"/>
                <w:szCs w:val="24"/>
                <w:highlight w:val="none"/>
              </w:rPr>
              <w:t>类标准；</w:t>
            </w:r>
          </w:p>
          <w:p>
            <w:pPr>
              <w:pStyle w:val="3"/>
              <w:keepLines w:val="0"/>
              <w:suppressLineNumbers w:val="0"/>
              <w:bidi w:val="0"/>
              <w:spacing w:before="0" w:beforeAutospacing="0" w:after="0" w:afterAutospacing="0"/>
              <w:ind w:right="0"/>
              <w:rPr>
                <w:rFonts w:hint="default"/>
              </w:rPr>
            </w:pPr>
            <w:r>
              <w:rPr>
                <w:rFonts w:hint="default"/>
              </w:rPr>
              <w:t>2</w:t>
            </w:r>
            <w:r>
              <w:rPr>
                <w:rFonts w:hint="eastAsia"/>
                <w:lang w:val="en-US" w:eastAsia="zh-CN"/>
              </w:rPr>
              <w:t xml:space="preserve"> </w:t>
            </w:r>
            <w:r>
              <w:rPr>
                <w:rFonts w:hint="default"/>
              </w:rPr>
              <w:t>污染物排放标准</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2.1 </w:t>
            </w:r>
            <w:r>
              <w:rPr>
                <w:rFonts w:hint="default"/>
                <w:lang w:val="en-US" w:eastAsia="zh-CN"/>
              </w:rPr>
              <w:t>大气污染物排放标准</w:t>
            </w:r>
          </w:p>
          <w:p>
            <w:pPr>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施工期</w:t>
            </w:r>
            <w:r>
              <w:rPr>
                <w:rFonts w:hint="eastAsia"/>
                <w:lang w:val="en-US" w:eastAsia="zh-CN"/>
              </w:rPr>
              <w:t>颗粒物</w:t>
            </w:r>
            <w:r>
              <w:rPr>
                <w:rFonts w:hint="default"/>
              </w:rPr>
              <w:t>执行《大气污染物综合排放标准》</w:t>
            </w:r>
            <w:r>
              <w:rPr>
                <w:rFonts w:hint="eastAsia"/>
                <w:lang w:eastAsia="zh-CN"/>
              </w:rPr>
              <w:t>（</w:t>
            </w:r>
            <w:r>
              <w:rPr>
                <w:rFonts w:hint="default"/>
              </w:rPr>
              <w:t>GB16297-1996</w:t>
            </w:r>
            <w:r>
              <w:rPr>
                <w:rFonts w:hint="eastAsia"/>
                <w:lang w:eastAsia="zh-CN"/>
              </w:rPr>
              <w:t>）</w:t>
            </w:r>
            <w:r>
              <w:rPr>
                <w:rFonts w:hint="default"/>
              </w:rPr>
              <w:t>无组织排放监控浓度限值</w:t>
            </w:r>
            <w:r>
              <w:rPr>
                <w:rFonts w:hint="eastAsia"/>
                <w:lang w:eastAsia="zh-CN"/>
              </w:rPr>
              <w:t>，</w:t>
            </w:r>
            <w:r>
              <w:rPr>
                <w:rFonts w:hint="eastAsia"/>
                <w:lang w:val="en-US" w:eastAsia="zh-CN"/>
              </w:rPr>
              <w:t>施工机械烟气参照执行《非道路移动机械用柴油机排气污染物排放限值及测量方法（中国第三、四阶段）》（GB20891-2014）修改单以及《非道路柴油移动机械污染物排放控制技术要求》（HJ1014-2020）。</w:t>
            </w:r>
          </w:p>
          <w:p>
            <w:pPr>
              <w:pStyle w:val="5"/>
              <w:suppressLineNumbers w:val="0"/>
              <w:bidi w:val="0"/>
              <w:spacing w:before="0" w:after="0"/>
              <w:ind w:left="0" w:right="0"/>
              <w:rPr>
                <w:rFonts w:hint="default"/>
              </w:rPr>
            </w:pPr>
            <w:r>
              <w:rPr>
                <w:rFonts w:hint="default"/>
              </w:rPr>
              <w:t>表3-</w:t>
            </w:r>
            <w:r>
              <w:rPr>
                <w:rFonts w:hint="eastAsia"/>
                <w:lang w:val="en-US" w:eastAsia="zh-CN"/>
              </w:rPr>
              <w:t>6</w:t>
            </w:r>
            <w:r>
              <w:rPr>
                <w:rFonts w:hint="default"/>
              </w:rPr>
              <w:t xml:space="preserve">  施工期无组织废气执行标准</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32"/>
              <w:gridCol w:w="1371"/>
              <w:gridCol w:w="1013"/>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39"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污染源</w:t>
                  </w:r>
                </w:p>
              </w:tc>
              <w:tc>
                <w:tcPr>
                  <w:tcW w:w="64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污染物</w:t>
                  </w:r>
                </w:p>
              </w:tc>
              <w:tc>
                <w:tcPr>
                  <w:tcW w:w="854"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浓度限值</w:t>
                  </w:r>
                </w:p>
              </w:tc>
              <w:tc>
                <w:tcPr>
                  <w:tcW w:w="631"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排放速率（kg/h）</w:t>
                  </w:r>
                </w:p>
              </w:tc>
              <w:tc>
                <w:tcPr>
                  <w:tcW w:w="2331"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无组织</w:t>
                  </w:r>
                </w:p>
              </w:tc>
              <w:tc>
                <w:tcPr>
                  <w:tcW w:w="64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颗粒物</w:t>
                  </w:r>
                </w:p>
              </w:tc>
              <w:tc>
                <w:tcPr>
                  <w:tcW w:w="854"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1mg/m</w:t>
                  </w:r>
                  <w:r>
                    <w:rPr>
                      <w:rFonts w:hint="default"/>
                      <w:vertAlign w:val="superscript"/>
                      <w:lang w:val="en-US" w:eastAsia="zh-CN"/>
                    </w:rPr>
                    <w:t>3</w:t>
                  </w:r>
                </w:p>
              </w:tc>
              <w:tc>
                <w:tcPr>
                  <w:tcW w:w="631"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2331"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default"/>
                      <w:lang w:val="en-US" w:eastAsia="zh-CN"/>
                    </w:rPr>
                    <w:t>《大气污染物综合排放标准》</w:t>
                  </w:r>
                </w:p>
                <w:p>
                  <w:pPr>
                    <w:pStyle w:val="6"/>
                    <w:suppressLineNumbers w:val="0"/>
                    <w:bidi w:val="0"/>
                    <w:spacing w:before="0" w:beforeAutospacing="0" w:after="0" w:afterAutospacing="0"/>
                    <w:ind w:left="0" w:right="0"/>
                    <w:rPr>
                      <w:rFonts w:hint="default"/>
                      <w:lang w:val="en-US" w:eastAsia="zh-CN"/>
                    </w:rPr>
                  </w:pPr>
                  <w:r>
                    <w:rPr>
                      <w:rFonts w:hint="default"/>
                      <w:lang w:val="en-US" w:eastAsia="zh-CN"/>
                    </w:rPr>
                    <w:t>（GB16297-1996）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restar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lang w:val="en-US" w:eastAsia="zh-CN"/>
                    </w:rPr>
                    <w:t>非道路移动机械烟气</w:t>
                  </w:r>
                </w:p>
              </w:tc>
              <w:tc>
                <w:tcPr>
                  <w:tcW w:w="64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CO</w:t>
                  </w:r>
                </w:p>
              </w:tc>
              <w:tc>
                <w:tcPr>
                  <w:tcW w:w="854"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3.5g/kW</w:t>
                  </w:r>
                  <w:r>
                    <w:rPr>
                      <w:rFonts w:hint="eastAsia"/>
                      <w:lang w:val="en-US" w:eastAsia="zh-CN"/>
                    </w:rPr>
                    <w:t>·</w:t>
                  </w:r>
                  <w:r>
                    <w:rPr>
                      <w:rFonts w:hint="eastAsia"/>
                    </w:rPr>
                    <w:t>h</w:t>
                  </w:r>
                </w:p>
              </w:tc>
              <w:tc>
                <w:tcPr>
                  <w:tcW w:w="631" w:type="pct"/>
                  <w:noWrap w:val="0"/>
                  <w:vAlign w:val="center"/>
                </w:tcPr>
                <w:p>
                  <w:pPr>
                    <w:pStyle w:val="6"/>
                    <w:suppressLineNumbers w:val="0"/>
                    <w:bidi w:val="0"/>
                    <w:spacing w:before="0" w:beforeAutospacing="0" w:after="0" w:afterAutospacing="0"/>
                    <w:ind w:left="0" w:right="0"/>
                    <w:rPr>
                      <w:rFonts w:hint="eastAsia" w:eastAsia="宋体"/>
                      <w:lang w:val="en-US" w:eastAsia="zh-CN"/>
                    </w:rPr>
                  </w:pPr>
                  <w:r>
                    <w:rPr>
                      <w:rFonts w:hint="eastAsia"/>
                      <w:lang w:val="en-US" w:eastAsia="zh-CN"/>
                    </w:rPr>
                    <w:t>/</w:t>
                  </w:r>
                </w:p>
              </w:tc>
              <w:tc>
                <w:tcPr>
                  <w:tcW w:w="2331" w:type="pct"/>
                  <w:vMerge w:val="restar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《非道路移动机械用柴油机排气污染物排放限值及测量方法(中国第三、四阶段)》(GB20891-2014)修改单以及《非道路柴油移动机械污染物排放控制技术要求》（HJ1014-2020）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suppressLineNumbers w:val="0"/>
                    <w:bidi w:val="0"/>
                    <w:spacing w:before="0" w:beforeAutospacing="0" w:after="0" w:afterAutospacing="0"/>
                    <w:ind w:left="0" w:right="0"/>
                    <w:rPr>
                      <w:rFonts w:hint="eastAsia"/>
                      <w:lang w:val="en-US" w:eastAsia="zh-CN"/>
                    </w:rPr>
                  </w:pPr>
                </w:p>
              </w:tc>
              <w:tc>
                <w:tcPr>
                  <w:tcW w:w="64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HC</w:t>
                  </w:r>
                </w:p>
              </w:tc>
              <w:tc>
                <w:tcPr>
                  <w:tcW w:w="854"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rPr>
                    <w:t>--</w:t>
                  </w:r>
                </w:p>
              </w:tc>
              <w:tc>
                <w:tcPr>
                  <w:tcW w:w="631"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331"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suppressLineNumbers w:val="0"/>
                    <w:bidi w:val="0"/>
                    <w:spacing w:before="0" w:beforeAutospacing="0" w:after="0" w:afterAutospacing="0"/>
                    <w:ind w:left="0" w:right="0"/>
                    <w:rPr>
                      <w:rFonts w:hint="eastAsia"/>
                      <w:lang w:val="en-US" w:eastAsia="zh-CN"/>
                    </w:rPr>
                  </w:pPr>
                </w:p>
              </w:tc>
              <w:tc>
                <w:tcPr>
                  <w:tcW w:w="643" w:type="pct"/>
                  <w:noWrap w:val="0"/>
                  <w:vAlign w:val="center"/>
                </w:tcPr>
                <w:p>
                  <w:pPr>
                    <w:pStyle w:val="6"/>
                    <w:suppressLineNumbers w:val="0"/>
                    <w:bidi w:val="0"/>
                    <w:spacing w:before="0" w:beforeAutospacing="0" w:after="0" w:afterAutospacing="0"/>
                    <w:ind w:left="0" w:right="0"/>
                    <w:rPr>
                      <w:rFonts w:hint="default"/>
                      <w:lang w:val="en-US" w:eastAsia="zh-CN"/>
                    </w:rPr>
                  </w:pPr>
                  <w:r>
                    <w:rPr>
                      <w:rFonts w:hint="eastAsia"/>
                    </w:rPr>
                    <w:t>NO</w:t>
                  </w:r>
                  <w:r>
                    <w:rPr>
                      <w:rFonts w:hint="eastAsia"/>
                      <w:vertAlign w:val="subscript"/>
                    </w:rPr>
                    <w:t>X</w:t>
                  </w:r>
                </w:p>
              </w:tc>
              <w:tc>
                <w:tcPr>
                  <w:tcW w:w="854"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rPr>
                    <w:t>--</w:t>
                  </w:r>
                </w:p>
              </w:tc>
              <w:tc>
                <w:tcPr>
                  <w:tcW w:w="631"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331"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suppressLineNumbers w:val="0"/>
                    <w:bidi w:val="0"/>
                    <w:spacing w:before="0" w:beforeAutospacing="0" w:after="0" w:afterAutospacing="0"/>
                    <w:ind w:left="0" w:right="0"/>
                    <w:rPr>
                      <w:rFonts w:hint="eastAsia"/>
                      <w:lang w:val="en-US" w:eastAsia="zh-CN"/>
                    </w:rPr>
                  </w:pPr>
                </w:p>
              </w:tc>
              <w:tc>
                <w:tcPr>
                  <w:tcW w:w="643" w:type="pct"/>
                  <w:noWrap w:val="0"/>
                  <w:vAlign w:val="center"/>
                </w:tcPr>
                <w:p>
                  <w:pPr>
                    <w:pStyle w:val="6"/>
                    <w:suppressLineNumbers w:val="0"/>
                    <w:bidi w:val="0"/>
                    <w:spacing w:before="0" w:beforeAutospacing="0" w:after="0" w:afterAutospacing="0"/>
                    <w:ind w:left="0" w:right="0"/>
                    <w:rPr>
                      <w:rFonts w:hint="eastAsia"/>
                    </w:rPr>
                  </w:pPr>
                  <w:r>
                    <w:rPr>
                      <w:rFonts w:hint="eastAsia"/>
                    </w:rPr>
                    <w:t>HC+NO</w:t>
                  </w:r>
                  <w:r>
                    <w:rPr>
                      <w:rFonts w:hint="eastAsia"/>
                      <w:vertAlign w:val="subscript"/>
                    </w:rPr>
                    <w:t>X</w:t>
                  </w:r>
                </w:p>
              </w:tc>
              <w:tc>
                <w:tcPr>
                  <w:tcW w:w="854"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rPr>
                    <w:t>6.4g/kW</w:t>
                  </w:r>
                  <w:r>
                    <w:rPr>
                      <w:rFonts w:hint="eastAsia"/>
                      <w:lang w:val="en-US" w:eastAsia="zh-CN"/>
                    </w:rPr>
                    <w:t>·</w:t>
                  </w:r>
                  <w:r>
                    <w:rPr>
                      <w:rFonts w:hint="eastAsia"/>
                    </w:rPr>
                    <w:t>h</w:t>
                  </w:r>
                </w:p>
              </w:tc>
              <w:tc>
                <w:tcPr>
                  <w:tcW w:w="631"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331"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vAlign w:val="center"/>
                </w:tcPr>
                <w:p>
                  <w:pPr>
                    <w:pStyle w:val="6"/>
                    <w:suppressLineNumbers w:val="0"/>
                    <w:bidi w:val="0"/>
                    <w:spacing w:before="0" w:beforeAutospacing="0" w:after="0" w:afterAutospacing="0"/>
                    <w:ind w:left="0" w:right="0"/>
                    <w:rPr>
                      <w:rFonts w:hint="eastAsia"/>
                      <w:lang w:val="en-US" w:eastAsia="zh-CN"/>
                    </w:rPr>
                  </w:pPr>
                </w:p>
              </w:tc>
              <w:tc>
                <w:tcPr>
                  <w:tcW w:w="643" w:type="pct"/>
                  <w:noWrap w:val="0"/>
                  <w:vAlign w:val="center"/>
                </w:tcPr>
                <w:p>
                  <w:pPr>
                    <w:pStyle w:val="6"/>
                    <w:suppressLineNumbers w:val="0"/>
                    <w:bidi w:val="0"/>
                    <w:spacing w:before="0" w:beforeAutospacing="0" w:after="0" w:afterAutospacing="0"/>
                    <w:ind w:left="0" w:right="0"/>
                    <w:rPr>
                      <w:rFonts w:hint="eastAsia"/>
                    </w:rPr>
                  </w:pPr>
                  <w:r>
                    <w:rPr>
                      <w:rFonts w:hint="eastAsia"/>
                    </w:rPr>
                    <w:t>PM</w:t>
                  </w:r>
                </w:p>
              </w:tc>
              <w:tc>
                <w:tcPr>
                  <w:tcW w:w="854"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rPr>
                    <w:t>0.20g/kW</w:t>
                  </w:r>
                  <w:r>
                    <w:rPr>
                      <w:rFonts w:hint="eastAsia"/>
                      <w:lang w:val="en-US" w:eastAsia="zh-CN"/>
                    </w:rPr>
                    <w:t>·</w:t>
                  </w:r>
                  <w:r>
                    <w:rPr>
                      <w:rFonts w:hint="eastAsia"/>
                    </w:rPr>
                    <w:t>h</w:t>
                  </w:r>
                </w:p>
              </w:tc>
              <w:tc>
                <w:tcPr>
                  <w:tcW w:w="631" w:type="pct"/>
                  <w:noWrap w:val="0"/>
                  <w:vAlign w:val="center"/>
                </w:tcPr>
                <w:p>
                  <w:pPr>
                    <w:pStyle w:val="6"/>
                    <w:suppressLineNumbers w:val="0"/>
                    <w:bidi w:val="0"/>
                    <w:spacing w:before="0" w:beforeAutospacing="0" w:after="0" w:afterAutospacing="0"/>
                    <w:ind w:left="0" w:right="0"/>
                    <w:rPr>
                      <w:rFonts w:hint="eastAsia"/>
                      <w:lang w:val="en-US" w:eastAsia="zh-CN"/>
                    </w:rPr>
                  </w:pPr>
                  <w:r>
                    <w:rPr>
                      <w:rFonts w:hint="eastAsia"/>
                      <w:lang w:val="en-US" w:eastAsia="zh-CN"/>
                    </w:rPr>
                    <w:t>/</w:t>
                  </w:r>
                </w:p>
              </w:tc>
              <w:tc>
                <w:tcPr>
                  <w:tcW w:w="2331" w:type="pct"/>
                  <w:vMerge w:val="continue"/>
                  <w:noWrap w:val="0"/>
                  <w:vAlign w:val="center"/>
                </w:tcPr>
                <w:p>
                  <w:pPr>
                    <w:pStyle w:val="6"/>
                    <w:suppressLineNumbers w:val="0"/>
                    <w:bidi w:val="0"/>
                    <w:spacing w:before="0" w:beforeAutospacing="0" w:after="0" w:afterAutospacing="0"/>
                    <w:ind w:left="0" w:right="0"/>
                    <w:rPr>
                      <w:rFonts w:hint="default"/>
                      <w:lang w:val="en-US" w:eastAsia="zh-CN"/>
                    </w:rPr>
                  </w:pPr>
                </w:p>
              </w:tc>
            </w:tr>
          </w:tbl>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2.2 </w:t>
            </w:r>
            <w:r>
              <w:rPr>
                <w:rFonts w:hint="default"/>
                <w:lang w:val="en-US" w:eastAsia="zh-CN"/>
              </w:rPr>
              <w:t>噪声排放标准</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施工期噪声执行《建筑施工噪声排放标准》（GB12523-2025）。</w:t>
            </w:r>
          </w:p>
          <w:p>
            <w:pPr>
              <w:pStyle w:val="5"/>
              <w:suppressLineNumbers w:val="0"/>
              <w:bidi w:val="0"/>
              <w:spacing w:before="0" w:after="0"/>
              <w:ind w:left="0" w:right="0"/>
              <w:rPr>
                <w:rFonts w:hint="default"/>
                <w:lang w:val="en-US" w:eastAsia="zh-CN"/>
              </w:rPr>
            </w:pPr>
            <w:r>
              <w:rPr>
                <w:rFonts w:hint="eastAsia"/>
                <w:lang w:val="en-US" w:eastAsia="zh-CN"/>
              </w:rPr>
              <w:t>表3-7  施工期噪声执行标准</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488"/>
              <w:gridCol w:w="1854"/>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污染源</w:t>
                  </w:r>
                </w:p>
              </w:tc>
              <w:tc>
                <w:tcPr>
                  <w:tcW w:w="2082" w:type="pct"/>
                  <w:gridSpan w:val="2"/>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项目</w:t>
                  </w:r>
                </w:p>
              </w:tc>
              <w:tc>
                <w:tcPr>
                  <w:tcW w:w="1667" w:type="pct"/>
                  <w:vMerge w:val="restart"/>
                  <w:vAlign w:val="center"/>
                </w:tcPr>
                <w:p>
                  <w:pPr>
                    <w:pStyle w:val="6"/>
                    <w:suppressLineNumbers w:val="0"/>
                    <w:bidi w:val="0"/>
                    <w:spacing w:before="0" w:beforeAutospacing="0" w:after="0" w:afterAutospacing="0"/>
                    <w:ind w:left="0" w:right="0"/>
                    <w:jc w:val="center"/>
                    <w:rPr>
                      <w:rFonts w:hint="default"/>
                      <w:lang w:val="en-US" w:eastAsia="zh-CN"/>
                    </w:rPr>
                  </w:pPr>
                  <w:r>
                    <w:rPr>
                      <w:rFonts w:hint="eastAsia"/>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pStyle w:val="6"/>
                    <w:suppressLineNumbers w:val="0"/>
                    <w:bidi w:val="0"/>
                    <w:spacing w:before="0" w:beforeAutospacing="0" w:after="0" w:afterAutospacing="0"/>
                    <w:ind w:left="0" w:right="0"/>
                    <w:jc w:val="center"/>
                    <w:rPr>
                      <w:rFonts w:hint="eastAsia"/>
                      <w:lang w:val="en-US" w:eastAsia="zh-CN"/>
                    </w:rPr>
                  </w:pPr>
                </w:p>
              </w:tc>
              <w:tc>
                <w:tcPr>
                  <w:tcW w:w="927"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时段</w:t>
                  </w:r>
                </w:p>
              </w:tc>
              <w:tc>
                <w:tcPr>
                  <w:tcW w:w="1155"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标准值</w:t>
                  </w:r>
                </w:p>
              </w:tc>
              <w:tc>
                <w:tcPr>
                  <w:tcW w:w="1667" w:type="pct"/>
                  <w:vMerge w:val="continue"/>
                  <w:vAlign w:val="center"/>
                </w:tcPr>
                <w:p>
                  <w:pPr>
                    <w:pStyle w:val="6"/>
                    <w:suppressLineNumbers w:val="0"/>
                    <w:bidi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施工噪声</w:t>
                  </w:r>
                </w:p>
              </w:tc>
              <w:tc>
                <w:tcPr>
                  <w:tcW w:w="927"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昼间</w:t>
                  </w:r>
                </w:p>
              </w:tc>
              <w:tc>
                <w:tcPr>
                  <w:tcW w:w="1155"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70dB(A)</w:t>
                  </w:r>
                </w:p>
              </w:tc>
              <w:tc>
                <w:tcPr>
                  <w:tcW w:w="1667" w:type="pct"/>
                  <w:vMerge w:val="restart"/>
                  <w:vAlign w:val="center"/>
                </w:tcPr>
                <w:p>
                  <w:pPr>
                    <w:pStyle w:val="6"/>
                    <w:keepNext/>
                    <w:keepLines/>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eastAsia"/>
                      <w:lang w:val="en-US" w:eastAsia="zh-CN"/>
                    </w:rPr>
                  </w:pPr>
                  <w:r>
                    <w:rPr>
                      <w:rFonts w:hint="eastAsia"/>
                      <w:lang w:val="en-US" w:eastAsia="zh-CN"/>
                    </w:rPr>
                    <w:t>《建筑施工噪声排放标准》（GB12523-2025）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p>
              </w:tc>
              <w:tc>
                <w:tcPr>
                  <w:tcW w:w="927"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夜间</w:t>
                  </w:r>
                </w:p>
              </w:tc>
              <w:tc>
                <w:tcPr>
                  <w:tcW w:w="1155" w:type="pct"/>
                  <w:shd w:val="clear" w:color="auto" w:fill="auto"/>
                  <w:vAlign w:val="center"/>
                </w:tcPr>
                <w:p>
                  <w:pPr>
                    <w:pStyle w:val="6"/>
                    <w:suppressLineNumbers w:val="0"/>
                    <w:bidi w:val="0"/>
                    <w:spacing w:before="0" w:beforeAutospacing="0" w:after="0" w:afterAutospacing="0"/>
                    <w:ind w:left="0" w:right="0"/>
                    <w:jc w:val="center"/>
                    <w:rPr>
                      <w:rFonts w:hint="eastAsia"/>
                      <w:lang w:val="en-US" w:eastAsia="zh-CN"/>
                    </w:rPr>
                  </w:pPr>
                  <w:r>
                    <w:rPr>
                      <w:rFonts w:hint="eastAsia"/>
                      <w:lang w:val="en-US" w:eastAsia="zh-CN"/>
                    </w:rPr>
                    <w:t>55dB(A)</w:t>
                  </w:r>
                </w:p>
              </w:tc>
              <w:tc>
                <w:tcPr>
                  <w:tcW w:w="1667" w:type="pct"/>
                  <w:vMerge w:val="continue"/>
                  <w:vAlign w:val="center"/>
                </w:tcPr>
                <w:p>
                  <w:pPr>
                    <w:pStyle w:val="6"/>
                    <w:suppressLineNumbers w:val="0"/>
                    <w:bidi w:val="0"/>
                    <w:spacing w:before="0" w:beforeAutospacing="0" w:after="0" w:afterAutospacing="0"/>
                    <w:ind w:left="0" w:right="0"/>
                    <w:jc w:val="center"/>
                    <w:rPr>
                      <w:rFonts w:hint="eastAsia"/>
                      <w:lang w:val="en-US" w:eastAsia="zh-CN"/>
                    </w:rPr>
                  </w:pPr>
                </w:p>
              </w:tc>
            </w:tr>
          </w:tbl>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2.3 </w:t>
            </w:r>
            <w:r>
              <w:rPr>
                <w:rFonts w:hint="default"/>
                <w:lang w:val="en-US" w:eastAsia="zh-CN"/>
              </w:rPr>
              <w:t>固体废弃物</w:t>
            </w:r>
          </w:p>
          <w:p>
            <w:pPr>
              <w:keepNext w:val="0"/>
              <w:keepLines w:val="0"/>
              <w:suppressLineNumbers w:val="0"/>
              <w:bidi w:val="0"/>
              <w:spacing w:before="0" w:beforeAutospacing="0" w:after="0" w:afterAutospacing="0"/>
              <w:ind w:left="0" w:right="0"/>
              <w:rPr>
                <w:rFonts w:hint="default"/>
              </w:rPr>
            </w:pPr>
            <w:r>
              <w:rPr>
                <w:rFonts w:hint="eastAsia"/>
                <w:lang w:eastAsia="zh-CN"/>
              </w:rPr>
              <w:t>一般固体废物按照《中华人民共和国固体废物污染环境防治法》要求处置，各类固体废物妥善处置，不得形成二次污染，一般工业固废暂存参照执行《一般工业固体废物贮存和填埋污染控制标准》（GB18599-2020）中的“其贮存过程应满足相应防渗漏、防雨淋、防扬尘等环境保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90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cs="宋体"/>
                <w:color w:val="auto"/>
                <w:kern w:val="0"/>
                <w:szCs w:val="21"/>
              </w:rPr>
            </w:pPr>
            <w:r>
              <w:rPr>
                <w:rFonts w:hint="eastAsia" w:ascii="宋体" w:hAnsi="宋体" w:cs="宋体"/>
                <w:color w:val="auto"/>
                <w:kern w:val="0"/>
                <w:sz w:val="21"/>
                <w:szCs w:val="21"/>
              </w:rPr>
              <w:t>其他</w:t>
            </w:r>
          </w:p>
        </w:tc>
        <w:tc>
          <w:tcPr>
            <w:tcW w:w="825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无</w:t>
            </w:r>
          </w:p>
        </w:tc>
      </w:tr>
    </w:tbl>
    <w:p>
      <w:pPr>
        <w:pStyle w:val="19"/>
        <w:adjustRightInd w:val="0"/>
        <w:snapToGrid w:val="0"/>
        <w:spacing w:before="0" w:beforeAutospacing="0" w:after="0" w:afterAutospacing="0" w:line="14" w:lineRule="auto"/>
        <w:jc w:val="center"/>
        <w:outlineLvl w:val="0"/>
        <w:rPr>
          <w:rFonts w:ascii="黑体" w:hAnsi="黑体" w:eastAsia="黑体"/>
          <w:snapToGrid w:val="0"/>
          <w:color w:val="auto"/>
          <w:kern w:val="2"/>
          <w:sz w:val="36"/>
          <w:szCs w:val="36"/>
        </w:rPr>
      </w:pPr>
    </w:p>
    <w:p>
      <w:pPr>
        <w:pStyle w:val="19"/>
        <w:jc w:val="center"/>
        <w:outlineLvl w:val="0"/>
        <w:rPr>
          <w:rFonts w:hint="eastAsia" w:ascii="黑体" w:hAnsi="黑体" w:eastAsia="黑体"/>
          <w:snapToGrid w:val="0"/>
          <w:color w:val="auto"/>
          <w:sz w:val="30"/>
          <w:szCs w:val="30"/>
        </w:rPr>
        <w:sectPr>
          <w:pgSz w:w="11906" w:h="16838"/>
          <w:pgMar w:top="1440" w:right="1800" w:bottom="1440" w:left="1800" w:header="851" w:footer="1077" w:gutter="0"/>
          <w:pgNumType w:fmt="decimal"/>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四、生态环境影响分析</w:t>
      </w:r>
    </w:p>
    <w:tbl>
      <w:tblPr>
        <w:tblStyle w:val="21"/>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56" w:hRule="atLeast"/>
          <w:jc w:val="center"/>
        </w:trPr>
        <w:tc>
          <w:tcPr>
            <w:tcW w:w="879" w:type="dxa"/>
            <w:noWrap w:val="0"/>
            <w:tcMar>
              <w:left w:w="28" w:type="dxa"/>
              <w:right w:w="28" w:type="dxa"/>
            </w:tcMar>
            <w:vAlign w:val="center"/>
          </w:tcPr>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宋体"/>
                <w:bCs/>
                <w:color w:val="auto"/>
                <w:kern w:val="2"/>
                <w:sz w:val="21"/>
                <w:szCs w:val="21"/>
              </w:rPr>
            </w:pPr>
            <w:bookmarkStart w:id="2" w:name="_Hlk49796138"/>
            <w:r>
              <w:rPr>
                <w:rFonts w:hint="eastAsia" w:cs="宋体"/>
                <w:bCs/>
                <w:color w:val="auto"/>
                <w:spacing w:val="10"/>
                <w:kern w:val="2"/>
                <w:sz w:val="21"/>
                <w:szCs w:val="21"/>
              </w:rPr>
              <w:t>施工期生态环境影响分析</w:t>
            </w:r>
            <w:bookmarkEnd w:id="2"/>
          </w:p>
        </w:tc>
        <w:tc>
          <w:tcPr>
            <w:tcW w:w="8363" w:type="dxa"/>
            <w:noWrap w:val="0"/>
            <w:vAlign w:val="top"/>
          </w:tcPr>
          <w:p>
            <w:pPr>
              <w:pStyle w:val="3"/>
              <w:keepLines w:val="0"/>
              <w:suppressLineNumbers w:val="0"/>
              <w:bidi w:val="0"/>
              <w:spacing w:before="0" w:beforeAutospacing="0" w:after="0" w:afterAutospacing="0"/>
              <w:ind w:right="0"/>
              <w:rPr>
                <w:rFonts w:hint="eastAsia"/>
              </w:rPr>
            </w:pPr>
            <w:r>
              <w:rPr>
                <w:rFonts w:hint="eastAsia"/>
              </w:rPr>
              <w:t>1</w:t>
            </w:r>
            <w:r>
              <w:rPr>
                <w:rFonts w:hint="eastAsia"/>
                <w:lang w:val="en-US" w:eastAsia="zh-CN"/>
              </w:rPr>
              <w:t xml:space="preserve"> </w:t>
            </w:r>
            <w:r>
              <w:rPr>
                <w:rFonts w:hint="eastAsia"/>
              </w:rPr>
              <w:t>生态影响分析</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1.1 占地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本项目为渠道防渗改造工程，项目的建设及运营将不可避免地对区域生态环境产生一定影响。</w:t>
            </w:r>
          </w:p>
          <w:p>
            <w:pPr>
              <w:keepNext w:val="0"/>
              <w:keepLines w:val="0"/>
              <w:suppressLineNumbers w:val="0"/>
              <w:bidi w:val="0"/>
              <w:spacing w:before="0" w:beforeAutospacing="0" w:after="0" w:afterAutospacing="0"/>
              <w:ind w:left="0" w:right="0"/>
              <w:rPr>
                <w:rFonts w:hint="eastAsia"/>
                <w:lang w:val="en-US" w:eastAsia="zh-CN"/>
              </w:rPr>
            </w:pPr>
            <w:r>
              <w:rPr>
                <w:rFonts w:hint="eastAsia"/>
                <w:highlight w:val="none"/>
                <w:lang w:val="en-US" w:eastAsia="zh-CN"/>
              </w:rPr>
              <w:t>本项目永久占地面积为14507m</w:t>
            </w:r>
            <w:r>
              <w:rPr>
                <w:rFonts w:hint="eastAsia"/>
                <w:highlight w:val="none"/>
                <w:vertAlign w:val="superscript"/>
                <w:lang w:val="en-US" w:eastAsia="zh-CN"/>
              </w:rPr>
              <w:t>2</w:t>
            </w:r>
            <w:r>
              <w:rPr>
                <w:rFonts w:hint="eastAsia"/>
                <w:highlight w:val="none"/>
                <w:lang w:val="en-US" w:eastAsia="zh-CN"/>
              </w:rPr>
              <w:t>，占地类型为旱地；项目临时占地13000m</w:t>
            </w:r>
            <w:r>
              <w:rPr>
                <w:rFonts w:hint="eastAsia"/>
                <w:highlight w:val="none"/>
                <w:vertAlign w:val="superscript"/>
                <w:lang w:val="en-US" w:eastAsia="zh-CN"/>
              </w:rPr>
              <w:t>2</w:t>
            </w:r>
            <w:r>
              <w:rPr>
                <w:rFonts w:hint="eastAsia"/>
                <w:lang w:val="en-US" w:eastAsia="zh-CN"/>
              </w:rPr>
              <w:t>，主要为临时工业区、临时堆土区及临时堆渣区，占地类型为居住地和旱地。项目不改变临时用地的土地利用性质，但占用期间开挖、占压等活动将直接造成土壤肥力和植被的损失。项目通过严格控制施工占地面积，减少对渠道两侧旱地进行侵占、破坏。</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1.2 对土壤的影响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项目建设对土壤的影响主要是施工活动会造成土壤结构的改变和土壤养分的减少。对土壤结构的影响主要集中在土壤开挖、回填过程中。工程在施工时进行开挖、堆放、回填、人员踩踏、机械设备夯实或碾压等施工操作，这些物理过程对土壤的最大影响是破坏表层土壤结构，且短期内难以恢复。对土壤养分的影响主要表现在土壤开挖、回填过程中未将表土单独堆放，会造成回填后土壤养分降低。需采取措施对表层土进行保护。采取相应措施后，项目施工对土壤影响较小。</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1.3 对植被的影响</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工程影响区内无珍稀植物，也不涉及成片天然林，因此不存在工程对珍稀植物和天然林保护区的影响。环评要求施工方严格控制施工范围，减少对植被的迫害。</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临时工程使用结束后恢复至原状，产生的建筑垃圾统一清运，清理平整后进行生态恢复，因此这类占地对环境的影响是暂时性的。建设单位和施工单位应重视临时施工用地在工程结束前的清理和植被恢复工作，减少临时占地对生态的影响。为减少堆料的二次搬运和防止临时堆料洒落在水流中，应对临时堆土区做好水土保持工作。</w:t>
            </w:r>
          </w:p>
          <w:p>
            <w:pPr>
              <w:keepNext w:val="0"/>
              <w:keepLines w:val="0"/>
              <w:suppressLineNumbers w:val="0"/>
              <w:bidi w:val="0"/>
              <w:spacing w:before="0" w:beforeAutospacing="0" w:after="0" w:afterAutospacing="0"/>
              <w:ind w:left="0" w:right="0"/>
              <w:rPr>
                <w:rFonts w:hint="eastAsia" w:ascii="宋体" w:hAnsi="宋体" w:eastAsia="宋体" w:cs="宋体"/>
                <w:b w:val="0"/>
                <w:bCs w:val="0"/>
                <w:color w:val="auto"/>
                <w:sz w:val="24"/>
                <w:szCs w:val="24"/>
                <w:highlight w:val="none"/>
                <w:lang w:val="en-US" w:eastAsia="zh-CN"/>
              </w:rPr>
            </w:pPr>
            <w:r>
              <w:rPr>
                <w:rFonts w:hint="eastAsia"/>
                <w:b w:val="0"/>
                <w:bCs w:val="0"/>
                <w:highlight w:val="none"/>
                <w:lang w:val="en-US" w:eastAsia="zh-CN"/>
              </w:rPr>
              <w:t>项目工程区以耕地为主，主要为人工植被，仅有少量荒漠植被。工程施工期会对植被产生一定的影</w:t>
            </w:r>
            <w:r>
              <w:rPr>
                <w:rFonts w:hint="eastAsia" w:ascii="宋体" w:hAnsi="宋体" w:eastAsia="宋体" w:cs="宋体"/>
                <w:b w:val="0"/>
                <w:bCs w:val="0"/>
                <w:color w:val="auto"/>
                <w:szCs w:val="24"/>
                <w:highlight w:val="none"/>
                <w:lang w:val="en-US" w:eastAsia="zh-CN"/>
              </w:rPr>
              <w:t>响，但随着施工活动结束，场地迹地恢复，区域</w:t>
            </w:r>
            <w:r>
              <w:rPr>
                <w:rFonts w:hint="eastAsia" w:ascii="宋体" w:hAnsi="宋体" w:eastAsia="宋体" w:cs="宋体"/>
                <w:b w:val="0"/>
                <w:bCs w:val="0"/>
                <w:color w:val="auto"/>
                <w:sz w:val="24"/>
                <w:szCs w:val="24"/>
                <w:highlight w:val="none"/>
                <w:lang w:val="en-US" w:eastAsia="zh-CN"/>
              </w:rPr>
              <w:t>植被通过自然恢复和人工恢复相结合的方式，使施工区域生态环境向有利的方向发展。因此，施工活动对评价区内陆生植物的直接影响较小，且可通过植物恢复措施将影响减小到最低程度。</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1.4 对野生动物的影响分析</w:t>
            </w:r>
          </w:p>
          <w:p>
            <w:pPr>
              <w:pStyle w:val="3"/>
              <w:keepLines w:val="0"/>
              <w:suppressLineNumbers w:val="0"/>
              <w:bidi w:val="0"/>
              <w:spacing w:before="0" w:beforeAutospacing="0" w:after="0" w:afterAutospacing="0"/>
              <w:ind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过收集资料及现场调查，工程所在区域内有少量常见的鸟类、爬行类和鼠类分布，无国家和自治区级保护野生植物分布。工程施工对野生动物的影响主要表现为工程占地、人员生活、施工活动等对野生动物栖息、觅食以及活动范围造成影响，其影响限于施工区及周边范围可能因施工噪声造成影响的区域。施工期受到影响的野生动物会自发迁移至周围适生环境，减少在施工区域的活动，项目占地面积较小，工程施工不会破坏野生动物生境的完整性和连通性，施工结束后，随着噪声的消失，土壤和植被的逐步恢复，野生动物可迁回项目区域。项目建设对工程区及周边活动的野生动物会产生一定影响，但影响程度及范围较小</w:t>
            </w:r>
            <w:r>
              <w:rPr>
                <w:rFonts w:hint="eastAsia" w:ascii="宋体" w:hAnsi="宋体" w:cs="宋体"/>
                <w:b w:val="0"/>
                <w:bCs w:val="0"/>
                <w:color w:val="auto"/>
                <w:sz w:val="24"/>
                <w:szCs w:val="24"/>
                <w:highlight w:val="none"/>
                <w:lang w:val="en-US" w:eastAsia="zh-CN"/>
              </w:rPr>
              <w:t>。</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1.5 景观影响分析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周边有少量人工绿洲景观，如种植农作物的农田、分布着防风固沙林的林带，以及村民居住的房屋聚落。整体上，区域景观生态系统较为脆弱，植被覆盖率较低，景观连通性差，受风沙等自然因素影响大。施工过程中，大型机械设备的进出、土方开挖与回填，转运过程采取洒水降尘措施。施工临时占地均为</w:t>
            </w:r>
            <w:r>
              <w:rPr>
                <w:rFonts w:hint="eastAsia" w:ascii="宋体" w:hAnsi="宋体" w:cs="宋体"/>
                <w:b w:val="0"/>
                <w:bCs w:val="0"/>
                <w:color w:val="auto"/>
                <w:sz w:val="24"/>
                <w:szCs w:val="24"/>
                <w:highlight w:val="none"/>
                <w:lang w:val="en-US" w:eastAsia="zh-CN"/>
              </w:rPr>
              <w:t>旱地和居住地</w:t>
            </w:r>
            <w:r>
              <w:rPr>
                <w:rFonts w:hint="eastAsia" w:ascii="宋体" w:hAnsi="宋体" w:eastAsia="宋体" w:cs="宋体"/>
                <w:b w:val="0"/>
                <w:bCs w:val="0"/>
                <w:color w:val="auto"/>
                <w:sz w:val="24"/>
                <w:szCs w:val="24"/>
                <w:highlight w:val="none"/>
                <w:lang w:val="en-US" w:eastAsia="zh-CN"/>
              </w:rPr>
              <w:t>，施工扬尘要求</w:t>
            </w:r>
            <w:r>
              <w:rPr>
                <w:rFonts w:hint="eastAsia" w:ascii="宋体" w:hAnsi="宋体" w:cs="宋体"/>
                <w:b w:val="0"/>
                <w:bCs w:val="0"/>
                <w:color w:val="auto"/>
                <w:sz w:val="24"/>
                <w:szCs w:val="24"/>
                <w:highlight w:val="none"/>
                <w:lang w:val="en-US" w:eastAsia="zh-CN"/>
              </w:rPr>
              <w:t>临时堆土区</w:t>
            </w:r>
            <w:r>
              <w:rPr>
                <w:rFonts w:hint="eastAsia" w:ascii="宋体" w:hAnsi="宋体" w:eastAsia="宋体" w:cs="宋体"/>
                <w:b w:val="0"/>
                <w:bCs w:val="0"/>
                <w:color w:val="auto"/>
                <w:sz w:val="24"/>
                <w:szCs w:val="24"/>
                <w:highlight w:val="none"/>
                <w:lang w:val="en-US" w:eastAsia="zh-CN"/>
              </w:rPr>
              <w:t>应用篷布遮盖，且在该段工程完成后及时压实堆放，稳固渠堤。</w:t>
            </w:r>
          </w:p>
          <w:p>
            <w:pPr>
              <w:pStyle w:val="3"/>
              <w:keepLines w:val="0"/>
              <w:suppressLineNumbers w:val="0"/>
              <w:bidi w:val="0"/>
              <w:spacing w:before="0" w:beforeAutospacing="0" w:after="0" w:afterAutospacing="0"/>
              <w:ind w:right="0"/>
              <w:rPr>
                <w:rFonts w:hint="eastAsia"/>
                <w:highlight w:val="none"/>
                <w:lang w:val="en-US" w:eastAsia="zh-CN"/>
              </w:rPr>
            </w:pPr>
            <w:r>
              <w:rPr>
                <w:rFonts w:hint="eastAsia"/>
                <w:highlight w:val="none"/>
                <w:lang w:val="en-US" w:eastAsia="zh-CN"/>
              </w:rPr>
              <w:t>1.6 水土流失</w:t>
            </w:r>
          </w:p>
          <w:p>
            <w:pPr>
              <w:pStyle w:val="3"/>
              <w:keepLines w:val="0"/>
              <w:suppressLineNumbers w:val="0"/>
              <w:bidi w:val="0"/>
              <w:spacing w:before="0" w:beforeAutospacing="0" w:after="0" w:afterAutospacing="0"/>
              <w:ind w:right="0"/>
              <w:rPr>
                <w:rFonts w:hint="eastAsia"/>
                <w:b w:val="0"/>
                <w:bCs w:val="0"/>
                <w:highlight w:val="none"/>
                <w:lang w:val="en-US" w:eastAsia="zh-CN"/>
              </w:rPr>
            </w:pPr>
            <w:r>
              <w:rPr>
                <w:rFonts w:hint="eastAsia"/>
                <w:b w:val="0"/>
                <w:bCs w:val="0"/>
                <w:highlight w:val="none"/>
                <w:lang w:val="en-US" w:eastAsia="zh-CN"/>
              </w:rPr>
              <w:t>本项目借方、砂石料等均从外部商业料场购入，不涉及取土场、料场水土流失。</w:t>
            </w:r>
          </w:p>
          <w:p>
            <w:pPr>
              <w:pStyle w:val="3"/>
              <w:keepLines w:val="0"/>
              <w:suppressLineNumbers w:val="0"/>
              <w:bidi w:val="0"/>
              <w:spacing w:before="0" w:beforeAutospacing="0" w:after="0" w:afterAutospacing="0"/>
              <w:ind w:right="0"/>
              <w:rPr>
                <w:rFonts w:hint="eastAsia"/>
                <w:b w:val="0"/>
                <w:bCs w:val="0"/>
                <w:highlight w:val="none"/>
                <w:lang w:val="en-US" w:eastAsia="zh-CN"/>
              </w:rPr>
            </w:pPr>
            <w:r>
              <w:rPr>
                <w:rFonts w:hint="eastAsia"/>
                <w:b w:val="0"/>
                <w:bCs w:val="0"/>
                <w:highlight w:val="none"/>
                <w:lang w:val="en-US" w:eastAsia="zh-CN"/>
              </w:rPr>
              <w:t>根据《水利部办公厅关于印发〈全国水土保持规划国家级水土流失重点预防区和重点治理区复核划分成果〉的通知》，若羌县属于阿尔金山国家级水土流失重点预防区。</w:t>
            </w:r>
          </w:p>
          <w:p>
            <w:pPr>
              <w:pStyle w:val="3"/>
              <w:keepLines w:val="0"/>
              <w:suppressLineNumbers w:val="0"/>
              <w:bidi w:val="0"/>
              <w:spacing w:before="0" w:beforeAutospacing="0" w:after="0" w:afterAutospacing="0"/>
              <w:ind w:right="0"/>
              <w:rPr>
                <w:rFonts w:hint="eastAsia"/>
                <w:b w:val="0"/>
                <w:bCs w:val="0"/>
                <w:highlight w:val="none"/>
                <w:lang w:val="en-US" w:eastAsia="zh-CN"/>
              </w:rPr>
            </w:pPr>
            <w:r>
              <w:rPr>
                <w:rFonts w:hint="eastAsia"/>
                <w:b w:val="0"/>
                <w:bCs w:val="0"/>
                <w:highlight w:val="none"/>
                <w:lang w:val="en-US" w:eastAsia="zh-CN"/>
              </w:rPr>
              <w:t>依照《土壤侵蚀分类分级标准》（SL190-2007）的规定，结合项目区所处的地理位置、地形地貌和气候环境特点，工程区为微度水力侵蚀区。原地貌土壤侵蚀模数背景值为1000t/km²·a，平均流失厚度0.74mm/a。</w:t>
            </w:r>
          </w:p>
          <w:p>
            <w:pPr>
              <w:pStyle w:val="3"/>
              <w:keepLines w:val="0"/>
              <w:suppressLineNumbers w:val="0"/>
              <w:bidi w:val="0"/>
              <w:spacing w:before="0" w:beforeAutospacing="0" w:after="0" w:afterAutospacing="0"/>
              <w:ind w:right="0"/>
              <w:rPr>
                <w:rFonts w:hint="eastAsia"/>
                <w:b w:val="0"/>
                <w:bCs w:val="0"/>
                <w:highlight w:val="none"/>
                <w:lang w:val="en-US" w:eastAsia="zh-CN"/>
              </w:rPr>
            </w:pPr>
            <w:r>
              <w:rPr>
                <w:rFonts w:hint="eastAsia"/>
                <w:b w:val="0"/>
                <w:bCs w:val="0"/>
                <w:highlight w:val="none"/>
                <w:lang w:val="en-US" w:eastAsia="zh-CN"/>
              </w:rPr>
              <w:t>在小型水利设施建设过程中，因施工开挖、材料堆放等，破坏了原有地表植被与土壤结构，虽然工程规模较小，但在局部地段改变了微地形，降低了地表粗糙度，加大了风沙侵蚀强度。通过加强施工期的环境管理工作，严格执行技术设计和施工规范，施工期应尽可能减少临时占地，禁止随意破坏自然植被，减少水土流失。</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本项目造成水土流失的原因：清基、开挖、回填、占压、碾压等施工活动破坏地表植被与土壤结构，降低土体稳定性；</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本项目造成水土流失危害：土地生产力下降、渠道淤积、边坡坍塌、影响项目安全运行、对周边农田与村落环境造成扬尘与泥沙污染。</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1.8 土地沙化影响分析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建设过程中对原地貌的扰动将降低项目占地范围内的土壤抗侵蚀能力，造成土地沙化；此外，由于项目地处内陆地区，风沙较大，空气干燥，若项目土石方堆存过程中未采取防尘网苫盖、洒水抑尘等措施，地表沙化的土壤及挖掘土方遇大风天气易产生严重的扬尘，形成沙尘天气。项目施工期基础开挖、场地平整等过程中，对原有地表土壤造成扰动，造成地表原有结构的破坏。此外，在施工过程中，各种车辆（尤其是重型卡车）行驶将使经过的土壤变紧实，严重的经过多次碾压后植物很难再生长，甚至退化为沙地。上述施工过程中，对原地貌的扰动大大降低了项目占地范围内的土壤抗侵蚀能力，若未采取相应的防护措施，遇大风天气，极易加重区域沙尘天气。因此施工期应采取相应防治措施减少对环境的影响。</w:t>
            </w:r>
          </w:p>
          <w:p>
            <w:pPr>
              <w:pStyle w:val="3"/>
              <w:keepLines w:val="0"/>
              <w:suppressLineNumbers w:val="0"/>
              <w:bidi w:val="0"/>
              <w:spacing w:before="0" w:beforeAutospacing="0" w:after="0" w:afterAutospacing="0"/>
              <w:ind w:right="0"/>
              <w:rPr>
                <w:rFonts w:hint="default"/>
              </w:rPr>
            </w:pPr>
            <w:r>
              <w:rPr>
                <w:rFonts w:hint="default"/>
              </w:rPr>
              <w:t>2</w:t>
            </w:r>
            <w:r>
              <w:rPr>
                <w:rFonts w:hint="eastAsia"/>
                <w:lang w:val="en-US" w:eastAsia="zh-CN"/>
              </w:rPr>
              <w:t xml:space="preserve"> </w:t>
            </w:r>
            <w:r>
              <w:rPr>
                <w:rFonts w:hint="default"/>
              </w:rPr>
              <w:t>大气污染物影响分析</w:t>
            </w:r>
          </w:p>
          <w:p>
            <w:pPr>
              <w:keepNext w:val="0"/>
              <w:keepLines w:val="0"/>
              <w:suppressLineNumbers w:val="0"/>
              <w:bidi w:val="0"/>
              <w:spacing w:before="0" w:beforeAutospacing="0" w:after="0" w:afterAutospacing="0"/>
              <w:ind w:left="0" w:right="0"/>
              <w:rPr>
                <w:rFonts w:hint="default"/>
              </w:rPr>
            </w:pPr>
            <w:r>
              <w:rPr>
                <w:rFonts w:hint="default"/>
              </w:rPr>
              <w:t>项目施工期大气污染物主要包括施工扬尘和机械燃油废气。</w:t>
            </w:r>
          </w:p>
          <w:p>
            <w:pPr>
              <w:pStyle w:val="3"/>
              <w:keepLines w:val="0"/>
              <w:suppressLineNumbers w:val="0"/>
              <w:bidi w:val="0"/>
              <w:spacing w:before="0" w:beforeAutospacing="0" w:after="0" w:afterAutospacing="0"/>
              <w:ind w:right="0"/>
              <w:rPr>
                <w:rFonts w:hint="default"/>
              </w:rPr>
            </w:pPr>
            <w:r>
              <w:rPr>
                <w:rFonts w:hint="default"/>
              </w:rPr>
              <w:t>2.1</w:t>
            </w:r>
            <w:r>
              <w:rPr>
                <w:rFonts w:hint="eastAsia"/>
                <w:lang w:val="en-US" w:eastAsia="zh-CN"/>
              </w:rPr>
              <w:t xml:space="preserve"> </w:t>
            </w:r>
            <w:r>
              <w:rPr>
                <w:rFonts w:hint="default"/>
              </w:rPr>
              <w:t>施工扬尘</w:t>
            </w:r>
          </w:p>
          <w:p>
            <w:pPr>
              <w:keepNext w:val="0"/>
              <w:keepLines w:val="0"/>
              <w:suppressLineNumbers w:val="0"/>
              <w:bidi w:val="0"/>
              <w:spacing w:before="0" w:beforeAutospacing="0" w:after="0" w:afterAutospacing="0"/>
              <w:ind w:left="0" w:right="0"/>
              <w:rPr>
                <w:rFonts w:hint="default"/>
              </w:rPr>
            </w:pPr>
            <w:r>
              <w:rPr>
                <w:rFonts w:hint="default"/>
              </w:rPr>
              <w:t>施工期产生的扬尘按起尘的原因可分为风力起尘和动力起尘。</w:t>
            </w:r>
          </w:p>
          <w:p>
            <w:pPr>
              <w:keepNext w:val="0"/>
              <w:keepLines w:val="0"/>
              <w:suppressLineNumbers w:val="0"/>
              <w:bidi w:val="0"/>
              <w:spacing w:before="0" w:beforeAutospacing="0" w:after="0" w:afterAutospacing="0"/>
              <w:ind w:left="0" w:right="0"/>
              <w:rPr>
                <w:rFonts w:hint="default"/>
              </w:rPr>
            </w:pPr>
            <w:r>
              <w:rPr>
                <w:rFonts w:hint="default"/>
              </w:rPr>
              <w:t>本项目风力起尘主要</w:t>
            </w:r>
            <w:r>
              <w:rPr>
                <w:rFonts w:hint="eastAsia"/>
                <w:lang w:val="en-US" w:eastAsia="zh-CN"/>
              </w:rPr>
              <w:t>为现有渠道构筑物拆除、</w:t>
            </w:r>
            <w:r>
              <w:rPr>
                <w:rFonts w:hint="default"/>
              </w:rPr>
              <w:t>场地平整、基础开挖、土方回填等土方作业过程中，在气候干燥又有风的情况下，会产生扬尘，其扬尘可按堆场起尘的经验公式计算：</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object>
                <v:shape id="_x0000_i1025" o:spt="75" type="#_x0000_t75" style="height:21.75pt;width:144pt;" o:ole="t" filled="f" o:preferrelative="t" stroked="f" coordsize="21600,21600">
                  <v:path/>
                  <v:fill on="f" focussize="0,0"/>
                  <v:stroke on="f"/>
                  <v:imagedata r:id="rId11" o:title=""/>
                  <o:lock v:ext="edit" grouping="f" rotation="f" text="f" aspectratio="t"/>
                  <w10:wrap type="none"/>
                  <w10:anchorlock/>
                </v:shape>
                <o:OLEObject Type="Embed" ProgID="Equation.3" ShapeID="_x0000_i1025" DrawAspect="Content" ObjectID="_1468075725" r:id="rId10">
                  <o:LockedField>false</o:LockedField>
                </o:OLEObject>
              </w:object>
            </w:r>
          </w:p>
          <w:p>
            <w:pPr>
              <w:keepNext w:val="0"/>
              <w:keepLines w:val="0"/>
              <w:suppressLineNumbers w:val="0"/>
              <w:bidi w:val="0"/>
              <w:spacing w:before="0" w:beforeAutospacing="0" w:after="0" w:afterAutospacing="0"/>
              <w:ind w:left="0" w:right="0"/>
              <w:rPr>
                <w:rFonts w:hint="default"/>
              </w:rPr>
            </w:pPr>
            <w:r>
              <w:rPr>
                <w:rFonts w:hint="default"/>
              </w:rPr>
              <w:t>式中，Q—起尘量，kg/t·a；</w:t>
            </w:r>
          </w:p>
          <w:p>
            <w:pPr>
              <w:keepNext w:val="0"/>
              <w:keepLines w:val="0"/>
              <w:suppressLineNumbers w:val="0"/>
              <w:bidi w:val="0"/>
              <w:spacing w:before="0" w:beforeAutospacing="0" w:after="0" w:afterAutospacing="0"/>
              <w:ind w:left="0" w:right="0"/>
              <w:rPr>
                <w:rFonts w:hint="default"/>
              </w:rPr>
            </w:pPr>
            <w:r>
              <w:rPr>
                <w:rFonts w:hint="default"/>
              </w:rPr>
              <w:t>V50—距地面50m处风速，m/s；</w:t>
            </w:r>
          </w:p>
          <w:p>
            <w:pPr>
              <w:keepNext w:val="0"/>
              <w:keepLines w:val="0"/>
              <w:suppressLineNumbers w:val="0"/>
              <w:bidi w:val="0"/>
              <w:spacing w:before="0" w:beforeAutospacing="0" w:after="0" w:afterAutospacing="0"/>
              <w:ind w:left="0" w:right="0"/>
              <w:rPr>
                <w:rFonts w:hint="default"/>
              </w:rPr>
            </w:pPr>
            <w:r>
              <w:rPr>
                <w:rFonts w:hint="default"/>
              </w:rPr>
              <w:t>V0—起尘风速，m/s；</w:t>
            </w:r>
          </w:p>
          <w:p>
            <w:pPr>
              <w:keepNext w:val="0"/>
              <w:keepLines w:val="0"/>
              <w:suppressLineNumbers w:val="0"/>
              <w:bidi w:val="0"/>
              <w:spacing w:before="0" w:beforeAutospacing="0" w:after="0" w:afterAutospacing="0"/>
              <w:ind w:left="0" w:right="0"/>
              <w:rPr>
                <w:rFonts w:hint="default"/>
              </w:rPr>
            </w:pPr>
            <w:r>
              <w:rPr>
                <w:rFonts w:hint="default"/>
              </w:rPr>
              <w:t>W—尘粒的含水率，%。</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V</w:t>
            </w:r>
            <w:r>
              <w:rPr>
                <w:rFonts w:hint="default" w:ascii="Times New Roman" w:hAnsi="Times New Roman" w:eastAsia="宋体" w:cs="Times New Roman"/>
                <w:color w:val="auto"/>
                <w:sz w:val="24"/>
                <w:szCs w:val="24"/>
                <w:highlight w:val="none"/>
                <w:vertAlign w:val="subscript"/>
              </w:rPr>
              <w:t>0</w:t>
            </w:r>
            <w:r>
              <w:rPr>
                <w:rFonts w:hint="default" w:ascii="Times New Roman" w:hAnsi="Times New Roman" w:eastAsia="宋体" w:cs="Times New Roman"/>
                <w:color w:val="auto"/>
                <w:sz w:val="24"/>
                <w:szCs w:val="24"/>
                <w:highlight w:val="none"/>
              </w:rPr>
              <w:t>与粒径和含水率有关，因此，减少露天堆放和保证一定的含水率及减少裸露地面是减少风力起尘的有效手段。</w:t>
            </w:r>
          </w:p>
          <w:p>
            <w:pPr>
              <w:pStyle w:val="5"/>
              <w:suppressLineNumbers w:val="0"/>
              <w:bidi w:val="0"/>
              <w:spacing w:before="0" w:after="0"/>
              <w:ind w:left="0" w:right="0"/>
              <w:rPr>
                <w:rFonts w:hint="default"/>
              </w:rPr>
            </w:pPr>
            <w:r>
              <w:rPr>
                <w:rFonts w:hint="default"/>
              </w:rPr>
              <w:t>表</w:t>
            </w:r>
            <w:r>
              <w:rPr>
                <w:rFonts w:hint="default"/>
                <w:lang w:val="en-US" w:eastAsia="zh-CN"/>
              </w:rPr>
              <w:t>4-1</w:t>
            </w:r>
            <w:r>
              <w:rPr>
                <w:rFonts w:hint="default"/>
              </w:rPr>
              <w:t xml:space="preserve">     不同粒径尘粒的沉降速度</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912"/>
              <w:gridCol w:w="912"/>
              <w:gridCol w:w="913"/>
              <w:gridCol w:w="913"/>
              <w:gridCol w:w="913"/>
              <w:gridCol w:w="913"/>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粒径，μm</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55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沉降速度，m/s</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0.003</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0.012</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0.027</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0.048</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0.075</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0.108</w:t>
                  </w:r>
                </w:p>
              </w:tc>
              <w:tc>
                <w:tcPr>
                  <w:tcW w:w="55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粒径，μm</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250</w:t>
                  </w:r>
                </w:p>
              </w:tc>
              <w:tc>
                <w:tcPr>
                  <w:tcW w:w="55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沉降速度，m/s</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0.158</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0.170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0.182</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0.239</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0.804</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1.005</w:t>
                  </w:r>
                </w:p>
              </w:tc>
              <w:tc>
                <w:tcPr>
                  <w:tcW w:w="55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粒径，μm</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450</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950</w:t>
                  </w:r>
                </w:p>
              </w:tc>
              <w:tc>
                <w:tcPr>
                  <w:tcW w:w="55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沉降速度，m/s</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2.211</w:t>
                  </w:r>
                </w:p>
              </w:tc>
              <w:tc>
                <w:tcPr>
                  <w:tcW w:w="56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2.614</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3.01</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3.418</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3.820</w:t>
                  </w:r>
                </w:p>
              </w:tc>
              <w:tc>
                <w:tcPr>
                  <w:tcW w:w="56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4.222</w:t>
                  </w:r>
                </w:p>
              </w:tc>
              <w:tc>
                <w:tcPr>
                  <w:tcW w:w="55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4.624</w:t>
                  </w:r>
                </w:p>
              </w:tc>
            </w:tr>
          </w:tbl>
          <w:p>
            <w:pPr>
              <w:keepNext w:val="0"/>
              <w:keepLines w:val="0"/>
              <w:suppressLineNumbers w:val="0"/>
              <w:bidi w:val="0"/>
              <w:spacing w:before="0" w:beforeAutospacing="0" w:after="0" w:afterAutospacing="0"/>
              <w:ind w:left="0" w:right="0"/>
              <w:rPr>
                <w:rFonts w:hint="default"/>
              </w:rPr>
            </w:pPr>
            <w:r>
              <w:rPr>
                <w:rFonts w:hint="default"/>
              </w:rPr>
              <w:t>据有关文献资料介绍，车辆行驶产生的扬尘占总扬尘的60%以上。车辆行驶产生的扬尘，在完全干燥情况下，可按下列经验公式计算：</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Q</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0.123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V/5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W/6.8</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vertAlign w:val="superscript"/>
              </w:rPr>
              <w:t>0.85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P/0.5</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vertAlign w:val="superscript"/>
              </w:rPr>
              <w:t>0.75</w:t>
            </w:r>
          </w:p>
          <w:p>
            <w:pPr>
              <w:keepNext w:val="0"/>
              <w:keepLines w:val="0"/>
              <w:suppressLineNumbers w:val="0"/>
              <w:bidi w:val="0"/>
              <w:spacing w:before="0" w:beforeAutospacing="0" w:after="0" w:afterAutospacing="0"/>
              <w:ind w:left="0" w:right="0"/>
              <w:rPr>
                <w:rFonts w:hint="default"/>
              </w:rPr>
            </w:pPr>
            <w:r>
              <w:rPr>
                <w:rFonts w:hint="default"/>
              </w:rPr>
              <w:t>式中，Q—汽车行驶的扬尘，kg/km·辆；</w:t>
            </w:r>
          </w:p>
          <w:p>
            <w:pPr>
              <w:keepNext w:val="0"/>
              <w:keepLines w:val="0"/>
              <w:suppressLineNumbers w:val="0"/>
              <w:bidi w:val="0"/>
              <w:spacing w:before="0" w:beforeAutospacing="0" w:after="0" w:afterAutospacing="0"/>
              <w:ind w:left="0" w:right="0"/>
              <w:rPr>
                <w:rFonts w:hint="default"/>
              </w:rPr>
            </w:pPr>
            <w:r>
              <w:rPr>
                <w:rFonts w:hint="default"/>
              </w:rPr>
              <w:t>V—汽车速度，km/hr；</w:t>
            </w:r>
          </w:p>
          <w:p>
            <w:pPr>
              <w:keepNext w:val="0"/>
              <w:keepLines w:val="0"/>
              <w:suppressLineNumbers w:val="0"/>
              <w:bidi w:val="0"/>
              <w:spacing w:before="0" w:beforeAutospacing="0" w:after="0" w:afterAutospacing="0"/>
              <w:ind w:left="0" w:right="0"/>
              <w:rPr>
                <w:rFonts w:hint="default"/>
              </w:rPr>
            </w:pPr>
            <w:r>
              <w:rPr>
                <w:rFonts w:hint="default"/>
              </w:rPr>
              <w:t>W—汽车载重量，t；</w:t>
            </w:r>
          </w:p>
          <w:p>
            <w:pPr>
              <w:keepNext w:val="0"/>
              <w:keepLines w:val="0"/>
              <w:suppressLineNumbers w:val="0"/>
              <w:bidi w:val="0"/>
              <w:spacing w:before="0" w:beforeAutospacing="0" w:after="0" w:afterAutospacing="0"/>
              <w:ind w:left="0" w:right="0"/>
              <w:rPr>
                <w:rFonts w:hint="default"/>
              </w:rPr>
            </w:pPr>
            <w:r>
              <w:rPr>
                <w:rFonts w:hint="default"/>
              </w:rPr>
              <w:t>P—道路表面粉尘量，kg/m</w:t>
            </w:r>
            <w:r>
              <w:rPr>
                <w:rFonts w:hint="default"/>
                <w:vertAlign w:val="superscript"/>
              </w:rPr>
              <w:t>2</w:t>
            </w:r>
            <w:r>
              <w:rPr>
                <w:rFonts w:hint="default"/>
              </w:rPr>
              <w:t>。</w:t>
            </w:r>
          </w:p>
          <w:p>
            <w:pPr>
              <w:keepNext w:val="0"/>
              <w:keepLines w:val="0"/>
              <w:suppressLineNumbers w:val="0"/>
              <w:bidi w:val="0"/>
              <w:spacing w:before="0" w:beforeAutospacing="0" w:after="0" w:afterAutospacing="0"/>
              <w:ind w:left="0" w:right="0"/>
              <w:rPr>
                <w:rFonts w:hint="default"/>
              </w:rPr>
            </w:pPr>
            <w:r>
              <w:rPr>
                <w:rFonts w:hint="default"/>
              </w:rPr>
              <w:t>公式显示，车辆行驶产生的扬尘与道路路面及车辆行驶速度有关。下表为一辆10t卡车，通过一段长度为1km的路面时，不同路面清洁程度，不同行驶速度情况下的扬尘量。</w:t>
            </w:r>
          </w:p>
          <w:p>
            <w:pPr>
              <w:pStyle w:val="5"/>
              <w:suppressLineNumbers w:val="0"/>
              <w:bidi w:val="0"/>
              <w:spacing w:before="0" w:after="0"/>
              <w:ind w:left="0" w:right="0"/>
              <w:jc w:val="center"/>
              <w:rPr>
                <w:rFonts w:hint="default"/>
              </w:rPr>
            </w:pPr>
            <w:r>
              <w:rPr>
                <w:rFonts w:hint="default"/>
              </w:rPr>
              <w:t>表</w:t>
            </w:r>
            <w:r>
              <w:rPr>
                <w:rFonts w:hint="default"/>
                <w:lang w:val="en-US" w:eastAsia="zh-CN"/>
              </w:rPr>
              <w:t>4-2</w:t>
            </w:r>
            <w:r>
              <w:rPr>
                <w:rFonts w:hint="default"/>
              </w:rPr>
              <w:t xml:space="preserve">  在不同车速和地面清洁程度的汽车扬尘   单位：kg/辆·km</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127"/>
              <w:gridCol w:w="1127"/>
              <w:gridCol w:w="1127"/>
              <w:gridCol w:w="1127"/>
              <w:gridCol w:w="1127"/>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pct"/>
                  <w:tcBorders>
                    <w:tl2br w:val="single" w:color="auto" w:sz="4" w:space="0"/>
                  </w:tcBorders>
                  <w:noWrap w:val="0"/>
                  <w:vAlign w:val="center"/>
                </w:tcPr>
                <w:p>
                  <w:pPr>
                    <w:pStyle w:val="6"/>
                    <w:suppressLineNumbers w:val="0"/>
                    <w:bidi w:val="0"/>
                    <w:spacing w:before="0" w:beforeAutospacing="0" w:after="0" w:afterAutospacing="0"/>
                    <w:ind w:left="0" w:right="0"/>
                    <w:jc w:val="right"/>
                    <w:rPr>
                      <w:rFonts w:hint="default"/>
                      <w:lang w:val="en-US" w:eastAsia="zh-CN"/>
                    </w:rPr>
                  </w:pPr>
                  <w:r>
                    <w:rPr>
                      <w:rFonts w:hint="default"/>
                    </w:rPr>
                    <w:t>P</w:t>
                  </w:r>
                </w:p>
                <w:p>
                  <w:pPr>
                    <w:pStyle w:val="6"/>
                    <w:suppressLineNumbers w:val="0"/>
                    <w:bidi w:val="0"/>
                    <w:spacing w:before="0" w:beforeAutospacing="0" w:after="0" w:afterAutospacing="0"/>
                    <w:ind w:left="0" w:right="0"/>
                    <w:jc w:val="left"/>
                    <w:rPr>
                      <w:rFonts w:hint="default"/>
                    </w:rPr>
                  </w:pPr>
                  <w:r>
                    <w:rPr>
                      <w:rFonts w:hint="default"/>
                    </w:rPr>
                    <w:t>车速</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0.1</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0.2</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0.3</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0.4</w:t>
                  </w:r>
                  <w:r>
                    <w:rPr>
                      <w:rFonts w:hint="eastAsia"/>
                      <w:lang w:eastAsia="zh-CN"/>
                    </w:rPr>
                    <w:t>(</w:t>
                  </w:r>
                  <w:r>
                    <w:rPr>
                      <w:rFonts w:hint="default"/>
                    </w:rPr>
                    <w:t>kg/m</w:t>
                  </w:r>
                  <w:r>
                    <w:rPr>
                      <w:rFonts w:hint="default"/>
                      <w:vertAlign w:val="superscript"/>
                    </w:rPr>
                    <w:t>2</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0.5</w:t>
                  </w:r>
                  <w:r>
                    <w:rPr>
                      <w:rFonts w:hint="eastAsia"/>
                      <w:lang w:eastAsia="zh-CN"/>
                    </w:rPr>
                    <w:t>(</w:t>
                  </w:r>
                  <w:r>
                    <w:rPr>
                      <w:rFonts w:hint="default"/>
                    </w:rPr>
                    <w:t>kg/m</w:t>
                  </w:r>
                  <w:r>
                    <w:rPr>
                      <w:rFonts w:hint="default"/>
                      <w:vertAlign w:val="superscript"/>
                    </w:rPr>
                    <w:t>2</w:t>
                  </w:r>
                  <w:r>
                    <w:rPr>
                      <w:rFonts w:hint="eastAsia"/>
                      <w:lang w:eastAsia="zh-CN"/>
                    </w:rPr>
                    <w:t>)</w:t>
                  </w:r>
                </w:p>
              </w:tc>
              <w:tc>
                <w:tcPr>
                  <w:tcW w:w="695" w:type="pct"/>
                  <w:noWrap w:val="0"/>
                  <w:vAlign w:val="center"/>
                </w:tcPr>
                <w:p>
                  <w:pPr>
                    <w:pStyle w:val="6"/>
                    <w:suppressLineNumbers w:val="0"/>
                    <w:bidi w:val="0"/>
                    <w:spacing w:before="0" w:beforeAutospacing="0" w:after="0" w:afterAutospacing="0"/>
                    <w:ind w:left="0" w:right="0"/>
                    <w:rPr>
                      <w:rFonts w:hint="default"/>
                    </w:rPr>
                  </w:pPr>
                  <w:r>
                    <w:rPr>
                      <w:rFonts w:hint="default"/>
                    </w:rPr>
                    <w:t>1.0</w:t>
                  </w:r>
                  <w:r>
                    <w:rPr>
                      <w:rFonts w:hint="eastAsia"/>
                      <w:lang w:eastAsia="zh-CN"/>
                    </w:rPr>
                    <w:t>(</w:t>
                  </w:r>
                  <w:r>
                    <w:rPr>
                      <w:rFonts w:hint="default"/>
                    </w:rPr>
                    <w:t>kg/m</w:t>
                  </w:r>
                  <w:r>
                    <w:rPr>
                      <w:rFonts w:hint="default"/>
                      <w:vertAlign w:val="superscript"/>
                    </w:rPr>
                    <w:t>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suppressLineNumbers w:val="0"/>
                    <w:bidi w:val="0"/>
                    <w:spacing w:before="0" w:beforeAutospacing="0" w:after="0" w:afterAutospacing="0"/>
                    <w:ind w:left="0" w:right="0"/>
                    <w:rPr>
                      <w:rFonts w:hint="default"/>
                    </w:rPr>
                  </w:pPr>
                  <w:r>
                    <w:rPr>
                      <w:rFonts w:hint="default"/>
                    </w:rPr>
                    <w:t>5</w:t>
                  </w:r>
                  <w:r>
                    <w:rPr>
                      <w:rFonts w:hint="eastAsia"/>
                      <w:lang w:eastAsia="zh-CN"/>
                    </w:rPr>
                    <w:t>(</w:t>
                  </w:r>
                  <w:r>
                    <w:rPr>
                      <w:rFonts w:hint="default"/>
                    </w:rPr>
                    <w:t>km/hr</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0.051056</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0.085865</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0.116382</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0.144408</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0.170715</w:t>
                  </w:r>
                </w:p>
              </w:tc>
              <w:tc>
                <w:tcPr>
                  <w:tcW w:w="695" w:type="pct"/>
                  <w:noWrap w:val="0"/>
                  <w:vAlign w:val="center"/>
                </w:tcPr>
                <w:p>
                  <w:pPr>
                    <w:pStyle w:val="6"/>
                    <w:suppressLineNumbers w:val="0"/>
                    <w:bidi w:val="0"/>
                    <w:spacing w:before="0" w:beforeAutospacing="0" w:after="0" w:afterAutospacing="0"/>
                    <w:ind w:left="0" w:right="0"/>
                    <w:rPr>
                      <w:rFonts w:hint="default"/>
                    </w:rPr>
                  </w:pPr>
                  <w:r>
                    <w:rPr>
                      <w:rFonts w:hint="default"/>
                    </w:rPr>
                    <w:t>0.287108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suppressLineNumbers w:val="0"/>
                    <w:bidi w:val="0"/>
                    <w:spacing w:before="0" w:beforeAutospacing="0" w:after="0" w:afterAutospacing="0"/>
                    <w:ind w:left="0" w:right="0"/>
                    <w:rPr>
                      <w:rFonts w:hint="default"/>
                    </w:rPr>
                  </w:pPr>
                  <w:r>
                    <w:rPr>
                      <w:rFonts w:hint="default"/>
                    </w:rPr>
                    <w:t>10</w:t>
                  </w:r>
                  <w:r>
                    <w:rPr>
                      <w:rFonts w:hint="eastAsia"/>
                      <w:lang w:eastAsia="zh-CN"/>
                    </w:rPr>
                    <w:t>(</w:t>
                  </w:r>
                  <w:r>
                    <w:rPr>
                      <w:rFonts w:hint="default"/>
                    </w:rPr>
                    <w:t>km/hr</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0.102112</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0.171731</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0.232764</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0.288815</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0.341431</w:t>
                  </w:r>
                </w:p>
              </w:tc>
              <w:tc>
                <w:tcPr>
                  <w:tcW w:w="695" w:type="pct"/>
                  <w:noWrap w:val="0"/>
                  <w:vAlign w:val="center"/>
                </w:tcPr>
                <w:p>
                  <w:pPr>
                    <w:pStyle w:val="6"/>
                    <w:suppressLineNumbers w:val="0"/>
                    <w:bidi w:val="0"/>
                    <w:spacing w:before="0" w:beforeAutospacing="0" w:after="0" w:afterAutospacing="0"/>
                    <w:ind w:left="0" w:right="0"/>
                    <w:rPr>
                      <w:rFonts w:hint="default"/>
                    </w:rPr>
                  </w:pPr>
                  <w:r>
                    <w:rPr>
                      <w:rFonts w:hint="default"/>
                    </w:rPr>
                    <w:t>0.574216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suppressLineNumbers w:val="0"/>
                    <w:bidi w:val="0"/>
                    <w:spacing w:before="0" w:beforeAutospacing="0" w:after="0" w:afterAutospacing="0"/>
                    <w:ind w:left="0" w:right="0"/>
                    <w:rPr>
                      <w:rFonts w:hint="default"/>
                    </w:rPr>
                  </w:pPr>
                  <w:r>
                    <w:rPr>
                      <w:rFonts w:hint="default"/>
                    </w:rPr>
                    <w:t>15</w:t>
                  </w:r>
                  <w:r>
                    <w:rPr>
                      <w:rFonts w:hint="eastAsia"/>
                      <w:lang w:eastAsia="zh-CN"/>
                    </w:rPr>
                    <w:t>(</w:t>
                  </w:r>
                  <w:r>
                    <w:rPr>
                      <w:rFonts w:hint="default"/>
                    </w:rPr>
                    <w:t>km/hr</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0.153167</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0.257596</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0.349146</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0.433223</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0.512146</w:t>
                  </w:r>
                </w:p>
              </w:tc>
              <w:tc>
                <w:tcPr>
                  <w:tcW w:w="695" w:type="pct"/>
                  <w:noWrap w:val="0"/>
                  <w:vAlign w:val="center"/>
                </w:tcPr>
                <w:p>
                  <w:pPr>
                    <w:pStyle w:val="6"/>
                    <w:suppressLineNumbers w:val="0"/>
                    <w:bidi w:val="0"/>
                    <w:spacing w:before="0" w:beforeAutospacing="0" w:after="0" w:afterAutospacing="0"/>
                    <w:ind w:left="0" w:right="0"/>
                    <w:rPr>
                      <w:rFonts w:hint="default"/>
                    </w:rPr>
                  </w:pPr>
                  <w:r>
                    <w:rPr>
                      <w:rFonts w:hint="default"/>
                    </w:rPr>
                    <w:t>0.861323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pct"/>
                  <w:noWrap w:val="0"/>
                  <w:vAlign w:val="center"/>
                </w:tcPr>
                <w:p>
                  <w:pPr>
                    <w:pStyle w:val="6"/>
                    <w:suppressLineNumbers w:val="0"/>
                    <w:bidi w:val="0"/>
                    <w:spacing w:before="0" w:beforeAutospacing="0" w:after="0" w:afterAutospacing="0"/>
                    <w:ind w:left="0" w:right="0"/>
                    <w:rPr>
                      <w:rFonts w:hint="default"/>
                    </w:rPr>
                  </w:pPr>
                  <w:r>
                    <w:rPr>
                      <w:rFonts w:hint="default"/>
                    </w:rPr>
                    <w:t>25</w:t>
                  </w:r>
                  <w:r>
                    <w:rPr>
                      <w:rFonts w:hint="eastAsia"/>
                      <w:lang w:eastAsia="zh-CN"/>
                    </w:rPr>
                    <w:t>(</w:t>
                  </w:r>
                  <w:r>
                    <w:rPr>
                      <w:rFonts w:hint="default"/>
                    </w:rPr>
                    <w:t>km/hr</w:t>
                  </w:r>
                  <w:r>
                    <w:rPr>
                      <w:rFonts w:hint="eastAsia"/>
                      <w:lang w:eastAsia="zh-CN"/>
                    </w:rPr>
                    <w:t>)</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0.255279</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0.429326</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0.58191</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0.722038</w:t>
                  </w:r>
                </w:p>
              </w:tc>
              <w:tc>
                <w:tcPr>
                  <w:tcW w:w="692" w:type="pct"/>
                  <w:noWrap w:val="0"/>
                  <w:vAlign w:val="center"/>
                </w:tcPr>
                <w:p>
                  <w:pPr>
                    <w:pStyle w:val="6"/>
                    <w:suppressLineNumbers w:val="0"/>
                    <w:bidi w:val="0"/>
                    <w:spacing w:before="0" w:beforeAutospacing="0" w:after="0" w:afterAutospacing="0"/>
                    <w:ind w:left="0" w:right="0"/>
                    <w:rPr>
                      <w:rFonts w:hint="default"/>
                    </w:rPr>
                  </w:pPr>
                  <w:r>
                    <w:rPr>
                      <w:rFonts w:hint="default"/>
                    </w:rPr>
                    <w:t>0.853577</w:t>
                  </w:r>
                </w:p>
              </w:tc>
              <w:tc>
                <w:tcPr>
                  <w:tcW w:w="695" w:type="pct"/>
                  <w:noWrap w:val="0"/>
                  <w:vAlign w:val="center"/>
                </w:tcPr>
                <w:p>
                  <w:pPr>
                    <w:pStyle w:val="6"/>
                    <w:suppressLineNumbers w:val="0"/>
                    <w:bidi w:val="0"/>
                    <w:spacing w:before="0" w:beforeAutospacing="0" w:after="0" w:afterAutospacing="0"/>
                    <w:ind w:left="0" w:right="0"/>
                    <w:rPr>
                      <w:rFonts w:hint="default"/>
                    </w:rPr>
                  </w:pPr>
                  <w:r>
                    <w:rPr>
                      <w:rFonts w:hint="default"/>
                    </w:rPr>
                    <w:t>1.435539</w:t>
                  </w:r>
                </w:p>
              </w:tc>
            </w:tr>
          </w:tbl>
          <w:p>
            <w:pPr>
              <w:keepNext w:val="0"/>
              <w:keepLines w:val="0"/>
              <w:suppressLineNumbers w:val="0"/>
              <w:bidi w:val="0"/>
              <w:spacing w:before="0" w:beforeAutospacing="0" w:after="0" w:afterAutospacing="0"/>
              <w:ind w:left="0" w:right="0"/>
              <w:rPr>
                <w:rFonts w:hint="default"/>
              </w:rPr>
            </w:pPr>
            <w:r>
              <w:rPr>
                <w:rFonts w:hint="default"/>
              </w:rPr>
              <w:t>由此可见，在同样路面清洁程度条件下，车速越快，扬尘量越大；而在同样车速情况下，路面越脏，则扬尘量越大。</w:t>
            </w:r>
          </w:p>
          <w:p>
            <w:pPr>
              <w:keepNext w:val="0"/>
              <w:keepLines w:val="0"/>
              <w:suppressLineNumbers w:val="0"/>
              <w:bidi w:val="0"/>
              <w:spacing w:before="0" w:beforeAutospacing="0" w:after="0" w:afterAutospacing="0"/>
              <w:ind w:left="0" w:right="0"/>
              <w:rPr>
                <w:rFonts w:hint="default"/>
              </w:rPr>
            </w:pPr>
            <w:r>
              <w:rPr>
                <w:rFonts w:hint="default"/>
              </w:rPr>
              <w:t>在工程施工作业过程中，施工场地扬尘较为严重，在不采取降尘措施的情况下，类比同类施工场地，当风速为2.4m/s时，施工场地下风向100m处的扬尘量可达19.7mg/m</w:t>
            </w:r>
            <w:r>
              <w:rPr>
                <w:rFonts w:hint="default"/>
                <w:vertAlign w:val="superscript"/>
              </w:rPr>
              <w:t>3</w:t>
            </w:r>
            <w:r>
              <w:rPr>
                <w:rFonts w:hint="default"/>
              </w:rPr>
              <w:t>，150m处可达5.0mg/m</w:t>
            </w:r>
            <w:r>
              <w:rPr>
                <w:rFonts w:hint="default"/>
                <w:vertAlign w:val="superscript"/>
              </w:rPr>
              <w:t>3</w:t>
            </w:r>
            <w:r>
              <w:rPr>
                <w:rFonts w:hint="default"/>
              </w:rPr>
              <w:t>。</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工地道路扬尘是施工工地扬尘的两项主要来源之一，占全部施工扬尘的60%以上，</w:t>
            </w:r>
            <w:r>
              <w:rPr>
                <w:rFonts w:hint="eastAsia" w:ascii="Times New Roman" w:hAnsi="Times New Roman" w:eastAsia="宋体" w:cs="Times New Roman"/>
                <w:color w:val="auto"/>
                <w:sz w:val="24"/>
                <w:szCs w:val="24"/>
                <w:highlight w:val="none"/>
                <w:lang w:eastAsia="zh-CN"/>
              </w:rPr>
              <w:t>其他为</w:t>
            </w:r>
            <w:r>
              <w:rPr>
                <w:rFonts w:hint="default" w:ascii="Times New Roman" w:hAnsi="Times New Roman" w:eastAsia="宋体" w:cs="Times New Roman"/>
                <w:color w:val="auto"/>
                <w:sz w:val="24"/>
                <w:szCs w:val="24"/>
                <w:highlight w:val="none"/>
              </w:rPr>
              <w:t>工地扬尘（材料的搬运和作业扬尘，土方和砂石的堆放扬尘，施工作业扬尘等）。由此可见，处理好道路扬尘是减少扬尘污染的关键。</w:t>
            </w:r>
            <w:r>
              <w:rPr>
                <w:rFonts w:hint="eastAsia" w:cs="Times New Roman"/>
                <w:color w:val="auto"/>
                <w:sz w:val="24"/>
                <w:szCs w:val="24"/>
                <w:highlight w:val="none"/>
                <w:lang w:val="en-US" w:eastAsia="zh-CN"/>
              </w:rPr>
              <w:t>施工场地</w:t>
            </w:r>
            <w:r>
              <w:rPr>
                <w:rFonts w:hint="default" w:ascii="Times New Roman" w:hAnsi="Times New Roman" w:eastAsia="宋体" w:cs="Times New Roman"/>
                <w:color w:val="auto"/>
                <w:sz w:val="24"/>
                <w:szCs w:val="24"/>
                <w:highlight w:val="none"/>
              </w:rPr>
              <w:t>扬尘对环境TSP浓度的影响范围主要集中在项目作业区100m以内。即：下风向一侧0～50m为重污染带、50～100m为较重污染带、大于100m为轻污染带。被影响地区TSP浓度平均值为12.35mg/m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pPr>
              <w:keepNext w:val="0"/>
              <w:keepLines w:val="0"/>
              <w:suppressLineNumbers w:val="0"/>
              <w:bidi w:val="0"/>
              <w:spacing w:before="0" w:beforeAutospacing="0" w:after="0" w:afterAutospacing="0"/>
              <w:ind w:left="0" w:right="0"/>
              <w:rPr>
                <w:rFonts w:hint="default"/>
              </w:rPr>
            </w:pPr>
            <w:r>
              <w:rPr>
                <w:rFonts w:hint="default"/>
              </w:rPr>
              <w:t>本项目施工作业工程中</w:t>
            </w:r>
            <w:r>
              <w:rPr>
                <w:rFonts w:hint="default"/>
                <w:lang w:val="en-US" w:eastAsia="zh-CN"/>
              </w:rPr>
              <w:t>应</w:t>
            </w:r>
            <w:r>
              <w:rPr>
                <w:rFonts w:hint="default"/>
              </w:rPr>
              <w:t>采取洒水降尘措施以减少对周边环境和环境敏感目标的影响。</w:t>
            </w:r>
          </w:p>
          <w:p>
            <w:pPr>
              <w:pStyle w:val="3"/>
              <w:keepLines w:val="0"/>
              <w:suppressLineNumbers w:val="0"/>
              <w:bidi w:val="0"/>
              <w:spacing w:before="0" w:beforeAutospacing="0" w:after="0" w:afterAutospacing="0"/>
              <w:ind w:right="0"/>
              <w:rPr>
                <w:rFonts w:hint="default"/>
              </w:rPr>
            </w:pPr>
            <w:r>
              <w:rPr>
                <w:rFonts w:hint="default"/>
              </w:rPr>
              <w:t>2.2</w:t>
            </w:r>
            <w:r>
              <w:rPr>
                <w:rFonts w:hint="eastAsia"/>
                <w:lang w:val="en-US" w:eastAsia="zh-CN"/>
              </w:rPr>
              <w:t xml:space="preserve"> </w:t>
            </w:r>
            <w:r>
              <w:rPr>
                <w:rFonts w:hint="default"/>
              </w:rPr>
              <w:t>施工机械废气</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施工机械设备燃烧燃油过程中将产生CO、NOx、SO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、碳氢化合</w:t>
            </w:r>
            <w:r>
              <w:rPr>
                <w:rFonts w:hint="eastAsia" w:cs="Times New Roman"/>
                <w:color w:val="auto"/>
                <w:sz w:val="24"/>
                <w:szCs w:val="24"/>
                <w:highlight w:val="none"/>
                <w:lang w:eastAsia="zh-CN"/>
              </w:rPr>
              <w:t>物等</w:t>
            </w:r>
            <w:r>
              <w:rPr>
                <w:rFonts w:hint="default" w:ascii="Times New Roman" w:hAnsi="Times New Roman" w:eastAsia="宋体" w:cs="Times New Roman"/>
                <w:color w:val="auto"/>
                <w:sz w:val="24"/>
                <w:szCs w:val="24"/>
                <w:highlight w:val="none"/>
              </w:rPr>
              <w:t>污染物。每吨柴油燃烧排放有害气体量详见下表。</w:t>
            </w:r>
          </w:p>
          <w:p>
            <w:pPr>
              <w:pStyle w:val="5"/>
              <w:suppressLineNumbers w:val="0"/>
              <w:bidi w:val="0"/>
              <w:spacing w:before="0" w:after="0"/>
              <w:ind w:left="0" w:right="0"/>
              <w:rPr>
                <w:rFonts w:hint="default"/>
              </w:rPr>
            </w:pPr>
            <w:r>
              <w:rPr>
                <w:rFonts w:hint="default"/>
              </w:rPr>
              <w:t>表</w:t>
            </w:r>
            <w:r>
              <w:rPr>
                <w:rFonts w:hint="default"/>
                <w:lang w:val="en-US" w:eastAsia="zh-CN"/>
              </w:rPr>
              <w:t>4-3</w:t>
            </w:r>
            <w:r>
              <w:rPr>
                <w:rFonts w:hint="default"/>
              </w:rPr>
              <w:t xml:space="preserve">   燃烧1t柴油排放的有害物质表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69"/>
              <w:gridCol w:w="1606"/>
              <w:gridCol w:w="1342"/>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45" w:type="pct"/>
                  <w:noWrap w:val="0"/>
                  <w:vAlign w:val="center"/>
                </w:tcPr>
                <w:p>
                  <w:pPr>
                    <w:pStyle w:val="6"/>
                    <w:suppressLineNumbers w:val="0"/>
                    <w:bidi w:val="0"/>
                    <w:spacing w:before="0" w:beforeAutospacing="0" w:after="0" w:afterAutospacing="0"/>
                    <w:ind w:left="0" w:right="0"/>
                    <w:rPr>
                      <w:rFonts w:hint="eastAsia"/>
                    </w:rPr>
                  </w:pPr>
                  <w:r>
                    <w:rPr>
                      <w:rFonts w:hint="eastAsia"/>
                    </w:rPr>
                    <w:t>有害物质</w:t>
                  </w:r>
                </w:p>
              </w:tc>
              <w:tc>
                <w:tcPr>
                  <w:tcW w:w="903" w:type="pct"/>
                  <w:noWrap w:val="0"/>
                  <w:vAlign w:val="center"/>
                </w:tcPr>
                <w:p>
                  <w:pPr>
                    <w:pStyle w:val="6"/>
                    <w:suppressLineNumbers w:val="0"/>
                    <w:bidi w:val="0"/>
                    <w:spacing w:before="0" w:beforeAutospacing="0" w:after="0" w:afterAutospacing="0"/>
                    <w:ind w:left="0" w:right="0"/>
                    <w:rPr>
                      <w:rFonts w:hint="eastAsia"/>
                    </w:rPr>
                  </w:pPr>
                  <w:r>
                    <w:rPr>
                      <w:rFonts w:hint="eastAsia"/>
                    </w:rPr>
                    <w:t>SO</w:t>
                  </w:r>
                  <w:r>
                    <w:rPr>
                      <w:rFonts w:hint="eastAsia"/>
                      <w:vertAlign w:val="subscript"/>
                    </w:rPr>
                    <w:t>2</w:t>
                  </w:r>
                </w:p>
              </w:tc>
              <w:tc>
                <w:tcPr>
                  <w:tcW w:w="987" w:type="pct"/>
                  <w:noWrap w:val="0"/>
                  <w:vAlign w:val="center"/>
                </w:tcPr>
                <w:p>
                  <w:pPr>
                    <w:pStyle w:val="6"/>
                    <w:suppressLineNumbers w:val="0"/>
                    <w:bidi w:val="0"/>
                    <w:spacing w:before="0" w:beforeAutospacing="0" w:after="0" w:afterAutospacing="0"/>
                    <w:ind w:left="0" w:right="0"/>
                    <w:rPr>
                      <w:rFonts w:hint="eastAsia"/>
                    </w:rPr>
                  </w:pPr>
                  <w:r>
                    <w:rPr>
                      <w:rFonts w:hint="eastAsia"/>
                    </w:rPr>
                    <w:t>CO</w:t>
                  </w:r>
                </w:p>
              </w:tc>
              <w:tc>
                <w:tcPr>
                  <w:tcW w:w="825" w:type="pct"/>
                  <w:noWrap w:val="0"/>
                  <w:vAlign w:val="center"/>
                </w:tcPr>
                <w:p>
                  <w:pPr>
                    <w:pStyle w:val="6"/>
                    <w:suppressLineNumbers w:val="0"/>
                    <w:bidi w:val="0"/>
                    <w:spacing w:before="0" w:beforeAutospacing="0" w:after="0" w:afterAutospacing="0"/>
                    <w:ind w:left="0" w:right="0"/>
                    <w:rPr>
                      <w:rFonts w:hint="eastAsia"/>
                    </w:rPr>
                  </w:pPr>
                  <w:r>
                    <w:rPr>
                      <w:rFonts w:hint="eastAsia"/>
                    </w:rPr>
                    <w:t>NOx</w:t>
                  </w:r>
                </w:p>
              </w:tc>
              <w:tc>
                <w:tcPr>
                  <w:tcW w:w="1138" w:type="pct"/>
                  <w:noWrap w:val="0"/>
                  <w:vAlign w:val="center"/>
                </w:tcPr>
                <w:p>
                  <w:pPr>
                    <w:pStyle w:val="6"/>
                    <w:suppressLineNumbers w:val="0"/>
                    <w:bidi w:val="0"/>
                    <w:spacing w:before="0" w:beforeAutospacing="0" w:after="0" w:afterAutospacing="0"/>
                    <w:ind w:left="0" w:right="0"/>
                    <w:rPr>
                      <w:rFonts w:hint="eastAsia"/>
                    </w:rPr>
                  </w:pPr>
                  <w:r>
                    <w:rPr>
                      <w:rFonts w:hint="eastAsia"/>
                    </w:rPr>
                    <w:t>碳氢化合物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145" w:type="pct"/>
                  <w:noWrap w:val="0"/>
                  <w:vAlign w:val="center"/>
                </w:tcPr>
                <w:p>
                  <w:pPr>
                    <w:pStyle w:val="6"/>
                    <w:suppressLineNumbers w:val="0"/>
                    <w:bidi w:val="0"/>
                    <w:spacing w:before="0" w:beforeAutospacing="0" w:after="0" w:afterAutospacing="0"/>
                    <w:ind w:left="0" w:right="0"/>
                    <w:rPr>
                      <w:rFonts w:hint="eastAsia"/>
                    </w:rPr>
                  </w:pPr>
                  <w:r>
                    <w:rPr>
                      <w:rFonts w:hint="eastAsia"/>
                    </w:rPr>
                    <w:t>排放量（kg）</w:t>
                  </w:r>
                </w:p>
              </w:tc>
              <w:tc>
                <w:tcPr>
                  <w:tcW w:w="903" w:type="pct"/>
                  <w:noWrap w:val="0"/>
                  <w:vAlign w:val="center"/>
                </w:tcPr>
                <w:p>
                  <w:pPr>
                    <w:pStyle w:val="6"/>
                    <w:suppressLineNumbers w:val="0"/>
                    <w:bidi w:val="0"/>
                    <w:spacing w:before="0" w:beforeAutospacing="0" w:after="0" w:afterAutospacing="0"/>
                    <w:ind w:left="0" w:right="0"/>
                    <w:rPr>
                      <w:rFonts w:hint="eastAsia"/>
                    </w:rPr>
                  </w:pPr>
                  <w:r>
                    <w:rPr>
                      <w:rFonts w:hint="eastAsia"/>
                    </w:rPr>
                    <w:t>3.522</w:t>
                  </w:r>
                </w:p>
              </w:tc>
              <w:tc>
                <w:tcPr>
                  <w:tcW w:w="987" w:type="pct"/>
                  <w:noWrap w:val="0"/>
                  <w:vAlign w:val="center"/>
                </w:tcPr>
                <w:p>
                  <w:pPr>
                    <w:pStyle w:val="6"/>
                    <w:suppressLineNumbers w:val="0"/>
                    <w:bidi w:val="0"/>
                    <w:spacing w:before="0" w:beforeAutospacing="0" w:after="0" w:afterAutospacing="0"/>
                    <w:ind w:left="0" w:right="0"/>
                    <w:rPr>
                      <w:rFonts w:hint="eastAsia"/>
                    </w:rPr>
                  </w:pPr>
                  <w:r>
                    <w:rPr>
                      <w:rFonts w:hint="eastAsia"/>
                    </w:rPr>
                    <w:t>29.349</w:t>
                  </w:r>
                </w:p>
              </w:tc>
              <w:tc>
                <w:tcPr>
                  <w:tcW w:w="825" w:type="pct"/>
                  <w:noWrap w:val="0"/>
                  <w:vAlign w:val="center"/>
                </w:tcPr>
                <w:p>
                  <w:pPr>
                    <w:pStyle w:val="6"/>
                    <w:suppressLineNumbers w:val="0"/>
                    <w:bidi w:val="0"/>
                    <w:spacing w:before="0" w:beforeAutospacing="0" w:after="0" w:afterAutospacing="0"/>
                    <w:ind w:left="0" w:right="0"/>
                    <w:rPr>
                      <w:rFonts w:hint="eastAsia"/>
                    </w:rPr>
                  </w:pPr>
                  <w:r>
                    <w:rPr>
                      <w:rFonts w:hint="eastAsia"/>
                    </w:rPr>
                    <w:t>48.263</w:t>
                  </w:r>
                </w:p>
              </w:tc>
              <w:tc>
                <w:tcPr>
                  <w:tcW w:w="1138" w:type="pct"/>
                  <w:noWrap w:val="0"/>
                  <w:vAlign w:val="center"/>
                </w:tcPr>
                <w:p>
                  <w:pPr>
                    <w:pStyle w:val="6"/>
                    <w:suppressLineNumbers w:val="0"/>
                    <w:bidi w:val="0"/>
                    <w:spacing w:before="0" w:beforeAutospacing="0" w:after="0" w:afterAutospacing="0"/>
                    <w:ind w:left="0" w:right="0"/>
                    <w:rPr>
                      <w:rFonts w:hint="eastAsia"/>
                    </w:rPr>
                  </w:pPr>
                  <w:r>
                    <w:rPr>
                      <w:rFonts w:hint="eastAsia"/>
                    </w:rPr>
                    <w:t>4.826</w:t>
                  </w:r>
                </w:p>
              </w:tc>
            </w:tr>
          </w:tbl>
          <w:p>
            <w:pPr>
              <w:keepNext w:val="0"/>
              <w:keepLines w:val="0"/>
              <w:suppressLineNumbers w:val="0"/>
              <w:bidi w:val="0"/>
              <w:spacing w:before="0" w:beforeAutospacing="0" w:after="0" w:afterAutospacing="0"/>
              <w:ind w:left="0" w:right="0"/>
              <w:rPr>
                <w:rFonts w:hint="default"/>
              </w:rPr>
            </w:pPr>
            <w:r>
              <w:rPr>
                <w:rFonts w:hint="default"/>
              </w:rPr>
              <w:t>由于此类污染源多为无组织排放，较为分散，受自然条件的影响容易扩散，本项目所在区域空气环境本底现状优良，具有较大的环境容量，且项目区场地开阔，施工作业也不存在短时间集中排放的情况，废气排放量较小，对周边环境影响较小。</w:t>
            </w:r>
          </w:p>
          <w:p>
            <w:pPr>
              <w:pStyle w:val="3"/>
              <w:keepLines w:val="0"/>
              <w:suppressLineNumbers w:val="0"/>
              <w:bidi w:val="0"/>
              <w:spacing w:before="0" w:beforeAutospacing="0" w:after="0" w:afterAutospacing="0"/>
              <w:ind w:right="0"/>
              <w:rPr>
                <w:rFonts w:hint="default"/>
              </w:rPr>
            </w:pPr>
            <w:r>
              <w:rPr>
                <w:rFonts w:hint="default"/>
              </w:rPr>
              <w:t>3</w:t>
            </w:r>
            <w:r>
              <w:rPr>
                <w:rFonts w:hint="eastAsia"/>
                <w:lang w:val="en-US" w:eastAsia="zh-CN"/>
              </w:rPr>
              <w:t xml:space="preserve"> </w:t>
            </w:r>
            <w:r>
              <w:rPr>
                <w:rFonts w:hint="default"/>
              </w:rPr>
              <w:t>施工废水</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施工废水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rPr>
              <w:t>进出场车辆冲洗过程有冲洗废水产生</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施工场区设置车辆冲洗设施和沉淀池，对冲洗废水收集、</w:t>
            </w:r>
            <w:r>
              <w:rPr>
                <w:rFonts w:hint="default" w:ascii="Times New Roman" w:hAnsi="Times New Roman" w:eastAsia="宋体" w:cs="Times New Roman"/>
                <w:color w:val="auto"/>
                <w:sz w:val="24"/>
                <w:szCs w:val="24"/>
              </w:rPr>
              <w:t>沉淀处理后回用于车辆清洗，禁止随意排放。</w:t>
            </w:r>
            <w:r>
              <w:rPr>
                <w:rFonts w:hint="default" w:ascii="Times New Roman" w:hAnsi="Times New Roman" w:eastAsia="宋体" w:cs="Times New Roman"/>
                <w:color w:val="auto"/>
                <w:sz w:val="24"/>
                <w:szCs w:val="24"/>
                <w:lang w:val="en-US" w:eastAsia="zh-CN"/>
              </w:rPr>
              <w:t>按平均每天冲洗车辆60辆，每辆车冲洗用水40L计算，每天冲洗废水产生量为2.4m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，废水中主要污染物是泥沙和SS，通过沉淀池收集沉淀后循环使用。沉淀池容积应进行防渗，容积应满足沉淀水力停留时间的需求。施工期</w:t>
            </w:r>
            <w:r>
              <w:rPr>
                <w:rFonts w:hint="default" w:ascii="Times New Roman" w:hAnsi="Times New Roman" w:eastAsia="宋体" w:cs="Times New Roman"/>
                <w:color w:val="auto"/>
                <w:sz w:val="24"/>
                <w:szCs w:val="24"/>
              </w:rPr>
              <w:t>采取以上措施后，不会对环境产生不利影响。</w:t>
            </w:r>
          </w:p>
          <w:p>
            <w:pPr>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项目施工</w:t>
            </w:r>
            <w:r>
              <w:rPr>
                <w:rFonts w:hint="eastAsia" w:ascii="宋体" w:hAnsi="宋体" w:cs="宋体"/>
                <w:color w:val="auto"/>
                <w:sz w:val="24"/>
                <w:lang w:val="en-US" w:eastAsia="zh-CN"/>
              </w:rPr>
              <w:t>选择</w:t>
            </w:r>
            <w:r>
              <w:rPr>
                <w:rFonts w:hint="eastAsia" w:cs="Times New Roman"/>
                <w:color w:val="auto"/>
                <w:sz w:val="24"/>
                <w:szCs w:val="24"/>
                <w:highlight w:val="none"/>
                <w:lang w:val="en-US" w:eastAsia="zh-CN"/>
              </w:rPr>
              <w:t>灌溉停水期</w:t>
            </w:r>
            <w:r>
              <w:rPr>
                <w:rFonts w:hint="default" w:ascii="Times New Roman" w:hAnsi="Times New Roman" w:eastAsia="宋体" w:cs="Times New Roman"/>
                <w:color w:val="auto"/>
                <w:sz w:val="24"/>
                <w:szCs w:val="24"/>
                <w:highlight w:val="none"/>
              </w:rPr>
              <w:t>，施工渠道内无水流通过。施工期间车辆冲洗废水回用</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同时通过加强管理，严禁污水和固废排入渠道，</w:t>
            </w:r>
            <w:r>
              <w:rPr>
                <w:rFonts w:hint="default" w:ascii="Times New Roman" w:hAnsi="Times New Roman" w:eastAsia="宋体" w:cs="Times New Roman"/>
                <w:color w:val="auto"/>
                <w:sz w:val="24"/>
                <w:szCs w:val="24"/>
                <w:highlight w:val="none"/>
              </w:rPr>
              <w:t>不会对地表水产生不利影响。项目施工期产生的各类废水严禁排入周边任何地表水体。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噪声环境影响分析</w:t>
            </w:r>
          </w:p>
          <w:p>
            <w:pPr>
              <w:keepNext w:val="0"/>
              <w:keepLines w:val="0"/>
              <w:suppressLineNumbers w:val="0"/>
              <w:bidi w:val="0"/>
              <w:spacing w:before="0" w:beforeAutospacing="0" w:after="0" w:afterAutospacing="0"/>
              <w:ind w:left="0" w:right="0"/>
              <w:rPr>
                <w:rFonts w:hint="default"/>
              </w:rPr>
            </w:pPr>
            <w:r>
              <w:rPr>
                <w:rFonts w:hint="default"/>
              </w:rPr>
              <w:t>施工期噪声来自机械设备作业施工，主要来源于运输车辆噪声和施工噪声，噪声源为运输车辆、挖掘机、装载机、推土机等机械设备，大部分是移动声源，没有明显的指向性，噪声特性见下表。</w:t>
            </w:r>
          </w:p>
          <w:p>
            <w:pPr>
              <w:pStyle w:val="5"/>
              <w:suppressLineNumbers w:val="0"/>
              <w:bidi w:val="0"/>
              <w:spacing w:before="0" w:after="0"/>
              <w:ind w:left="0" w:right="0"/>
              <w:rPr>
                <w:rFonts w:hint="default"/>
              </w:rPr>
            </w:pPr>
            <w:r>
              <w:rPr>
                <w:rFonts w:hint="default"/>
              </w:rPr>
              <w:t>表</w:t>
            </w:r>
            <w:r>
              <w:rPr>
                <w:rFonts w:hint="default"/>
                <w:lang w:val="en-US" w:eastAsia="zh-CN"/>
              </w:rPr>
              <w:t>4-4</w:t>
            </w:r>
            <w:r>
              <w:rPr>
                <w:rFonts w:hint="default"/>
              </w:rPr>
              <w:t xml:space="preserve">   主要施工机械噪声特性</w:t>
            </w:r>
          </w:p>
          <w:tbl>
            <w:tblPr>
              <w:tblStyle w:val="21"/>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0"/>
              <w:gridCol w:w="3395"/>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suppressLineNumbers w:val="0"/>
                    <w:bidi w:val="0"/>
                    <w:spacing w:before="0" w:beforeAutospacing="0" w:after="0" w:afterAutospacing="0"/>
                    <w:ind w:left="0" w:right="0"/>
                    <w:rPr>
                      <w:rFonts w:hint="default"/>
                    </w:rPr>
                  </w:pPr>
                  <w:r>
                    <w:rPr>
                      <w:rFonts w:hint="default"/>
                    </w:rPr>
                    <w:t>序号</w:t>
                  </w:r>
                </w:p>
              </w:tc>
              <w:tc>
                <w:tcPr>
                  <w:tcW w:w="3395" w:type="dxa"/>
                  <w:noWrap w:val="0"/>
                  <w:vAlign w:val="center"/>
                </w:tcPr>
                <w:p>
                  <w:pPr>
                    <w:pStyle w:val="6"/>
                    <w:suppressLineNumbers w:val="0"/>
                    <w:bidi w:val="0"/>
                    <w:spacing w:before="0" w:beforeAutospacing="0" w:after="0" w:afterAutospacing="0"/>
                    <w:ind w:left="0" w:right="0"/>
                    <w:rPr>
                      <w:rFonts w:hint="default"/>
                    </w:rPr>
                  </w:pPr>
                  <w:r>
                    <w:rPr>
                      <w:rFonts w:hint="default"/>
                    </w:rPr>
                    <w:t>设备类型</w:t>
                  </w:r>
                </w:p>
              </w:tc>
              <w:tc>
                <w:tcPr>
                  <w:tcW w:w="3852" w:type="dxa"/>
                  <w:noWrap w:val="0"/>
                  <w:vAlign w:val="center"/>
                </w:tcPr>
                <w:p>
                  <w:pPr>
                    <w:pStyle w:val="6"/>
                    <w:suppressLineNumbers w:val="0"/>
                    <w:bidi w:val="0"/>
                    <w:spacing w:before="0" w:beforeAutospacing="0" w:after="0" w:afterAutospacing="0"/>
                    <w:ind w:left="0" w:right="0"/>
                    <w:rPr>
                      <w:rFonts w:hint="default"/>
                    </w:rPr>
                  </w:pPr>
                  <w:r>
                    <w:rPr>
                      <w:rFonts w:hint="default"/>
                    </w:rPr>
                    <w:t>声功率级（dB）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suppressLineNumbers w:val="0"/>
                    <w:bidi w:val="0"/>
                    <w:spacing w:before="0" w:beforeAutospacing="0" w:after="0" w:afterAutospacing="0"/>
                    <w:ind w:left="0" w:right="0"/>
                    <w:rPr>
                      <w:rFonts w:hint="default"/>
                    </w:rPr>
                  </w:pPr>
                  <w:r>
                    <w:rPr>
                      <w:rFonts w:hint="default"/>
                    </w:rPr>
                    <w:t>1</w:t>
                  </w:r>
                </w:p>
              </w:tc>
              <w:tc>
                <w:tcPr>
                  <w:tcW w:w="3395" w:type="dxa"/>
                  <w:noWrap w:val="0"/>
                  <w:vAlign w:val="center"/>
                </w:tcPr>
                <w:p>
                  <w:pPr>
                    <w:pStyle w:val="6"/>
                    <w:suppressLineNumbers w:val="0"/>
                    <w:bidi w:val="0"/>
                    <w:spacing w:before="0" w:beforeAutospacing="0" w:after="0" w:afterAutospacing="0"/>
                    <w:ind w:left="0" w:right="0"/>
                    <w:rPr>
                      <w:rFonts w:hint="default"/>
                    </w:rPr>
                  </w:pPr>
                  <w:r>
                    <w:rPr>
                      <w:rFonts w:hint="default"/>
                    </w:rPr>
                    <w:t>挖掘机</w:t>
                  </w:r>
                </w:p>
              </w:tc>
              <w:tc>
                <w:tcPr>
                  <w:tcW w:w="3852" w:type="dxa"/>
                  <w:noWrap w:val="0"/>
                  <w:vAlign w:val="center"/>
                </w:tcPr>
                <w:p>
                  <w:pPr>
                    <w:pStyle w:val="6"/>
                    <w:suppressLineNumbers w:val="0"/>
                    <w:bidi w:val="0"/>
                    <w:spacing w:before="0" w:beforeAutospacing="0" w:after="0" w:afterAutospacing="0"/>
                    <w:ind w:left="0" w:right="0"/>
                    <w:rPr>
                      <w:rFonts w:hint="default"/>
                    </w:rPr>
                  </w:pPr>
                  <w:r>
                    <w:rPr>
                      <w:rFonts w:hint="default"/>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suppressLineNumbers w:val="0"/>
                    <w:bidi w:val="0"/>
                    <w:spacing w:before="0" w:beforeAutospacing="0" w:after="0" w:afterAutospacing="0"/>
                    <w:ind w:left="0" w:right="0"/>
                    <w:rPr>
                      <w:rFonts w:hint="default"/>
                    </w:rPr>
                  </w:pPr>
                  <w:r>
                    <w:rPr>
                      <w:rFonts w:hint="default"/>
                    </w:rPr>
                    <w:t>2</w:t>
                  </w:r>
                </w:p>
              </w:tc>
              <w:tc>
                <w:tcPr>
                  <w:tcW w:w="3395" w:type="dxa"/>
                  <w:noWrap w:val="0"/>
                  <w:vAlign w:val="center"/>
                </w:tcPr>
                <w:p>
                  <w:pPr>
                    <w:pStyle w:val="6"/>
                    <w:suppressLineNumbers w:val="0"/>
                    <w:bidi w:val="0"/>
                    <w:spacing w:before="0" w:beforeAutospacing="0" w:after="0" w:afterAutospacing="0"/>
                    <w:ind w:left="0" w:right="0"/>
                    <w:rPr>
                      <w:rFonts w:hint="default"/>
                    </w:rPr>
                  </w:pPr>
                  <w:r>
                    <w:rPr>
                      <w:rFonts w:hint="default"/>
                    </w:rPr>
                    <w:t>装载机</w:t>
                  </w:r>
                </w:p>
              </w:tc>
              <w:tc>
                <w:tcPr>
                  <w:tcW w:w="3852" w:type="dxa"/>
                  <w:noWrap w:val="0"/>
                  <w:vAlign w:val="center"/>
                </w:tcPr>
                <w:p>
                  <w:pPr>
                    <w:pStyle w:val="6"/>
                    <w:suppressLineNumbers w:val="0"/>
                    <w:bidi w:val="0"/>
                    <w:spacing w:before="0" w:beforeAutospacing="0" w:after="0" w:afterAutospacing="0"/>
                    <w:ind w:left="0" w:right="0"/>
                    <w:rPr>
                      <w:rFonts w:hint="default"/>
                    </w:rPr>
                  </w:pPr>
                  <w:r>
                    <w:rPr>
                      <w:rFonts w:hint="default"/>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suppressLineNumbers w:val="0"/>
                    <w:bidi w:val="0"/>
                    <w:spacing w:before="0" w:beforeAutospacing="0" w:after="0" w:afterAutospacing="0"/>
                    <w:ind w:left="0" w:right="0"/>
                    <w:rPr>
                      <w:rFonts w:hint="default"/>
                    </w:rPr>
                  </w:pPr>
                  <w:r>
                    <w:rPr>
                      <w:rFonts w:hint="default"/>
                    </w:rPr>
                    <w:t>3</w:t>
                  </w:r>
                </w:p>
              </w:tc>
              <w:tc>
                <w:tcPr>
                  <w:tcW w:w="3395" w:type="dxa"/>
                  <w:noWrap w:val="0"/>
                  <w:vAlign w:val="center"/>
                </w:tcPr>
                <w:p>
                  <w:pPr>
                    <w:pStyle w:val="6"/>
                    <w:suppressLineNumbers w:val="0"/>
                    <w:bidi w:val="0"/>
                    <w:spacing w:before="0" w:beforeAutospacing="0" w:after="0" w:afterAutospacing="0"/>
                    <w:ind w:left="0" w:right="0"/>
                    <w:rPr>
                      <w:rFonts w:hint="default"/>
                    </w:rPr>
                  </w:pPr>
                  <w:r>
                    <w:rPr>
                      <w:rFonts w:hint="default"/>
                    </w:rPr>
                    <w:t>推土机</w:t>
                  </w:r>
                </w:p>
              </w:tc>
              <w:tc>
                <w:tcPr>
                  <w:tcW w:w="3852" w:type="dxa"/>
                  <w:noWrap w:val="0"/>
                  <w:vAlign w:val="center"/>
                </w:tcPr>
                <w:p>
                  <w:pPr>
                    <w:pStyle w:val="6"/>
                    <w:suppressLineNumbers w:val="0"/>
                    <w:bidi w:val="0"/>
                    <w:spacing w:before="0" w:beforeAutospacing="0" w:after="0" w:afterAutospacing="0"/>
                    <w:ind w:left="0" w:right="0"/>
                    <w:rPr>
                      <w:rFonts w:hint="default"/>
                    </w:rPr>
                  </w:pPr>
                  <w:r>
                    <w:rPr>
                      <w:rFonts w:hint="default"/>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suppressLineNumbers w:val="0"/>
                    <w:bidi w:val="0"/>
                    <w:spacing w:before="0" w:beforeAutospacing="0" w:after="0" w:afterAutospacing="0"/>
                    <w:ind w:left="0" w:right="0"/>
                    <w:rPr>
                      <w:rFonts w:hint="default"/>
                    </w:rPr>
                  </w:pPr>
                  <w:r>
                    <w:rPr>
                      <w:rFonts w:hint="default"/>
                    </w:rPr>
                    <w:t>4</w:t>
                  </w:r>
                </w:p>
              </w:tc>
              <w:tc>
                <w:tcPr>
                  <w:tcW w:w="3395" w:type="dxa"/>
                  <w:noWrap w:val="0"/>
                  <w:vAlign w:val="center"/>
                </w:tcPr>
                <w:p>
                  <w:pPr>
                    <w:pStyle w:val="6"/>
                    <w:suppressLineNumbers w:val="0"/>
                    <w:bidi w:val="0"/>
                    <w:spacing w:before="0" w:beforeAutospacing="0" w:after="0" w:afterAutospacing="0"/>
                    <w:ind w:left="0" w:right="0"/>
                    <w:rPr>
                      <w:rFonts w:hint="default"/>
                    </w:rPr>
                  </w:pPr>
                  <w:r>
                    <w:rPr>
                      <w:rFonts w:hint="default"/>
                      <w:lang w:val="en-US" w:eastAsia="zh-CN"/>
                    </w:rPr>
                    <w:t>轮胎碾</w:t>
                  </w:r>
                </w:p>
              </w:tc>
              <w:tc>
                <w:tcPr>
                  <w:tcW w:w="3852" w:type="dxa"/>
                  <w:noWrap w:val="0"/>
                  <w:vAlign w:val="center"/>
                </w:tcPr>
                <w:p>
                  <w:pPr>
                    <w:pStyle w:val="6"/>
                    <w:suppressLineNumbers w:val="0"/>
                    <w:bidi w:val="0"/>
                    <w:spacing w:before="0" w:beforeAutospacing="0" w:after="0" w:afterAutospacing="0"/>
                    <w:ind w:left="0" w:right="0"/>
                    <w:rPr>
                      <w:rFonts w:hint="default"/>
                    </w:rPr>
                  </w:pPr>
                  <w:r>
                    <w:rPr>
                      <w:rFonts w:hint="default"/>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00" w:type="dxa"/>
                  <w:noWrap w:val="0"/>
                  <w:vAlign w:val="center"/>
                </w:tcPr>
                <w:p>
                  <w:pPr>
                    <w:pStyle w:val="6"/>
                    <w:suppressLineNumbers w:val="0"/>
                    <w:bidi w:val="0"/>
                    <w:spacing w:before="0" w:beforeAutospacing="0" w:after="0" w:afterAutospacing="0"/>
                    <w:ind w:left="0" w:right="0"/>
                    <w:rPr>
                      <w:rFonts w:hint="default"/>
                    </w:rPr>
                  </w:pPr>
                  <w:r>
                    <w:rPr>
                      <w:rFonts w:hint="default"/>
                    </w:rPr>
                    <w:t>5</w:t>
                  </w:r>
                </w:p>
              </w:tc>
              <w:tc>
                <w:tcPr>
                  <w:tcW w:w="3395" w:type="dxa"/>
                  <w:noWrap w:val="0"/>
                  <w:vAlign w:val="center"/>
                </w:tcPr>
                <w:p>
                  <w:pPr>
                    <w:pStyle w:val="6"/>
                    <w:suppressLineNumbers w:val="0"/>
                    <w:bidi w:val="0"/>
                    <w:spacing w:before="0" w:beforeAutospacing="0" w:after="0" w:afterAutospacing="0"/>
                    <w:ind w:left="0" w:right="0"/>
                    <w:rPr>
                      <w:rFonts w:hint="default"/>
                    </w:rPr>
                  </w:pPr>
                  <w:r>
                    <w:rPr>
                      <w:rFonts w:hint="default"/>
                    </w:rPr>
                    <w:t>发电机</w:t>
                  </w:r>
                </w:p>
              </w:tc>
              <w:tc>
                <w:tcPr>
                  <w:tcW w:w="3852" w:type="dxa"/>
                  <w:noWrap w:val="0"/>
                  <w:vAlign w:val="center"/>
                </w:tcPr>
                <w:p>
                  <w:pPr>
                    <w:pStyle w:val="6"/>
                    <w:suppressLineNumbers w:val="0"/>
                    <w:bidi w:val="0"/>
                    <w:spacing w:before="0" w:beforeAutospacing="0" w:after="0" w:afterAutospacing="0"/>
                    <w:ind w:left="0" w:right="0"/>
                    <w:rPr>
                      <w:rFonts w:hint="default"/>
                    </w:rPr>
                  </w:pPr>
                  <w:r>
                    <w:rPr>
                      <w:rFonts w:hint="default"/>
                    </w:rPr>
                    <w:t>105</w:t>
                  </w:r>
                </w:p>
              </w:tc>
            </w:tr>
          </w:tbl>
          <w:p>
            <w:pPr>
              <w:keepNext w:val="0"/>
              <w:keepLines w:val="0"/>
              <w:suppressLineNumbers w:val="0"/>
              <w:bidi w:val="0"/>
              <w:spacing w:before="0" w:beforeAutospacing="0" w:after="0" w:afterAutospacing="0"/>
              <w:ind w:left="0" w:right="0"/>
              <w:rPr>
                <w:rFonts w:hint="default"/>
              </w:rPr>
            </w:pPr>
            <w:r>
              <w:rPr>
                <w:rFonts w:hint="default"/>
              </w:rPr>
              <w:t>施工噪声具有阶段性、临时性和不确定性，施工期间多种机械噪声声源都处于露天状态。当声源尺寸大小与测试距离相比小得多时，可以将此声源视为点声源，声源噪声衰减的计算公式如下：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object>
                <v:shape id="_x0000_i1026" o:spt="75" type="#_x0000_t75" style="height:21.75pt;width:168.75pt;" o:ole="t" filled="f" o:preferrelative="t" stroked="f" coordsize="21600,21600">
                  <v:path/>
                  <v:fill on="f" focussize="0,0"/>
                  <v:stroke on="f"/>
                  <v:imagedata r:id="rId13" embosscolor="#FFFFFF" o:title=""/>
                  <o:lock v:ext="edit" grouping="f" rotation="f" text="f" aspectratio="t"/>
                  <w10:wrap type="none"/>
                  <w10:anchorlock/>
                </v:shape>
                <o:OLEObject Type="Embed" ProgID="Equation.3" ShapeID="_x0000_i1026" DrawAspect="Content" ObjectID="_1468075726" r:id="rId12">
                  <o:LockedField>false</o:LockedField>
                </o:OLEObject>
              </w:object>
            </w:r>
          </w:p>
          <w:p>
            <w:pPr>
              <w:keepNext w:val="0"/>
              <w:keepLines w:val="0"/>
              <w:suppressLineNumbers w:val="0"/>
              <w:bidi w:val="0"/>
              <w:spacing w:before="0" w:beforeAutospacing="0" w:after="0" w:afterAutospacing="0"/>
              <w:ind w:left="0" w:right="0"/>
              <w:rPr>
                <w:rFonts w:hint="default"/>
              </w:rPr>
            </w:pPr>
            <w:r>
              <w:rPr>
                <w:rFonts w:hint="default"/>
              </w:rPr>
              <w:t>式中：</w:t>
            </w:r>
            <w:r>
              <w:rPr>
                <w:rFonts w:hint="default"/>
                <w:lang w:val="en-US" w:eastAsia="zh-CN"/>
              </w:rPr>
              <w:t>L</w:t>
            </w:r>
            <w:r>
              <w:rPr>
                <w:rFonts w:hint="default"/>
                <w:vertAlign w:val="subscript"/>
                <w:lang w:val="en-US" w:eastAsia="zh-CN"/>
              </w:rPr>
              <w:t>A</w:t>
            </w:r>
            <w:r>
              <w:rPr>
                <w:rFonts w:hint="default"/>
              </w:rPr>
              <w:t>—距离增加产生衰减值，dB（A）；</w:t>
            </w:r>
          </w:p>
          <w:p>
            <w:pPr>
              <w:keepNext w:val="0"/>
              <w:keepLines w:val="0"/>
              <w:suppressLineNumbers w:val="0"/>
              <w:bidi w:val="0"/>
              <w:spacing w:before="0" w:beforeAutospacing="0" w:after="0" w:afterAutospacing="0"/>
              <w:ind w:left="0" w:right="0" w:firstLine="1200" w:firstLineChars="500"/>
              <w:rPr>
                <w:rFonts w:hint="default"/>
              </w:rPr>
            </w:pPr>
            <w:r>
              <w:rPr>
                <w:rFonts w:hint="default"/>
              </w:rPr>
              <w:t>r—点声源至受声点的距离，m。</w:t>
            </w:r>
          </w:p>
          <w:p>
            <w:pPr>
              <w:keepNext w:val="0"/>
              <w:keepLines w:val="0"/>
              <w:suppressLineNumbers w:val="0"/>
              <w:bidi w:val="0"/>
              <w:spacing w:before="0" w:beforeAutospacing="0" w:after="0" w:afterAutospacing="0"/>
              <w:ind w:left="0" w:right="0"/>
              <w:rPr>
                <w:rFonts w:hint="default"/>
              </w:rPr>
            </w:pPr>
            <w:r>
              <w:rPr>
                <w:rFonts w:hint="default"/>
              </w:rPr>
              <w:t>各种施工设备在施工时随距离的衰减列于下表：</w:t>
            </w:r>
          </w:p>
          <w:p>
            <w:pPr>
              <w:pStyle w:val="5"/>
              <w:suppressLineNumbers w:val="0"/>
              <w:bidi w:val="0"/>
              <w:spacing w:before="0" w:after="0"/>
              <w:ind w:left="0" w:right="0"/>
              <w:rPr>
                <w:rFonts w:hint="default"/>
              </w:rPr>
            </w:pPr>
            <w:r>
              <w:rPr>
                <w:rFonts w:hint="default"/>
              </w:rPr>
              <w:t>表</w:t>
            </w:r>
            <w:r>
              <w:rPr>
                <w:rFonts w:hint="default"/>
                <w:lang w:val="en-US" w:eastAsia="zh-CN"/>
              </w:rPr>
              <w:t>4-5</w:t>
            </w:r>
            <w:r>
              <w:rPr>
                <w:rFonts w:hint="default"/>
              </w:rPr>
              <w:t xml:space="preserve">  施工机械噪声影响范围</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843"/>
              <w:gridCol w:w="843"/>
              <w:gridCol w:w="843"/>
              <w:gridCol w:w="843"/>
              <w:gridCol w:w="844"/>
              <w:gridCol w:w="843"/>
              <w:gridCol w:w="88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3" w:hRule="exact"/>
                <w:jc w:val="center"/>
              </w:trPr>
              <w:tc>
                <w:tcPr>
                  <w:tcW w:w="129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施工机械</w:t>
                  </w:r>
                </w:p>
              </w:tc>
              <w:tc>
                <w:tcPr>
                  <w:tcW w:w="5059" w:type="dxa"/>
                  <w:gridSpan w:val="6"/>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X（m）处</w:t>
                  </w:r>
                  <w:r>
                    <w:rPr>
                      <w:rFonts w:hint="default" w:ascii="Times New Roman" w:hAnsi="Times New Roman" w:eastAsia="宋体" w:cs="Times New Roman"/>
                      <w:color w:val="auto"/>
                      <w:sz w:val="21"/>
                      <w:szCs w:val="21"/>
                      <w:highlight w:val="none"/>
                      <w:lang w:eastAsia="zh-CN"/>
                    </w:rPr>
                    <w:t>声压级</w:t>
                  </w:r>
                  <w:r>
                    <w:rPr>
                      <w:rFonts w:hint="default" w:ascii="Times New Roman" w:hAnsi="Times New Roman" w:eastAsia="宋体" w:cs="Times New Roman"/>
                      <w:color w:val="auto"/>
                      <w:sz w:val="21"/>
                      <w:szCs w:val="21"/>
                      <w:highlight w:val="none"/>
                    </w:rPr>
                    <w:t>dB（A）</w:t>
                  </w:r>
                </w:p>
              </w:tc>
              <w:tc>
                <w:tcPr>
                  <w:tcW w:w="1792"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129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8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9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29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挖掘机</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58.5</w:t>
                  </w:r>
                </w:p>
              </w:tc>
              <w:tc>
                <w:tcPr>
                  <w:tcW w:w="8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52.4</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w:t>
                  </w:r>
                </w:p>
              </w:tc>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atLeast"/>
                <w:jc w:val="center"/>
              </w:trPr>
              <w:tc>
                <w:tcPr>
                  <w:tcW w:w="129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装载机</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66.0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62.5</w:t>
                  </w:r>
                </w:p>
              </w:tc>
              <w:tc>
                <w:tcPr>
                  <w:tcW w:w="8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56.4</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atLeast"/>
                <w:jc w:val="center"/>
              </w:trPr>
              <w:tc>
                <w:tcPr>
                  <w:tcW w:w="129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推土机</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58.5</w:t>
                  </w:r>
                </w:p>
              </w:tc>
              <w:tc>
                <w:tcPr>
                  <w:tcW w:w="8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52.4</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w:t>
                  </w:r>
                </w:p>
              </w:tc>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atLeast"/>
                <w:jc w:val="center"/>
              </w:trPr>
              <w:tc>
                <w:tcPr>
                  <w:tcW w:w="129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b w:val="0"/>
                      <w:bCs w:val="0"/>
                      <w:color w:val="auto"/>
                      <w:sz w:val="21"/>
                      <w:szCs w:val="21"/>
                      <w:vertAlign w:val="baseline"/>
                      <w:lang w:val="en-US" w:eastAsia="zh-CN"/>
                    </w:rPr>
                    <w:t>轮胎碾</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66.0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62.5</w:t>
                  </w:r>
                </w:p>
              </w:tc>
              <w:tc>
                <w:tcPr>
                  <w:tcW w:w="8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56.4</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atLeast"/>
                <w:jc w:val="center"/>
              </w:trPr>
              <w:tc>
                <w:tcPr>
                  <w:tcW w:w="129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发电机</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68.0</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64.5</w:t>
                  </w:r>
                </w:p>
              </w:tc>
              <w:tc>
                <w:tcPr>
                  <w:tcW w:w="84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58.4</w:t>
                  </w:r>
                </w:p>
              </w:tc>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54.0</w:t>
                  </w:r>
                </w:p>
              </w:tc>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9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bl>
          <w:p>
            <w:pPr>
              <w:keepNext w:val="0"/>
              <w:keepLines w:val="0"/>
              <w:suppressLineNumbers w:val="0"/>
              <w:bidi w:val="0"/>
              <w:spacing w:before="0" w:beforeAutospacing="0" w:after="0" w:afterAutospacing="0"/>
              <w:ind w:left="0" w:right="0"/>
              <w:rPr>
                <w:rFonts w:hint="default"/>
              </w:rPr>
            </w:pPr>
            <w:r>
              <w:rPr>
                <w:rFonts w:hint="default"/>
              </w:rPr>
              <w:t>在施工期间，根据</w:t>
            </w:r>
            <w:r>
              <w:rPr>
                <w:rFonts w:hint="default"/>
                <w:lang w:val="en-US" w:eastAsia="zh-CN"/>
              </w:rPr>
              <w:t>《建筑施工噪声排放标准》（GB12523-2025）</w:t>
            </w:r>
            <w:r>
              <w:rPr>
                <w:rFonts w:hint="default"/>
              </w:rPr>
              <w:t>规定，昼间限值为70dB（A）夜间限值为55dB（A）。根据现场调查，</w:t>
            </w:r>
            <w:r>
              <w:rPr>
                <w:rFonts w:hint="default"/>
                <w:lang w:val="en-US" w:eastAsia="zh-CN"/>
              </w:rPr>
              <w:t>项目周边50m范围内</w:t>
            </w:r>
            <w:r>
              <w:rPr>
                <w:rFonts w:hint="eastAsia"/>
                <w:lang w:val="en-US" w:eastAsia="zh-CN"/>
              </w:rPr>
              <w:t>有村庄</w:t>
            </w:r>
            <w:r>
              <w:rPr>
                <w:rFonts w:hint="default"/>
                <w:lang w:val="en-US" w:eastAsia="zh-CN"/>
              </w:rPr>
              <w:t>，</w:t>
            </w:r>
            <w:r>
              <w:rPr>
                <w:rFonts w:hint="default"/>
                <w:lang w:eastAsia="zh-CN"/>
              </w:rPr>
              <w:t>建设单位在施工期间</w:t>
            </w:r>
            <w:r>
              <w:rPr>
                <w:rFonts w:hint="default"/>
                <w:lang w:val="en-US" w:eastAsia="zh-CN"/>
              </w:rPr>
              <w:t>应</w:t>
            </w:r>
            <w:r>
              <w:rPr>
                <w:rFonts w:hint="default"/>
                <w:lang w:eastAsia="zh-CN"/>
              </w:rPr>
              <w:t>合理安排好施工时间、</w:t>
            </w:r>
            <w:r>
              <w:rPr>
                <w:rFonts w:hint="eastAsia"/>
                <w:lang w:eastAsia="zh-CN"/>
              </w:rPr>
              <w:t>设备选型</w:t>
            </w:r>
            <w:r>
              <w:rPr>
                <w:rFonts w:hint="default"/>
                <w:lang w:eastAsia="zh-CN"/>
              </w:rPr>
              <w:t>尽量采用低噪声设备、做好施工场所设备维护管理，规范操作，合理进行施工场地平面布置，减少噪声对</w:t>
            </w:r>
            <w:r>
              <w:rPr>
                <w:rFonts w:hint="default"/>
                <w:lang w:val="en-US" w:eastAsia="zh-CN"/>
              </w:rPr>
              <w:t>环境</w:t>
            </w:r>
            <w:r>
              <w:rPr>
                <w:rFonts w:hint="default"/>
                <w:lang w:eastAsia="zh-CN"/>
              </w:rPr>
              <w:t>的影响。</w:t>
            </w:r>
          </w:p>
          <w:p>
            <w:pPr>
              <w:pStyle w:val="3"/>
              <w:keepLines w:val="0"/>
              <w:suppressLineNumbers w:val="0"/>
              <w:bidi w:val="0"/>
              <w:spacing w:before="0" w:beforeAutospacing="0" w:after="0" w:afterAutospacing="0"/>
              <w:ind w:right="0"/>
              <w:rPr>
                <w:rFonts w:hint="default"/>
              </w:rPr>
            </w:pPr>
            <w:r>
              <w:rPr>
                <w:rFonts w:hint="default"/>
              </w:rPr>
              <w:t>5</w:t>
            </w:r>
            <w:r>
              <w:rPr>
                <w:rFonts w:hint="eastAsia"/>
                <w:lang w:val="en-US" w:eastAsia="zh-CN"/>
              </w:rPr>
              <w:t xml:space="preserve"> </w:t>
            </w:r>
            <w:r>
              <w:rPr>
                <w:rFonts w:hint="default"/>
              </w:rPr>
              <w:t>固体废物环境影响分析</w:t>
            </w:r>
          </w:p>
          <w:p>
            <w:pPr>
              <w:keepNext w:val="0"/>
              <w:keepLines w:val="0"/>
              <w:suppressLineNumbers w:val="0"/>
              <w:bidi w:val="0"/>
              <w:spacing w:before="0" w:beforeAutospacing="0" w:after="0" w:afterAutospacing="0"/>
              <w:ind w:left="0" w:right="0"/>
              <w:rPr>
                <w:rFonts w:hint="default"/>
              </w:rPr>
            </w:pPr>
            <w:r>
              <w:rPr>
                <w:rFonts w:hint="default"/>
              </w:rPr>
              <w:t>施工期产生的固体废弃物主要为工程施工产生的弃土等。</w:t>
            </w:r>
          </w:p>
          <w:p>
            <w:pPr>
              <w:keepNext w:val="0"/>
              <w:keepLines w:val="0"/>
              <w:suppressLineNumbers w:val="0"/>
              <w:bidi w:val="0"/>
              <w:spacing w:before="0" w:beforeAutospacing="0" w:after="0" w:afterAutospacing="0"/>
              <w:ind w:left="0" w:right="0"/>
              <w:rPr>
                <w:rFonts w:hint="default"/>
              </w:rPr>
            </w:pPr>
            <w:r>
              <w:rPr>
                <w:rFonts w:hint="default"/>
              </w:rPr>
              <w:t>（1）弃土</w:t>
            </w:r>
          </w:p>
          <w:p>
            <w:pPr>
              <w:keepNext w:val="0"/>
              <w:keepLines w:val="0"/>
              <w:suppressLineNumbers w:val="0"/>
              <w:bidi w:val="0"/>
              <w:spacing w:before="0" w:beforeAutospacing="0" w:after="0" w:afterAutospacing="0"/>
              <w:ind w:left="0" w:right="0"/>
              <w:rPr>
                <w:rFonts w:hint="default"/>
              </w:rPr>
            </w:pPr>
            <w:r>
              <w:rPr>
                <w:rFonts w:hint="default"/>
              </w:rPr>
              <w:t>本项目在</w:t>
            </w:r>
            <w:r>
              <w:rPr>
                <w:rFonts w:hint="default"/>
                <w:lang w:val="en-US" w:eastAsia="zh-CN"/>
              </w:rPr>
              <w:t>清基、</w:t>
            </w:r>
            <w:r>
              <w:rPr>
                <w:rFonts w:hint="default"/>
              </w:rPr>
              <w:t>开挖过程会产生开挖土石方，开挖土石方主要</w:t>
            </w:r>
            <w:r>
              <w:rPr>
                <w:rFonts w:hint="default"/>
                <w:lang w:val="en-US" w:eastAsia="zh-CN"/>
              </w:rPr>
              <w:t>1~2类土</w:t>
            </w:r>
            <w:r>
              <w:rPr>
                <w:rFonts w:hint="default"/>
              </w:rPr>
              <w:t>。</w:t>
            </w:r>
            <w:r>
              <w:rPr>
                <w:rFonts w:hint="default"/>
                <w:lang w:val="en-US" w:eastAsia="zh-CN"/>
              </w:rPr>
              <w:t>挖出的土方直接用于填筑渠堤</w:t>
            </w:r>
            <w:r>
              <w:rPr>
                <w:rFonts w:hint="eastAsia"/>
                <w:lang w:val="en-US" w:eastAsia="zh-CN"/>
              </w:rPr>
              <w:t>、沿渠道摊平压实</w:t>
            </w:r>
            <w:r>
              <w:rPr>
                <w:rFonts w:hint="default"/>
                <w:lang w:eastAsia="zh-CN"/>
              </w:rPr>
              <w:t>，</w:t>
            </w:r>
            <w:r>
              <w:rPr>
                <w:rFonts w:hint="default"/>
              </w:rPr>
              <w:t>对周边环境影响较小。</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（2）建筑垃圾</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工程完工后将施工中使用的临时沉淀池拆除，对所有施工作业面和施工活动区的废弃物彻底清理，其中废钢筋、废铁皮、废包装等收集外售可实现资源化利用，</w:t>
            </w:r>
            <w:r>
              <w:rPr>
                <w:rFonts w:hint="default"/>
                <w:highlight w:val="none"/>
                <w:lang w:val="en-US" w:eastAsia="zh-CN"/>
              </w:rPr>
              <w:t>拆除</w:t>
            </w:r>
            <w:r>
              <w:rPr>
                <w:rFonts w:hint="eastAsia"/>
                <w:highlight w:val="none"/>
                <w:lang w:val="en-US" w:eastAsia="zh-CN"/>
              </w:rPr>
              <w:t>的现有堤防</w:t>
            </w:r>
            <w:r>
              <w:rPr>
                <w:rFonts w:hint="default"/>
                <w:highlight w:val="none"/>
                <w:lang w:val="en-US" w:eastAsia="zh-CN"/>
              </w:rPr>
              <w:t>废混凝土、沉淀池底泥、混凝土废渣等建筑垃圾清运至</w:t>
            </w:r>
            <w:r>
              <w:rPr>
                <w:rFonts w:hint="default"/>
                <w:lang w:val="en-US" w:eastAsia="zh-CN"/>
              </w:rPr>
              <w:t>当地市政环卫主管部门指定地点填埋处置。</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（3）生活垃圾</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本项目施工人员均来自附近乡镇，不设置临时生活区，产生的生活垃圾由乡镇环卫部门统一收集。</w:t>
            </w:r>
          </w:p>
          <w:p>
            <w:pPr>
              <w:keepNext w:val="0"/>
              <w:keepLines w:val="0"/>
              <w:suppressLineNumbers w:val="0"/>
              <w:bidi w:val="0"/>
              <w:spacing w:before="0" w:beforeAutospacing="0" w:after="0" w:afterAutospacing="0"/>
              <w:ind w:left="0" w:right="0"/>
              <w:rPr>
                <w:rFonts w:hint="default" w:ascii="宋体" w:hAnsi="宋体" w:cs="宋体"/>
                <w:bCs/>
                <w:color w:val="auto"/>
                <w:szCs w:val="21"/>
              </w:rPr>
            </w:pPr>
            <w:r>
              <w:rPr>
                <w:rFonts w:hint="default"/>
                <w:lang w:val="en-US" w:eastAsia="zh-CN"/>
              </w:rPr>
              <w:t>采取以上措施后，施工期</w:t>
            </w:r>
            <w:r>
              <w:rPr>
                <w:rFonts w:hint="eastAsia"/>
                <w:lang w:val="en-US" w:eastAsia="zh-CN"/>
              </w:rPr>
              <w:t>固体废物</w:t>
            </w:r>
            <w:r>
              <w:rPr>
                <w:rFonts w:hint="default"/>
                <w:lang w:val="en-US" w:eastAsia="zh-CN"/>
              </w:rPr>
              <w:t>对环境影响很小。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79" w:type="dxa"/>
            <w:noWrap w:val="0"/>
            <w:tcMar>
              <w:left w:w="28" w:type="dxa"/>
              <w:right w:w="28" w:type="dxa"/>
            </w:tcMar>
            <w:vAlign w:val="center"/>
          </w:tcPr>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宋体"/>
                <w:bCs/>
                <w:color w:val="auto"/>
                <w:kern w:val="2"/>
                <w:sz w:val="21"/>
                <w:szCs w:val="21"/>
              </w:rPr>
            </w:pPr>
            <w:r>
              <w:rPr>
                <w:rFonts w:hint="eastAsia" w:cs="宋体"/>
                <w:bCs/>
                <w:color w:val="auto"/>
                <w:spacing w:val="10"/>
                <w:kern w:val="2"/>
                <w:sz w:val="21"/>
                <w:szCs w:val="21"/>
              </w:rPr>
              <w:t>运营期生态环境影响分析</w:t>
            </w:r>
          </w:p>
        </w:tc>
        <w:tc>
          <w:tcPr>
            <w:tcW w:w="8363" w:type="dxa"/>
            <w:noWrap w:val="0"/>
            <w:vAlign w:val="top"/>
          </w:tcPr>
          <w:p>
            <w:pPr>
              <w:keepNext w:val="0"/>
              <w:keepLines w:val="0"/>
              <w:suppressLineNumbers w:val="0"/>
              <w:bidi w:val="0"/>
              <w:spacing w:before="0" w:beforeAutospacing="0" w:after="0" w:afterAutospacing="0"/>
              <w:ind w:left="0" w:right="0"/>
              <w:rPr>
                <w:rFonts w:hint="default"/>
              </w:rPr>
            </w:pPr>
            <w:r>
              <w:rPr>
                <w:rFonts w:hint="default"/>
              </w:rPr>
              <w:t>本工程为灌区渠道工程及配套渠系</w:t>
            </w:r>
            <w:r>
              <w:rPr>
                <w:rFonts w:hint="eastAsia"/>
                <w:lang w:eastAsia="zh-CN"/>
              </w:rPr>
              <w:t>构筑物</w:t>
            </w:r>
            <w:r>
              <w:rPr>
                <w:rFonts w:hint="default"/>
              </w:rPr>
              <w:t>工程，运营期无废气、废水、固废等环境影响。</w:t>
            </w:r>
          </w:p>
          <w:p>
            <w:pPr>
              <w:keepNext w:val="0"/>
              <w:keepLines w:val="0"/>
              <w:suppressLineNumbers w:val="0"/>
              <w:bidi w:val="0"/>
              <w:spacing w:before="0" w:beforeAutospacing="0" w:after="0" w:afterAutospacing="0"/>
              <w:ind w:left="0" w:right="0"/>
              <w:rPr>
                <w:rFonts w:hint="default"/>
                <w:lang w:eastAsia="zh-CN"/>
              </w:rPr>
            </w:pPr>
            <w:r>
              <w:rPr>
                <w:rFonts w:hint="default"/>
                <w:lang w:eastAsia="zh-CN"/>
              </w:rPr>
              <w:t>本项目属于生态类项目，项目本身不会对环境产生不利影响。</w:t>
            </w:r>
            <w:r>
              <w:rPr>
                <w:rFonts w:hint="default"/>
              </w:rPr>
              <w:t>渠道防渗改建完成后，提高了灌区灌溉水利用率，减少项目区水资源无效损耗，对农业结构调整起到积极作用，灌区可基本利用地表水进行耕地灌溉，对区域生态植被恢复也将起到积极改善作用。通过节水改造的实施，可以调整项目区内种植业结构，改善项目区及周边地区的生态环境</w:t>
            </w:r>
            <w:r>
              <w:rPr>
                <w:rFonts w:hint="default"/>
                <w:lang w:eastAsia="zh-CN"/>
              </w:rPr>
              <w:t>，对生态环境、社会环境具有十分积极的正效益。</w:t>
            </w:r>
          </w:p>
          <w:p>
            <w:pPr>
              <w:keepNext w:val="0"/>
              <w:keepLines w:val="0"/>
              <w:suppressLineNumbers w:val="0"/>
              <w:bidi w:val="0"/>
              <w:spacing w:before="0" w:beforeAutospacing="0" w:after="0" w:afterAutospacing="0"/>
              <w:ind w:left="0" w:right="0"/>
              <w:rPr>
                <w:rFonts w:hint="default" w:ascii="宋体" w:hAnsi="宋体" w:cs="宋体"/>
                <w:bCs/>
                <w:color w:val="auto"/>
                <w:szCs w:val="21"/>
              </w:rPr>
            </w:pPr>
            <w:r>
              <w:rPr>
                <w:rFonts w:hint="default"/>
                <w:lang w:eastAsia="zh-CN"/>
              </w:rPr>
              <w:t>本项目</w:t>
            </w:r>
            <w:r>
              <w:rPr>
                <w:rFonts w:hint="eastAsia"/>
                <w:lang w:eastAsia="zh-CN"/>
              </w:rPr>
              <w:t>运营</w:t>
            </w:r>
            <w:r>
              <w:rPr>
                <w:rFonts w:hint="default"/>
                <w:lang w:eastAsia="zh-CN"/>
              </w:rPr>
              <w:t>管理人员为</w:t>
            </w:r>
            <w:r>
              <w:rPr>
                <w:rFonts w:hint="default"/>
                <w:lang w:val="en-US" w:eastAsia="zh-CN"/>
              </w:rPr>
              <w:t>若羌县铁干里克镇人民政府</w:t>
            </w:r>
            <w:r>
              <w:rPr>
                <w:rFonts w:hint="eastAsia"/>
                <w:lang w:val="en-US" w:eastAsia="zh-CN"/>
              </w:rPr>
              <w:t>工作人员</w:t>
            </w:r>
            <w:r>
              <w:rPr>
                <w:rFonts w:hint="default"/>
                <w:lang w:eastAsia="zh-CN"/>
              </w:rPr>
              <w:t>，不在项目区另设办公区域，日常工作为定期</w:t>
            </w:r>
            <w:r>
              <w:rPr>
                <w:rFonts w:hint="default"/>
                <w:lang w:val="en-US" w:eastAsia="zh-CN"/>
              </w:rPr>
              <w:t>巡检</w:t>
            </w:r>
            <w:r>
              <w:rPr>
                <w:rFonts w:hint="default"/>
                <w:lang w:eastAsia="zh-CN"/>
              </w:rPr>
              <w:t>，</w:t>
            </w:r>
            <w:r>
              <w:rPr>
                <w:rFonts w:hint="default"/>
                <w:lang w:val="en-US" w:eastAsia="zh-CN"/>
              </w:rPr>
              <w:t>做好项目运营管理。因此，</w:t>
            </w:r>
            <w:r>
              <w:rPr>
                <w:rFonts w:hint="default"/>
                <w:lang w:eastAsia="zh-CN"/>
              </w:rPr>
              <w:t>运营期对生态环境的影响较小。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宋体"/>
                <w:bCs/>
                <w:color w:val="auto"/>
                <w:kern w:val="2"/>
                <w:sz w:val="21"/>
                <w:szCs w:val="21"/>
                <w:highlight w:val="none"/>
              </w:rPr>
            </w:pPr>
            <w:r>
              <w:rPr>
                <w:rFonts w:hint="eastAsia" w:cs="宋体"/>
                <w:bCs/>
                <w:color w:val="auto"/>
                <w:kern w:val="2"/>
                <w:sz w:val="21"/>
                <w:szCs w:val="21"/>
                <w:highlight w:val="none"/>
              </w:rPr>
              <w:t>选址选线环境合理性分析</w:t>
            </w:r>
          </w:p>
        </w:tc>
        <w:tc>
          <w:tcPr>
            <w:tcW w:w="8363" w:type="dxa"/>
            <w:noWrap w:val="0"/>
            <w:vAlign w:val="top"/>
          </w:tcPr>
          <w:p>
            <w:pPr>
              <w:keepNext w:val="0"/>
              <w:keepLines w:val="0"/>
              <w:suppressLineNumbers w:val="0"/>
              <w:bidi w:val="0"/>
              <w:spacing w:before="0" w:beforeAutospacing="0" w:after="0" w:afterAutospacing="0"/>
              <w:ind w:left="0" w:right="0"/>
              <w:rPr>
                <w:rFonts w:hint="default"/>
                <w:highlight w:val="none"/>
                <w:lang w:eastAsia="zh-CN"/>
              </w:rPr>
            </w:pPr>
            <w:r>
              <w:rPr>
                <w:rFonts w:hint="default"/>
                <w:highlight w:val="none"/>
                <w:lang w:eastAsia="zh-CN"/>
              </w:rPr>
              <w:t>本项目属于防渗渠节水改造项目，是线性项目，项目选址灌区渠线沿用预留渠线进行配套建设，不另选渠线比选。</w:t>
            </w:r>
            <w:r>
              <w:rPr>
                <w:rFonts w:hint="default"/>
                <w:highlight w:val="none"/>
                <w:lang w:val="en-US" w:eastAsia="zh-CN"/>
              </w:rPr>
              <w:t>本项目为改造渠道为老渠道，渠道两侧为耕地，渠线中心线按照现状渠道中心线布置，渠道边缘紧邻耕地，同时考虑与现状土路平行，采用较小的弯道半径沿耕地布置，渠线弯道较多，局部堤线裁弯取直，使工程占地较少的渠线布置方案。</w:t>
            </w:r>
            <w:r>
              <w:rPr>
                <w:rFonts w:hint="default"/>
                <w:highlight w:val="none"/>
                <w:lang w:eastAsia="zh-CN"/>
              </w:rPr>
              <w:t>本工程建成运行后，改善了渠道的输水条件，不仅提高了灌区现有灌溉保证率和水资源利用率，而且还可以利用节余的水量改善生态环境，实现规划水平年目标，同时提高了渠系水利用系数，有利于提高灌区灌溉水利用系数，减少渠道渗漏量，降低土壤盐渍化，使水资源得到充分利用，对促进灌区农业生产发展起到积极作用。</w:t>
            </w:r>
          </w:p>
          <w:p>
            <w:pPr>
              <w:keepNext w:val="0"/>
              <w:keepLines w:val="0"/>
              <w:suppressLineNumbers w:val="0"/>
              <w:bidi w:val="0"/>
              <w:spacing w:before="0" w:beforeAutospacing="0" w:after="0" w:afterAutospacing="0"/>
              <w:ind w:left="0" w:right="0"/>
              <w:rPr>
                <w:rFonts w:hint="default"/>
                <w:highlight w:val="none"/>
                <w:lang w:eastAsia="zh-CN"/>
              </w:rPr>
            </w:pPr>
            <w:r>
              <w:rPr>
                <w:rFonts w:hint="default"/>
                <w:highlight w:val="none"/>
                <w:lang w:eastAsia="zh-CN"/>
              </w:rPr>
              <w:t>本项目属于防渗渠节水改造项目，且临时占地时间较短。临时占地及永久占地均在</w:t>
            </w:r>
            <w:r>
              <w:rPr>
                <w:rFonts w:hint="eastAsia"/>
                <w:highlight w:val="none"/>
                <w:lang w:val="en-US" w:eastAsia="zh-CN"/>
              </w:rPr>
              <w:t>现有渠道</w:t>
            </w:r>
            <w:r>
              <w:rPr>
                <w:rFonts w:hint="default"/>
                <w:highlight w:val="none"/>
                <w:lang w:eastAsia="zh-CN"/>
              </w:rPr>
              <w:t>管理范围</w:t>
            </w:r>
            <w:r>
              <w:rPr>
                <w:rFonts w:hint="eastAsia"/>
                <w:highlight w:val="none"/>
                <w:lang w:val="en-US" w:eastAsia="zh-CN"/>
              </w:rPr>
              <w:t>内</w:t>
            </w:r>
            <w:r>
              <w:rPr>
                <w:rFonts w:hint="default"/>
                <w:highlight w:val="none"/>
                <w:lang w:eastAsia="zh-CN"/>
              </w:rPr>
              <w:t>，不涉及占地补偿，仅需施工结束后，对施工暂设扰动区域进行修复，恢复原地貌，对环境影响较小</w:t>
            </w:r>
            <w:r>
              <w:rPr>
                <w:rFonts w:hint="eastAsia"/>
                <w:highlight w:val="none"/>
                <w:lang w:eastAsia="zh-CN"/>
              </w:rPr>
              <w:t>，</w:t>
            </w:r>
            <w:r>
              <w:rPr>
                <w:rFonts w:hint="eastAsia"/>
                <w:highlight w:val="none"/>
                <w:lang w:val="en-US" w:eastAsia="zh-CN"/>
              </w:rPr>
              <w:t>坚持“谁建设、谁保护，谁造成水土流失，谁负责治理”的原则</w:t>
            </w:r>
            <w:r>
              <w:rPr>
                <w:rFonts w:hint="default"/>
                <w:highlight w:val="none"/>
                <w:lang w:eastAsia="zh-CN"/>
              </w:rPr>
              <w:t>，选址较为合理。</w:t>
            </w:r>
          </w:p>
          <w:p>
            <w:pPr>
              <w:keepNext w:val="0"/>
              <w:keepLines w:val="0"/>
              <w:suppressLineNumbers w:val="0"/>
              <w:bidi w:val="0"/>
              <w:spacing w:before="0" w:beforeAutospacing="0" w:after="0" w:afterAutospacing="0"/>
              <w:ind w:left="0" w:right="0"/>
              <w:rPr>
                <w:rFonts w:hint="default"/>
                <w:highlight w:val="none"/>
                <w:lang w:eastAsia="zh-CN"/>
              </w:rPr>
            </w:pPr>
            <w:r>
              <w:rPr>
                <w:rFonts w:hint="default"/>
                <w:highlight w:val="none"/>
                <w:lang w:eastAsia="zh-CN"/>
              </w:rPr>
              <w:t>项目</w:t>
            </w:r>
            <w:r>
              <w:rPr>
                <w:rFonts w:hint="default"/>
                <w:highlight w:val="none"/>
              </w:rPr>
              <w:t>建设范围及周边区域无特殊保护文物古迹、自然保护区和特殊环境制约因素，</w:t>
            </w:r>
            <w:r>
              <w:rPr>
                <w:rFonts w:hint="eastAsia"/>
                <w:highlight w:val="none"/>
                <w:lang w:val="en-US" w:eastAsia="zh-CN"/>
              </w:rPr>
              <w:t>渠道</w:t>
            </w:r>
            <w:r>
              <w:rPr>
                <w:rFonts w:hint="default"/>
                <w:highlight w:val="none"/>
              </w:rPr>
              <w:t>走向与原</w:t>
            </w:r>
            <w:r>
              <w:rPr>
                <w:rFonts w:hint="eastAsia"/>
                <w:highlight w:val="none"/>
                <w:lang w:val="en-US" w:eastAsia="zh-CN"/>
              </w:rPr>
              <w:t>渠</w:t>
            </w:r>
            <w:r>
              <w:rPr>
                <w:rFonts w:hint="default"/>
                <w:highlight w:val="none"/>
              </w:rPr>
              <w:t>道一致，</w:t>
            </w:r>
            <w:r>
              <w:rPr>
                <w:rFonts w:hint="eastAsia"/>
                <w:highlight w:val="none"/>
                <w:lang w:val="en-US" w:eastAsia="zh-CN"/>
              </w:rPr>
              <w:t>项目</w:t>
            </w:r>
            <w:r>
              <w:rPr>
                <w:rFonts w:hint="default"/>
                <w:highlight w:val="none"/>
                <w:lang w:val="en-US" w:eastAsia="zh-CN"/>
              </w:rPr>
              <w:t>周边</w:t>
            </w:r>
            <w:r>
              <w:rPr>
                <w:rFonts w:hint="eastAsia"/>
                <w:highlight w:val="none"/>
                <w:lang w:val="en-US" w:eastAsia="zh-CN"/>
              </w:rPr>
              <w:t>有</w:t>
            </w:r>
            <w:r>
              <w:rPr>
                <w:rFonts w:hint="default"/>
                <w:highlight w:val="none"/>
                <w:lang w:val="en-US" w:eastAsia="zh-CN"/>
              </w:rPr>
              <w:t>村庄、居民点等敏感保护目标，</w:t>
            </w:r>
            <w:r>
              <w:rPr>
                <w:rFonts w:hint="eastAsia"/>
                <w:highlight w:val="none"/>
                <w:lang w:val="en-US" w:eastAsia="zh-CN"/>
              </w:rPr>
              <w:t>通过合理布局施工场地，加强工程管理并落实环评中提到的环保措施，</w:t>
            </w:r>
            <w:r>
              <w:rPr>
                <w:rFonts w:hint="default"/>
                <w:highlight w:val="none"/>
              </w:rPr>
              <w:t>从环境保护角度分析本项目选址、选线是合理可行的</w:t>
            </w:r>
            <w:r>
              <w:rPr>
                <w:rFonts w:hint="default"/>
                <w:highlight w:val="none"/>
                <w:lang w:eastAsia="zh-CN"/>
              </w:rPr>
              <w:t>。符合</w:t>
            </w:r>
            <w:r>
              <w:rPr>
                <w:rFonts w:hint="default"/>
                <w:highlight w:val="none"/>
                <w:lang w:val="en-US" w:eastAsia="zh-CN"/>
              </w:rPr>
              <w:t>《关于印发〈新疆维吾尔自治区生态环境分区管控动态更新成果〉的通知》（新环环评发〔2024〕157号）和《巴音郭楞蒙古自治州“三线一单”生态环境分区管控动态更新成果（2023年）》《</w:t>
            </w:r>
            <w:r>
              <w:rPr>
                <w:rFonts w:hint="default"/>
                <w:highlight w:val="none"/>
                <w:lang w:eastAsia="zh-CN"/>
              </w:rPr>
              <w:t>新疆维吾尔自治区主体功能区规划》《新疆维吾尔自治区生态功能区划》的相关要求，本项目属于防渗渠节水改造项目根据《产业结构调整指导目录（</w:t>
            </w:r>
            <w:r>
              <w:rPr>
                <w:rFonts w:hint="default"/>
                <w:highlight w:val="none"/>
                <w:lang w:val="en-US" w:eastAsia="zh-CN"/>
              </w:rPr>
              <w:t>2024</w:t>
            </w:r>
            <w:r>
              <w:rPr>
                <w:rFonts w:hint="default"/>
                <w:highlight w:val="none"/>
                <w:lang w:eastAsia="zh-CN"/>
              </w:rPr>
              <w:t>年本）》，本项目属于</w:t>
            </w:r>
            <w:r>
              <w:rPr>
                <w:rFonts w:hint="eastAsia"/>
                <w:highlight w:val="none"/>
                <w:lang w:val="en-US" w:eastAsia="zh-CN"/>
              </w:rPr>
              <w:t>鼓励</w:t>
            </w:r>
            <w:r>
              <w:rPr>
                <w:rFonts w:hint="default"/>
                <w:highlight w:val="none"/>
                <w:lang w:eastAsia="zh-CN"/>
              </w:rPr>
              <w:t>类项目；项目符合</w:t>
            </w:r>
            <w:r>
              <w:rPr>
                <w:rFonts w:hint="default"/>
                <w:highlight w:val="none"/>
                <w:lang w:val="en-US" w:eastAsia="zh-CN"/>
              </w:rPr>
              <w:t>《新疆生态环境保护“十四五”规划》《若羌县国民经济和社会发展第十四个五年规划和2035年远景目标》《巴州若羌县若羌河流域规划环评报告》《中华人民共和国水土保持法》（2010 年修订）《水利建设项目（灌区工程）环境影响评价文件审批原则（试行）》</w:t>
            </w:r>
            <w:r>
              <w:rPr>
                <w:rFonts w:hint="default"/>
                <w:highlight w:val="none"/>
                <w:lang w:eastAsia="zh-CN"/>
              </w:rPr>
              <w:t>等相关规定，从以上综合分析认为</w:t>
            </w:r>
            <w:r>
              <w:rPr>
                <w:rFonts w:hint="eastAsia"/>
                <w:highlight w:val="none"/>
                <w:lang w:val="en-US" w:eastAsia="zh-CN"/>
              </w:rPr>
              <w:t>本项目</w:t>
            </w:r>
            <w:r>
              <w:rPr>
                <w:rFonts w:hint="default"/>
                <w:highlight w:val="none"/>
                <w:lang w:eastAsia="zh-CN"/>
              </w:rPr>
              <w:t>选址基本合理。</w:t>
            </w:r>
          </w:p>
        </w:tc>
      </w:tr>
    </w:tbl>
    <w:p>
      <w:pPr>
        <w:pStyle w:val="19"/>
        <w:adjustRightInd w:val="0"/>
        <w:snapToGrid w:val="0"/>
        <w:spacing w:before="0" w:beforeAutospacing="0" w:after="0" w:afterAutospacing="0" w:line="14" w:lineRule="auto"/>
        <w:jc w:val="center"/>
        <w:outlineLvl w:val="0"/>
        <w:rPr>
          <w:rFonts w:hint="eastAsia" w:ascii="黑体" w:hAnsi="黑体" w:eastAsia="黑体"/>
          <w:snapToGrid w:val="0"/>
          <w:color w:val="auto"/>
          <w:sz w:val="30"/>
          <w:szCs w:val="30"/>
          <w:highlight w:val="none"/>
        </w:rPr>
      </w:pPr>
    </w:p>
    <w:p>
      <w:pPr>
        <w:pStyle w:val="19"/>
        <w:jc w:val="center"/>
        <w:outlineLvl w:val="0"/>
        <w:rPr>
          <w:rFonts w:hint="eastAsia" w:ascii="黑体" w:hAnsi="黑体" w:eastAsia="黑体"/>
          <w:snapToGrid w:val="0"/>
          <w:color w:val="auto"/>
          <w:sz w:val="30"/>
          <w:szCs w:val="30"/>
        </w:rPr>
        <w:sectPr>
          <w:pgSz w:w="11907" w:h="16840"/>
          <w:pgMar w:top="1440" w:right="1797" w:bottom="1440" w:left="1797" w:header="851" w:footer="1077" w:gutter="0"/>
          <w:pgNumType w:fmt="decimal"/>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五、主要生态环境保护措施</w:t>
      </w:r>
    </w:p>
    <w:tbl>
      <w:tblPr>
        <w:tblStyle w:val="21"/>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pacing w:val="10"/>
                <w:sz w:val="21"/>
                <w:szCs w:val="21"/>
              </w:rPr>
              <w:t>施工期生态环境保护措施</w:t>
            </w:r>
          </w:p>
        </w:tc>
        <w:tc>
          <w:tcPr>
            <w:tcW w:w="8457" w:type="dxa"/>
            <w:noWrap w:val="0"/>
            <w:vAlign w:val="top"/>
          </w:tcPr>
          <w:p>
            <w:pPr>
              <w:pStyle w:val="3"/>
              <w:keepLines w:val="0"/>
              <w:suppressLineNumbers w:val="0"/>
              <w:bidi w:val="0"/>
              <w:spacing w:before="0" w:beforeAutospacing="0" w:after="0" w:afterAutospacing="0"/>
              <w:ind w:right="0"/>
              <w:rPr>
                <w:rFonts w:hint="eastAsia"/>
                <w:lang w:val="en-US"/>
              </w:rPr>
            </w:pPr>
            <w:r>
              <w:rPr>
                <w:rFonts w:hint="eastAsia"/>
                <w:lang w:val="en-US" w:eastAsia="zh-CN"/>
              </w:rPr>
              <w:t>1 生态环境保护措施及恢复情况</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1.1土壤环境保护措施</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通过合理规划施工场地，减少不必要的土壤扰动；对施工产生的建筑垃圾及时清运，分类处理，避免随意堆放；加强施工机械的维护与管理，防止燃油泄漏，一旦发生泄漏及时清理受污染土壤。对于居民保护措施，在施工前向居民普及土壤保护知识，告知施工可能对土壤环境产生的影响；施工过程中，若发现土壤污染情况，及时向周边居民公示，并采取措施降低对居民生活的影响，如对受污染土壤进行修复时，设置隔离带，避免扬尘等对居民造成二次污染。</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1.2野生动植物保护措施</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（1）优化选择施工道路的选址，严格限定施工作业带范围，严格行车路线，运输车辆不得随意驶离道路或施工便道。优化施工组织，尽量减少施工过程中动用的土石方数量，减少植被破坏量。</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（2）在施工道路设置警示牌，加强对施工人员进行宣传教育，强化保护野生动物的观念，不得捕猎。车辆行驶过程中不得鸣笛惊吓野生动物。</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（3）施工时，尽量使用小型挖掘机械或人工作业，尽量缩短工期，减少因施工造成对动植物的影响。</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1.3景观防治措施</w:t>
            </w:r>
          </w:p>
          <w:p>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合理规划施工路线和施工场地，尽量减少对现有景观的破坏。定期对施工人员进行生态景观保护教育，提高其保护意识，避免随意踩踏、破坏周边景观。</w:t>
            </w:r>
          </w:p>
          <w:p>
            <w:pPr>
              <w:pStyle w:val="3"/>
              <w:keepLines w:val="0"/>
              <w:suppressLineNumbers w:val="0"/>
              <w:bidi w:val="0"/>
              <w:spacing w:before="0" w:beforeAutospacing="0" w:after="0" w:afterAutospacing="0"/>
              <w:ind w:right="0"/>
              <w:rPr>
                <w:rFonts w:hint="default"/>
                <w:highlight w:val="none"/>
                <w:lang w:val="en-US" w:eastAsia="zh-CN"/>
              </w:rPr>
            </w:pPr>
            <w:r>
              <w:rPr>
                <w:rFonts w:hint="eastAsia"/>
                <w:highlight w:val="none"/>
                <w:lang w:val="en-US" w:eastAsia="zh-CN"/>
              </w:rPr>
              <w:t>1.4水土流失防治措施</w:t>
            </w:r>
          </w:p>
          <w:p>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（1）渠道工程</w:t>
            </w:r>
          </w:p>
          <w:p>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严格控制施工范围，减少对土壤的扰动；优化施工组织设计，减少施工时间。</w:t>
            </w:r>
            <w:r>
              <w:rPr>
                <w:rFonts w:hint="eastAsia"/>
                <w:highlight w:val="none"/>
              </w:rPr>
              <w:t>施工产生土方</w:t>
            </w:r>
            <w:r>
              <w:rPr>
                <w:rFonts w:hint="eastAsia"/>
                <w:highlight w:val="none"/>
                <w:lang w:val="en-US" w:eastAsia="zh-CN"/>
              </w:rPr>
              <w:t>量较大</w:t>
            </w:r>
            <w:r>
              <w:rPr>
                <w:rFonts w:hint="eastAsia"/>
                <w:highlight w:val="none"/>
              </w:rPr>
              <w:t>，应做好土方平衡及调运，尽量将开挖土方量用作填方</w:t>
            </w:r>
            <w:r>
              <w:rPr>
                <w:rFonts w:hint="eastAsia"/>
                <w:highlight w:val="none"/>
                <w:lang w:eastAsia="zh-CN"/>
              </w:rPr>
              <w:t>，</w:t>
            </w:r>
            <w:r>
              <w:rPr>
                <w:rFonts w:hint="eastAsia"/>
                <w:highlight w:val="none"/>
              </w:rPr>
              <w:t>弃方</w:t>
            </w:r>
            <w:r>
              <w:rPr>
                <w:rFonts w:hint="eastAsia"/>
                <w:highlight w:val="none"/>
                <w:lang w:val="en-US" w:eastAsia="zh-CN"/>
              </w:rPr>
              <w:t>沿渠道边铺平。</w:t>
            </w:r>
            <w:r>
              <w:rPr>
                <w:rFonts w:hint="eastAsia"/>
                <w:highlight w:val="none"/>
              </w:rPr>
              <w:t>对暂不继续施工的开挖裸露面和还未清运的弃土应进行苫盖并使用编织袋装土压脚，定时洒水以减少水土流失。</w:t>
            </w:r>
            <w:r>
              <w:rPr>
                <w:rFonts w:hint="eastAsia"/>
                <w:highlight w:val="none"/>
                <w:lang w:val="en-US" w:eastAsia="zh-CN"/>
              </w:rPr>
              <w:t>土方开挖、回填等易产生水土流失的工序应避开暴雨和大风天气。</w:t>
            </w:r>
            <w:r>
              <w:rPr>
                <w:rFonts w:hint="eastAsia"/>
                <w:highlight w:val="none"/>
              </w:rPr>
              <w:t>工程完工后，对临时设施拆除、清理，对用地进行平整</w:t>
            </w:r>
            <w:r>
              <w:rPr>
                <w:rFonts w:hint="eastAsia"/>
                <w:highlight w:val="none"/>
                <w:lang w:eastAsia="zh-CN"/>
              </w:rPr>
              <w:t>，</w:t>
            </w:r>
            <w:r>
              <w:rPr>
                <w:rFonts w:hint="eastAsia"/>
                <w:highlight w:val="none"/>
                <w:lang w:val="en-US" w:eastAsia="zh-CN"/>
              </w:rPr>
              <w:t>对土地进行复垦。</w:t>
            </w:r>
          </w:p>
          <w:p>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（2）附属构筑物</w:t>
            </w:r>
          </w:p>
          <w:p>
            <w:pPr>
              <w:keepNext w:val="0"/>
              <w:keepLines w:val="0"/>
              <w:suppressLineNumbers w:val="0"/>
              <w:bidi w:val="0"/>
              <w:spacing w:before="0" w:beforeAutospacing="0" w:after="0" w:afterAutospacing="0"/>
              <w:ind w:left="0" w:right="0"/>
              <w:rPr>
                <w:rFonts w:hint="eastAsia"/>
                <w:highlight w:val="none"/>
                <w:lang w:val="en-US"/>
              </w:rPr>
            </w:pPr>
            <w:r>
              <w:rPr>
                <w:rFonts w:hint="eastAsia"/>
                <w:highlight w:val="none"/>
                <w:lang w:val="en-US" w:eastAsia="zh-CN"/>
              </w:rPr>
              <w:t>严格控制施工范围，减少对土壤的扰动；优化施工组织设计，减少施工时间。</w:t>
            </w:r>
            <w:r>
              <w:rPr>
                <w:rFonts w:hint="eastAsia"/>
                <w:highlight w:val="none"/>
              </w:rPr>
              <w:t>做好土方平衡及调运，尽量将开挖土方量用作填方</w:t>
            </w:r>
            <w:r>
              <w:rPr>
                <w:rFonts w:hint="eastAsia"/>
                <w:highlight w:val="none"/>
                <w:lang w:eastAsia="zh-CN"/>
              </w:rPr>
              <w:t>，</w:t>
            </w:r>
            <w:r>
              <w:rPr>
                <w:rFonts w:hint="eastAsia"/>
                <w:highlight w:val="none"/>
              </w:rPr>
              <w:t>弃方</w:t>
            </w:r>
            <w:r>
              <w:rPr>
                <w:rFonts w:hint="eastAsia"/>
                <w:highlight w:val="none"/>
                <w:lang w:val="en-US" w:eastAsia="zh-CN"/>
              </w:rPr>
              <w:t>沿渠道边铺平。</w:t>
            </w:r>
            <w:r>
              <w:rPr>
                <w:rFonts w:hint="eastAsia"/>
                <w:highlight w:val="none"/>
              </w:rPr>
              <w:t>对暂不继续施工的开挖裸露面和还未清运的弃土应进行苫盖并使用编织袋装土压脚，定时洒水以减少水土流失。</w:t>
            </w:r>
            <w:r>
              <w:rPr>
                <w:rFonts w:hint="eastAsia"/>
                <w:highlight w:val="none"/>
                <w:lang w:val="en-US" w:eastAsia="zh-CN"/>
              </w:rPr>
              <w:t>土方开挖、回填等易产生水土流失的工序应避开暴雨和大风天气。</w:t>
            </w:r>
            <w:r>
              <w:rPr>
                <w:rFonts w:hint="eastAsia"/>
                <w:highlight w:val="none"/>
              </w:rPr>
              <w:t>工程完工后，对临时设施拆除、清理，对用地进行平整</w:t>
            </w:r>
            <w:r>
              <w:rPr>
                <w:rFonts w:hint="eastAsia"/>
                <w:highlight w:val="none"/>
                <w:lang w:eastAsia="zh-CN"/>
              </w:rPr>
              <w:t>，</w:t>
            </w:r>
            <w:r>
              <w:rPr>
                <w:rFonts w:hint="eastAsia"/>
                <w:highlight w:val="none"/>
                <w:lang w:val="en-US" w:eastAsia="zh-CN"/>
              </w:rPr>
              <w:t>对土地进行复垦。</w:t>
            </w:r>
          </w:p>
          <w:p>
            <w:pPr>
              <w:keepNext w:val="0"/>
              <w:keepLines w:val="0"/>
              <w:suppressLineNumbers w:val="0"/>
              <w:bidi w:val="0"/>
              <w:spacing w:before="0" w:beforeAutospacing="0" w:after="0" w:afterAutospacing="0"/>
              <w:ind w:left="0" w:right="0"/>
              <w:rPr>
                <w:rFonts w:hint="default"/>
                <w:highlight w:val="none"/>
                <w:lang w:val="en-US"/>
              </w:rPr>
            </w:pPr>
            <w:r>
              <w:rPr>
                <w:rFonts w:hint="eastAsia"/>
                <w:highlight w:val="none"/>
                <w:lang w:val="en-US" w:eastAsia="zh-CN"/>
              </w:rPr>
              <w:t>（3）临时工业区</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eastAsia" w:ascii="宋体" w:hAnsi="宋体" w:eastAsia="宋体" w:cs="宋体"/>
                <w:color w:val="auto"/>
                <w:sz w:val="24"/>
                <w:szCs w:val="24"/>
                <w:highlight w:val="none"/>
                <w:lang w:val="en-US" w:eastAsia="zh-CN"/>
              </w:rPr>
            </w:pPr>
            <w:bookmarkStart w:id="3" w:name="_Hlk173862193"/>
            <w:r>
              <w:rPr>
                <w:rFonts w:hint="eastAsia" w:ascii="宋体" w:hAnsi="宋体" w:eastAsia="宋体" w:cs="宋体"/>
                <w:color w:val="auto"/>
                <w:sz w:val="24"/>
                <w:szCs w:val="24"/>
                <w:highlight w:val="none"/>
                <w:lang w:val="en-US" w:eastAsia="zh-CN"/>
              </w:rPr>
              <w:t>依托托格拉克勒克村</w:t>
            </w:r>
            <w:r>
              <w:rPr>
                <w:rFonts w:hint="eastAsia" w:ascii="宋体" w:hAnsi="宋体" w:cs="宋体"/>
                <w:color w:val="auto"/>
                <w:sz w:val="24"/>
                <w:szCs w:val="24"/>
                <w:highlight w:val="none"/>
                <w:lang w:val="en-US" w:eastAsia="zh-CN"/>
              </w:rPr>
              <w:t>村</w:t>
            </w:r>
            <w:r>
              <w:rPr>
                <w:rFonts w:hint="eastAsia" w:ascii="宋体" w:hAnsi="宋体" w:eastAsia="宋体" w:cs="宋体"/>
                <w:color w:val="auto"/>
                <w:sz w:val="24"/>
                <w:szCs w:val="24"/>
                <w:highlight w:val="none"/>
                <w:lang w:val="en-US" w:eastAsia="zh-CN"/>
              </w:rPr>
              <w:t>民委员会，占地面积为</w:t>
            </w:r>
            <w:r>
              <w:rPr>
                <w:rFonts w:hint="default" w:ascii="Times New Roman" w:hAnsi="Times New Roman" w:eastAsia="宋体" w:cs="Times New Roman"/>
                <w:color w:val="auto"/>
                <w:sz w:val="24"/>
                <w:szCs w:val="24"/>
                <w:highlight w:val="none"/>
                <w:lang w:val="en-US" w:eastAsia="zh-CN"/>
              </w:rPr>
              <w:t>1000m</w:t>
            </w:r>
            <w:r>
              <w:rPr>
                <w:rFonts w:hint="default" w:ascii="Times New Roman" w:hAnsi="Times New Roman" w:eastAsia="宋体" w:cs="Times New Roman"/>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，用于堆放篷布、停放施工设备</w:t>
            </w:r>
            <w:bookmarkEnd w:id="3"/>
            <w:r>
              <w:rPr>
                <w:rFonts w:hint="eastAsia" w:ascii="宋体" w:hAnsi="宋体" w:eastAsia="宋体" w:cs="宋体"/>
                <w:color w:val="auto"/>
                <w:sz w:val="24"/>
                <w:szCs w:val="24"/>
                <w:highlight w:val="none"/>
              </w:rPr>
              <w:t>。工程完工后，</w:t>
            </w:r>
            <w:r>
              <w:rPr>
                <w:rFonts w:hint="eastAsia" w:ascii="宋体" w:hAnsi="宋体" w:cs="宋体"/>
                <w:color w:val="auto"/>
                <w:sz w:val="24"/>
                <w:szCs w:val="24"/>
                <w:highlight w:val="none"/>
                <w:lang w:val="en-US" w:eastAsia="zh-CN"/>
              </w:rPr>
              <w:t>对场地进行清扫恢复原状</w:t>
            </w:r>
            <w:r>
              <w:rPr>
                <w:rFonts w:hint="eastAsia" w:ascii="宋体" w:hAnsi="宋体" w:eastAsia="宋体" w:cs="宋体"/>
                <w:color w:val="auto"/>
                <w:sz w:val="24"/>
                <w:szCs w:val="24"/>
                <w:highlight w:val="none"/>
                <w:lang w:val="en-US" w:eastAsia="zh-CN"/>
              </w:rPr>
              <w:t>。</w:t>
            </w:r>
          </w:p>
          <w:p>
            <w:pPr>
              <w:keepNext w:val="0"/>
              <w:keepLines w:val="0"/>
              <w:suppressLineNumbers w:val="0"/>
              <w:bidi w:val="0"/>
              <w:spacing w:before="0" w:beforeAutospacing="0" w:after="0" w:afterAutospacing="0"/>
              <w:ind w:left="0" w:right="0"/>
              <w:rPr>
                <w:rFonts w:hint="default"/>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临时堆土区、临时堆渣区</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严格控制</w:t>
            </w:r>
            <w:r>
              <w:rPr>
                <w:rFonts w:hint="eastAsia" w:cs="Times New Roman"/>
                <w:color w:val="auto"/>
                <w:sz w:val="24"/>
                <w:szCs w:val="24"/>
                <w:highlight w:val="none"/>
                <w:lang w:val="en-US" w:eastAsia="zh-CN"/>
              </w:rPr>
              <w:t>堆土区和堆渣区占地</w:t>
            </w:r>
            <w:r>
              <w:rPr>
                <w:rFonts w:hint="default" w:ascii="Times New Roman" w:hAnsi="Times New Roman" w:eastAsia="宋体" w:cs="Times New Roman"/>
                <w:color w:val="auto"/>
                <w:sz w:val="24"/>
                <w:szCs w:val="24"/>
                <w:highlight w:val="none"/>
                <w:lang w:val="en-US" w:eastAsia="zh-CN"/>
              </w:rPr>
              <w:t>范围</w:t>
            </w:r>
            <w:r>
              <w:rPr>
                <w:rFonts w:hint="eastAsia" w:cs="Times New Roman"/>
                <w:color w:val="auto"/>
                <w:sz w:val="24"/>
                <w:szCs w:val="24"/>
                <w:highlight w:val="none"/>
                <w:lang w:val="en-US" w:eastAsia="zh-CN"/>
              </w:rPr>
              <w:t>，项目临时堆土区占地面积为11000m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vertAlign w:val="baseline"/>
                <w:lang w:val="en-US" w:eastAsia="zh-CN"/>
              </w:rPr>
              <w:t>（宽2.06m）</w:t>
            </w:r>
            <w:r>
              <w:rPr>
                <w:rFonts w:hint="eastAsia" w:cs="Times New Roman"/>
                <w:color w:val="auto"/>
                <w:sz w:val="24"/>
                <w:szCs w:val="24"/>
                <w:highlight w:val="none"/>
                <w:lang w:val="en-US" w:eastAsia="zh-CN"/>
              </w:rPr>
              <w:t>，临时堆渣区占地面积分别为</w:t>
            </w:r>
            <w:r>
              <w:rPr>
                <w:rFonts w:hint="eastAsia" w:cs="Times New Roman"/>
                <w:color w:val="auto"/>
                <w:sz w:val="24"/>
                <w:szCs w:val="24"/>
                <w:highlight w:val="none"/>
                <w:vertAlign w:val="baseline"/>
                <w:lang w:val="en-US" w:eastAsia="zh-CN"/>
              </w:rPr>
              <w:t>1000m</w:t>
            </w:r>
            <w:r>
              <w:rPr>
                <w:rFonts w:hint="eastAsia"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项目需严格控制占地范围，</w:t>
            </w:r>
            <w:r>
              <w:rPr>
                <w:rFonts w:hint="default" w:ascii="Times New Roman" w:hAnsi="Times New Roman" w:eastAsia="宋体" w:cs="Times New Roman"/>
                <w:color w:val="auto"/>
                <w:sz w:val="24"/>
                <w:szCs w:val="24"/>
                <w:highlight w:val="none"/>
                <w:lang w:val="en-US" w:eastAsia="zh-CN"/>
              </w:rPr>
              <w:t>使用彩条布覆盖</w:t>
            </w:r>
            <w:r>
              <w:rPr>
                <w:rFonts w:hint="eastAsia" w:cs="Times New Roman"/>
                <w:color w:val="auto"/>
                <w:sz w:val="24"/>
                <w:szCs w:val="24"/>
                <w:highlight w:val="none"/>
                <w:lang w:val="en-US" w:eastAsia="zh-CN"/>
              </w:rPr>
              <w:t>、定时洒水、彩条旗划定范围，施工过程中不得超越界限，</w:t>
            </w:r>
            <w:r>
              <w:rPr>
                <w:rFonts w:hint="default" w:ascii="Times New Roman" w:hAnsi="Times New Roman" w:eastAsia="宋体" w:cs="Times New Roman"/>
                <w:color w:val="auto"/>
                <w:sz w:val="24"/>
                <w:szCs w:val="24"/>
                <w:highlight w:val="none"/>
                <w:lang w:val="en-US" w:eastAsia="zh-CN"/>
              </w:rPr>
              <w:t>减少对土壤的扰动；施工弃土</w:t>
            </w:r>
            <w:r>
              <w:rPr>
                <w:rFonts w:hint="eastAsia" w:cs="Times New Roman"/>
                <w:color w:val="auto"/>
                <w:sz w:val="24"/>
                <w:szCs w:val="24"/>
                <w:highlight w:val="none"/>
                <w:lang w:val="en-US" w:eastAsia="zh-CN"/>
              </w:rPr>
              <w:t>进行</w:t>
            </w:r>
            <w:r>
              <w:rPr>
                <w:rFonts w:hint="default" w:ascii="Times New Roman" w:hAnsi="Times New Roman" w:eastAsia="宋体" w:cs="Times New Roman"/>
                <w:color w:val="auto"/>
                <w:sz w:val="24"/>
                <w:szCs w:val="24"/>
                <w:highlight w:val="none"/>
                <w:lang w:val="en-US" w:eastAsia="zh-CN"/>
              </w:rPr>
              <w:t>沿线铺平、并分层压实，堆渣区使用结束后，整体进行平整，进行植被恢复</w:t>
            </w:r>
            <w:r>
              <w:rPr>
                <w:rFonts w:hint="eastAsia" w:cs="Times New Roman"/>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（5）管理措施</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lang w:val="en-US" w:eastAsia="zh-CN"/>
              </w:rPr>
              <w:t>落实</w:t>
            </w:r>
            <w:r>
              <w:rPr>
                <w:rFonts w:hint="eastAsia" w:ascii="宋体" w:hAnsi="宋体" w:eastAsia="宋体" w:cs="宋体"/>
                <w:color w:val="auto"/>
                <w:sz w:val="24"/>
                <w:szCs w:val="24"/>
                <w:highlight w:val="none"/>
                <w:lang w:val="en-US" w:eastAsia="zh-CN"/>
              </w:rPr>
              <w:t>“水土保持”</w:t>
            </w:r>
            <w:r>
              <w:rPr>
                <w:rFonts w:hint="default" w:ascii="Times New Roman" w:hAnsi="Times New Roman" w:eastAsia="宋体" w:cs="Times New Roman"/>
                <w:color w:val="auto"/>
                <w:sz w:val="24"/>
                <w:szCs w:val="24"/>
                <w:highlight w:val="none"/>
                <w:lang w:val="en-US" w:eastAsia="zh-CN"/>
              </w:rPr>
              <w:t>三同时：水土保持设施应当与主体工程同时设计、同时施工、同时投产使用；生产建设项目竣工验收，应当验收水土保持设施；水土保持设施未经验收或者验收不合格的，生产建设项目不得投产使用。</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1.5 防沙治沙措施</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施工单位合理安排施工计划，禁止大风天气进行产生扬尘的施工；对土石方挖填等方案进行周密论证，减少借方和弃方；施工中所用材料统一堆放管理，回填使用的易起尘物料随用随拉运，在现场临时存放过程中使用防尘网苫盖，洒水降尘并尽快回填。工区、道路平整后夯实、硬化；对施工现场、工区、道路等区域定期洒水降尘。</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2 施工期大气环境保护措施</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施工期对大气产生影响的主要是施工扬尘和燃油废气。</w:t>
            </w:r>
          </w:p>
          <w:p>
            <w:pPr>
              <w:pStyle w:val="3"/>
              <w:keepLines w:val="0"/>
              <w:suppressLineNumbers w:val="0"/>
              <w:bidi w:val="0"/>
              <w:spacing w:before="0" w:beforeAutospacing="0" w:after="0" w:afterAutospacing="0"/>
              <w:ind w:right="0"/>
              <w:rPr>
                <w:rFonts w:hint="eastAsia"/>
              </w:rPr>
            </w:pPr>
            <w:r>
              <w:rPr>
                <w:rFonts w:hint="eastAsia"/>
                <w:lang w:val="en-US" w:eastAsia="zh-CN"/>
              </w:rPr>
              <w:t>2.1</w:t>
            </w:r>
            <w:r>
              <w:rPr>
                <w:rFonts w:hint="eastAsia"/>
              </w:rPr>
              <w:t>扬尘</w:t>
            </w:r>
          </w:p>
          <w:p>
            <w:pPr>
              <w:keepNext w:val="0"/>
              <w:keepLines w:val="0"/>
              <w:suppressLineNumbers w:val="0"/>
              <w:bidi w:val="0"/>
              <w:spacing w:before="0" w:beforeAutospacing="0" w:after="0" w:afterAutospacing="0"/>
              <w:ind w:left="0" w:right="0"/>
              <w:rPr>
                <w:rFonts w:hint="eastAsia"/>
              </w:rPr>
            </w:pPr>
            <w:bookmarkStart w:id="4" w:name="_Hlk161139293"/>
            <w:r>
              <w:rPr>
                <w:rFonts w:hint="eastAsia"/>
              </w:rPr>
              <w:t>施工扬尘主要是现有</w:t>
            </w:r>
            <w:r>
              <w:rPr>
                <w:rFonts w:hint="eastAsia"/>
                <w:lang w:val="en-US" w:eastAsia="zh-CN"/>
              </w:rPr>
              <w:t>渠道</w:t>
            </w:r>
            <w:r>
              <w:rPr>
                <w:rFonts w:hint="eastAsia"/>
              </w:rPr>
              <w:t>构筑物</w:t>
            </w:r>
            <w:r>
              <w:rPr>
                <w:rFonts w:hint="eastAsia"/>
                <w:lang w:val="en-US" w:eastAsia="zh-CN"/>
              </w:rPr>
              <w:t>拆除、</w:t>
            </w:r>
            <w:r>
              <w:rPr>
                <w:rFonts w:hint="eastAsia"/>
              </w:rPr>
              <w:t>土方开挖回填、运输、车辆运行、材料堆放等过程产生的，主要污染物为TSP，应采取以下措施减少或避免扬尘的产生：</w:t>
            </w:r>
          </w:p>
          <w:p>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（1）</w:t>
            </w:r>
            <w:r>
              <w:rPr>
                <w:rFonts w:hint="eastAsia"/>
                <w:highlight w:val="none"/>
              </w:rPr>
              <w:t>施工前制定控制施工扬尘的方案，施工期间采取有效防尘措施并接受相关部门的监督检查。加强对施工人员的环保教育，增强全体施工人员的环保意识；认真做好施工场地管理工作，坚持文明施工、科学施工。</w:t>
            </w:r>
          </w:p>
          <w:p>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（2）</w:t>
            </w:r>
            <w:r>
              <w:rPr>
                <w:rFonts w:hint="eastAsia"/>
                <w:highlight w:val="none"/>
              </w:rPr>
              <w:t>在</w:t>
            </w:r>
            <w:r>
              <w:rPr>
                <w:rFonts w:hint="eastAsia"/>
                <w:highlight w:val="none"/>
                <w:lang w:val="en-US" w:eastAsia="zh-CN"/>
              </w:rPr>
              <w:t>工区</w:t>
            </w:r>
            <w:r>
              <w:rPr>
                <w:rFonts w:hint="eastAsia"/>
                <w:highlight w:val="none"/>
              </w:rPr>
              <w:t>四周设置围挡。</w:t>
            </w:r>
          </w:p>
          <w:p>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（3）</w:t>
            </w:r>
            <w:r>
              <w:rPr>
                <w:rFonts w:hint="eastAsia"/>
                <w:highlight w:val="none"/>
              </w:rPr>
              <w:t>施工期间配备洒水车</w:t>
            </w:r>
            <w:r>
              <w:rPr>
                <w:rFonts w:hint="eastAsia"/>
                <w:highlight w:val="none"/>
                <w:lang w:val="en-US" w:eastAsia="zh-CN"/>
              </w:rPr>
              <w:t>洒水降尘</w:t>
            </w:r>
            <w:r>
              <w:rPr>
                <w:rFonts w:hint="eastAsia"/>
                <w:highlight w:val="none"/>
              </w:rPr>
              <w:t>，4级以上大风天气禁止土方开挖、回填、装卸等作业</w:t>
            </w:r>
            <w:r>
              <w:rPr>
                <w:rFonts w:hint="eastAsia"/>
                <w:highlight w:val="none"/>
                <w:lang w:eastAsia="zh-CN"/>
              </w:rPr>
              <w:t>，</w:t>
            </w:r>
            <w:r>
              <w:rPr>
                <w:rFonts w:hint="eastAsia"/>
                <w:highlight w:val="none"/>
              </w:rPr>
              <w:t>大风天气增加洒水频率。</w:t>
            </w:r>
          </w:p>
          <w:p>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（4）</w:t>
            </w:r>
            <w:r>
              <w:rPr>
                <w:rFonts w:hint="eastAsia"/>
                <w:highlight w:val="none"/>
              </w:rPr>
              <w:t>拆除建（构）筑物过程中，应当配备防风抑尘设备，湿法作业。</w:t>
            </w:r>
          </w:p>
          <w:p>
            <w:pPr>
              <w:keepNext w:val="0"/>
              <w:keepLines w:val="0"/>
              <w:suppressLineNumbers w:val="0"/>
              <w:bidi w:val="0"/>
              <w:spacing w:before="0" w:beforeAutospacing="0" w:after="0" w:afterAutospacing="0"/>
              <w:ind w:left="0" w:right="0"/>
              <w:rPr>
                <w:rFonts w:hint="eastAsia"/>
                <w:highlight w:val="none"/>
              </w:rPr>
            </w:pPr>
            <w:r>
              <w:rPr>
                <w:rFonts w:hint="eastAsia"/>
                <w:highlight w:val="none"/>
                <w:lang w:val="en-US" w:eastAsia="zh-CN"/>
              </w:rPr>
              <w:t>（5）</w:t>
            </w:r>
            <w:r>
              <w:rPr>
                <w:rFonts w:hint="eastAsia"/>
                <w:highlight w:val="none"/>
              </w:rPr>
              <w:t>在场地内堆存</w:t>
            </w:r>
            <w:r>
              <w:rPr>
                <w:rFonts w:hint="eastAsia"/>
                <w:highlight w:val="none"/>
                <w:lang w:val="en-US" w:eastAsia="zh-CN"/>
              </w:rPr>
              <w:t>时</w:t>
            </w:r>
            <w:r>
              <w:rPr>
                <w:rFonts w:hint="eastAsia"/>
                <w:highlight w:val="none"/>
              </w:rPr>
              <w:t>，应当有效覆盖。</w:t>
            </w:r>
          </w:p>
          <w:p>
            <w:pPr>
              <w:keepNext w:val="0"/>
              <w:keepLines w:val="0"/>
              <w:suppressLineNumbers w:val="0"/>
              <w:bidi w:val="0"/>
              <w:spacing w:before="0" w:beforeAutospacing="0" w:after="0" w:afterAutospacing="0"/>
              <w:ind w:left="0" w:right="0"/>
              <w:rPr>
                <w:rFonts w:hint="eastAsia"/>
                <w:highlight w:val="none"/>
              </w:rPr>
            </w:pPr>
            <w:bookmarkStart w:id="5" w:name="_Hlk172046465"/>
            <w:r>
              <w:rPr>
                <w:rFonts w:hint="eastAsia"/>
                <w:highlight w:val="none"/>
                <w:lang w:val="en-US" w:eastAsia="zh-CN"/>
              </w:rPr>
              <w:t>（6）项目外购用于回填的砂石料如暂不回填，在现场临时堆存过程中</w:t>
            </w:r>
            <w:r>
              <w:rPr>
                <w:rFonts w:hint="eastAsia"/>
                <w:highlight w:val="none"/>
              </w:rPr>
              <w:t>应采取下列防尘措施：堆场的场坪、路面应当进行硬化处理，并保持路面整洁；堆场周边应当配备高于堆存物料的围挡、防风抑尘网等设施；按照物料类别采取相应的覆盖、喷淋和围挡等防风抑尘措施。</w:t>
            </w:r>
          </w:p>
          <w:p>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（7）</w:t>
            </w:r>
            <w:r>
              <w:rPr>
                <w:rFonts w:hint="eastAsia"/>
                <w:highlight w:val="none"/>
              </w:rPr>
              <w:t>露天装卸物料应当采取密闭或者喷淋等抑尘措施；输送的物料应当在装料、卸料处配备喷淋等防尘设施。</w:t>
            </w:r>
          </w:p>
          <w:p>
            <w:pPr>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（8）项目施工场地及进场道路硬化，定期洒水抑尘；工区地面硬化，工区设置车辆冲洗装置对出场车辆冲洗；设置洒水车洒水降尘，大风天气增加洒水频次。</w:t>
            </w:r>
          </w:p>
          <w:p>
            <w:pPr>
              <w:keepNext w:val="0"/>
              <w:keepLines w:val="0"/>
              <w:suppressLineNumbers w:val="0"/>
              <w:bidi w:val="0"/>
              <w:spacing w:before="0" w:beforeAutospacing="0" w:after="0" w:afterAutospacing="0"/>
              <w:ind w:left="0" w:right="0"/>
              <w:rPr>
                <w:rFonts w:hint="eastAsia"/>
              </w:rPr>
            </w:pPr>
            <w:r>
              <w:rPr>
                <w:rFonts w:hint="eastAsia"/>
                <w:highlight w:val="none"/>
                <w:lang w:val="en-US" w:eastAsia="zh-CN"/>
              </w:rPr>
              <w:t>（9）渠道开挖过程应避开大风天气，开挖后的土方在渠道一侧临时堆放，堆放过程应采用防尘网进行覆盖；开挖过程及土方堆放过程应使用洒水车洒</w:t>
            </w:r>
            <w:r>
              <w:rPr>
                <w:rFonts w:hint="eastAsia"/>
                <w:lang w:val="en-US" w:eastAsia="zh-CN"/>
              </w:rPr>
              <w:t>水降尘。</w:t>
            </w:r>
          </w:p>
          <w:bookmarkEnd w:id="5"/>
          <w:p>
            <w:pPr>
              <w:keepNext w:val="0"/>
              <w:keepLines w:val="0"/>
              <w:suppressLineNumbers w:val="0"/>
              <w:bidi w:val="0"/>
              <w:spacing w:before="0" w:beforeAutospacing="0" w:after="0" w:afterAutospacing="0"/>
              <w:ind w:left="0" w:right="0"/>
              <w:rPr>
                <w:rFonts w:hint="eastAsia"/>
              </w:rPr>
            </w:pPr>
            <w:r>
              <w:rPr>
                <w:rFonts w:hint="eastAsia"/>
                <w:lang w:val="en-US" w:eastAsia="zh-CN"/>
              </w:rPr>
              <w:t>（10）</w:t>
            </w:r>
            <w:r>
              <w:rPr>
                <w:rFonts w:hint="eastAsia"/>
              </w:rPr>
              <w:t>车辆严格控制运输装载量，按照规定路线行驶，进入施工场地需减速或限速行驶。施工场地设置洗车装置，对运输车辆轮胎进行清洗。土方和材料拉运过程中，运输车辆应密闭或加盖篷布，减少洒落遗漏。</w:t>
            </w:r>
          </w:p>
          <w:p>
            <w:pPr>
              <w:keepNext w:val="0"/>
              <w:keepLines w:val="0"/>
              <w:suppressLineNumbers w:val="0"/>
              <w:bidi w:val="0"/>
              <w:spacing w:before="0" w:beforeAutospacing="0" w:after="0" w:afterAutospacing="0"/>
              <w:ind w:left="0" w:right="0"/>
              <w:rPr>
                <w:rFonts w:hint="eastAsia"/>
              </w:rPr>
            </w:pPr>
            <w:bookmarkStart w:id="6" w:name="_Hlk172046501"/>
            <w:r>
              <w:rPr>
                <w:rFonts w:hint="eastAsia"/>
                <w:lang w:val="en-US" w:eastAsia="zh-CN"/>
              </w:rPr>
              <w:t>（11）</w:t>
            </w:r>
            <w:r>
              <w:rPr>
                <w:rFonts w:hint="eastAsia"/>
              </w:rPr>
              <w:t>大风天气下避免进行挖填方及装运土方等易起尘的施工活动；对暂不继续施工的开挖面、堆放土方进行压实及苫盖，并适时适量洒水。</w:t>
            </w:r>
          </w:p>
          <w:bookmarkEnd w:id="6"/>
          <w:p>
            <w:pPr>
              <w:keepNext w:val="0"/>
              <w:keepLines w:val="0"/>
              <w:suppressLineNumbers w:val="0"/>
              <w:bidi w:val="0"/>
              <w:spacing w:before="0" w:beforeAutospacing="0" w:after="0" w:afterAutospacing="0"/>
              <w:ind w:left="0" w:right="0"/>
              <w:rPr>
                <w:rFonts w:hint="eastAsia"/>
              </w:rPr>
            </w:pPr>
            <w:r>
              <w:rPr>
                <w:rFonts w:hint="eastAsia"/>
              </w:rPr>
              <w:t>通过采取上述防尘、降尘措施，尽量将施工期间产生的扬尘对周围环境</w:t>
            </w:r>
            <w:r>
              <w:rPr>
                <w:rFonts w:hint="eastAsia"/>
                <w:lang w:val="en-US" w:eastAsia="zh-CN"/>
              </w:rPr>
              <w:t>敏感目标</w:t>
            </w:r>
            <w:r>
              <w:rPr>
                <w:rFonts w:hint="eastAsia"/>
              </w:rPr>
              <w:t>的影响降到最低限度。</w:t>
            </w:r>
          </w:p>
          <w:bookmarkEnd w:id="4"/>
          <w:p>
            <w:pPr>
              <w:pStyle w:val="3"/>
              <w:keepLines w:val="0"/>
              <w:suppressLineNumbers w:val="0"/>
              <w:bidi w:val="0"/>
              <w:spacing w:before="0" w:beforeAutospacing="0" w:after="0" w:afterAutospacing="0"/>
              <w:ind w:right="0"/>
              <w:rPr>
                <w:rFonts w:hint="eastAsia"/>
              </w:rPr>
            </w:pPr>
            <w:r>
              <w:rPr>
                <w:rFonts w:hint="eastAsia"/>
                <w:lang w:val="en-US" w:eastAsia="zh-CN"/>
              </w:rPr>
              <w:t xml:space="preserve">2.2 </w:t>
            </w:r>
            <w:r>
              <w:rPr>
                <w:rFonts w:hint="eastAsia"/>
              </w:rPr>
              <w:t>燃油废气</w:t>
            </w:r>
          </w:p>
          <w:p>
            <w:pPr>
              <w:keepNext w:val="0"/>
              <w:keepLines w:val="0"/>
              <w:suppressLineNumbers w:val="0"/>
              <w:bidi w:val="0"/>
              <w:spacing w:before="0" w:beforeAutospacing="0" w:after="0" w:afterAutospacing="0"/>
              <w:ind w:left="0" w:right="0"/>
              <w:rPr>
                <w:rFonts w:hint="eastAsia"/>
                <w:lang w:val="en-US" w:eastAsia="zh-CN"/>
              </w:rPr>
            </w:pPr>
            <w:r>
              <w:rPr>
                <w:rFonts w:hint="eastAsia"/>
              </w:rPr>
              <w:t>选用符合国家有关标准</w:t>
            </w:r>
            <w:r>
              <w:rPr>
                <w:rFonts w:hint="eastAsia"/>
                <w:lang w:eastAsia="zh-CN"/>
              </w:rPr>
              <w:t>、</w:t>
            </w:r>
            <w:r>
              <w:rPr>
                <w:rFonts w:hint="eastAsia"/>
                <w:lang w:val="en-US" w:eastAsia="zh-CN"/>
              </w:rPr>
              <w:t>年检合格</w:t>
            </w:r>
            <w:r>
              <w:rPr>
                <w:rFonts w:hint="eastAsia"/>
              </w:rPr>
              <w:t>的施工机械、车辆及发电设备；加强机械、车辆和设备维护</w:t>
            </w:r>
            <w:r>
              <w:rPr>
                <w:rFonts w:hint="eastAsia"/>
                <w:lang w:eastAsia="zh-CN"/>
              </w:rPr>
              <w:t>，</w:t>
            </w:r>
            <w:r>
              <w:rPr>
                <w:rFonts w:hint="eastAsia"/>
                <w:lang w:val="en-US" w:eastAsia="zh-CN"/>
              </w:rPr>
              <w:t>确保正常运行</w:t>
            </w:r>
            <w:r>
              <w:rPr>
                <w:rFonts w:hint="eastAsia"/>
              </w:rPr>
              <w:t>；使用符合国家标准的油品。</w:t>
            </w:r>
            <w:r>
              <w:rPr>
                <w:rFonts w:hint="eastAsia"/>
                <w:lang w:val="en-US" w:eastAsia="zh-CN"/>
              </w:rPr>
              <w:t>采取以上措施后，燃油废气对环境的影响可接受。</w:t>
            </w:r>
          </w:p>
          <w:p>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3 施工期</w:t>
            </w:r>
            <w:bookmarkStart w:id="7" w:name="_Hlk161139370"/>
            <w:r>
              <w:rPr>
                <w:rFonts w:hint="eastAsia"/>
                <w:lang w:val="en-US" w:eastAsia="zh-CN"/>
              </w:rPr>
              <w:t>水环境保护措施</w:t>
            </w:r>
            <w:bookmarkEnd w:id="7"/>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w:t>
            </w:r>
            <w:r>
              <w:rPr>
                <w:rFonts w:hint="default"/>
                <w:lang w:val="en-US" w:eastAsia="zh-CN"/>
              </w:rPr>
              <w:t>严禁施工废水、车辆冲洗废水、固体废弃物等污染物排入渠道内；做好</w:t>
            </w:r>
            <w:r>
              <w:rPr>
                <w:rFonts w:hint="eastAsia"/>
                <w:lang w:val="en-US" w:eastAsia="zh-CN"/>
              </w:rPr>
              <w:t>沉淀池</w:t>
            </w:r>
            <w:r>
              <w:rPr>
                <w:rFonts w:hint="default"/>
                <w:lang w:val="en-US" w:eastAsia="zh-CN"/>
              </w:rPr>
              <w:t>的防渗，并定期进行检查维护。</w:t>
            </w:r>
          </w:p>
          <w:p>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w:t>
            </w:r>
            <w:r>
              <w:rPr>
                <w:rFonts w:hint="default"/>
                <w:lang w:val="en-US" w:eastAsia="zh-CN"/>
              </w:rPr>
              <w:t>施工过程中应严格加强对机械设备的检修和维护力度与频次，发现问题，及时解决，严格禁止运输车辆和施工机械满身油污进行施工，杜绝施工机械和运输车辆在施工过程中的跑、冒、滴、漏现象的发生。施工机械和车辆一旦出现漏油现象，应立即停止运行并进行机械维修或更换设备。</w:t>
            </w:r>
          </w:p>
          <w:p>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通过采取上述措施，本项目对水环境影响可接受。</w:t>
            </w:r>
          </w:p>
          <w:p>
            <w:pPr>
              <w:pStyle w:val="3"/>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声环境保护措施</w:t>
            </w:r>
          </w:p>
          <w:p>
            <w:pPr>
              <w:keepNext w:val="0"/>
              <w:keepLines w:val="0"/>
              <w:pageBreakBefore w:val="0"/>
              <w:suppressLineNumbers w:val="0"/>
              <w:shd w:val="clear" w:color="auto" w:fill="auto"/>
              <w:kinsoku/>
              <w:overflowPunct/>
              <w:autoSpaceDE/>
              <w:autoSpaceDN/>
              <w:bidi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（1）加强施工管理，合理安排施工作业时间，禁止夜间施工；</w:t>
            </w:r>
          </w:p>
          <w:p>
            <w:pPr>
              <w:keepNext w:val="0"/>
              <w:keepLines w:val="0"/>
              <w:pageBreakBefore w:val="0"/>
              <w:suppressLineNumbers w:val="0"/>
              <w:shd w:val="clear" w:color="auto" w:fill="auto"/>
              <w:kinsoku/>
              <w:overflowPunct/>
              <w:autoSpaceDE/>
              <w:autoSpaceDN/>
              <w:bidi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（2）为保障施工人员的工作环境，应选用低噪声施工设备，并配备耳塞等降噪设施，以减小施工噪声对施工人员的影响；</w:t>
            </w:r>
          </w:p>
          <w:p>
            <w:pPr>
              <w:keepNext w:val="0"/>
              <w:keepLines w:val="0"/>
              <w:pageBreakBefore w:val="0"/>
              <w:suppressLineNumbers w:val="0"/>
              <w:shd w:val="clear" w:color="auto" w:fill="auto"/>
              <w:kinsoku/>
              <w:overflowPunct/>
              <w:autoSpaceDE/>
              <w:autoSpaceDN/>
              <w:bidi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（3）尽可能采用低噪声的施工机械，并且注意经常维护和保养，使得施工机械设备保持运转正常，同时要定期检验设备的噪声声级，以便有效地缩小施工期的噪声影响范围；</w:t>
            </w:r>
          </w:p>
          <w:p>
            <w:pPr>
              <w:pStyle w:val="50"/>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4"/>
                <w:szCs w:val="24"/>
                <w:highlight w:val="none"/>
                <w:lang w:val="en-US" w:eastAsia="zh-CN" w:bidi="ar-SA"/>
              </w:rPr>
              <w:t>（4）施工场地应保持通道和道路畅通，控制运输车辆的车速，固定施工车辆的运输路线，经过居民区附近时应减速、限制车辆鸣笛，减少交通噪声对周边环境的影响；</w:t>
            </w:r>
          </w:p>
          <w:p>
            <w:pPr>
              <w:keepNext w:val="0"/>
              <w:keepLines w:val="0"/>
              <w:pageBreakBefore w:val="0"/>
              <w:suppressLineNumbers w:val="0"/>
              <w:shd w:val="clear" w:color="auto" w:fill="auto"/>
              <w:kinsoku/>
              <w:overflowPunct/>
              <w:autoSpaceDE/>
              <w:autoSpaceDN/>
              <w:bidi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（5）在居民区附近施工段设置隔声屏障，</w:t>
            </w:r>
            <w:r>
              <w:rPr>
                <w:rFonts w:hint="eastAsia" w:ascii="宋体" w:hAnsi="宋体" w:eastAsia="宋体" w:cs="宋体"/>
                <w:b w:val="0"/>
                <w:bCs w:val="0"/>
                <w:color w:val="auto"/>
                <w:sz w:val="24"/>
                <w:szCs w:val="24"/>
                <w:lang w:val="en-US" w:eastAsia="zh-CN"/>
              </w:rPr>
              <w:t>使用</w:t>
            </w:r>
            <w:r>
              <w:rPr>
                <w:rFonts w:hint="eastAsia" w:ascii="宋体" w:hAnsi="宋体" w:cs="宋体"/>
                <w:b w:val="0"/>
                <w:bCs w:val="0"/>
                <w:color w:val="auto"/>
                <w:sz w:val="24"/>
                <w:szCs w:val="24"/>
                <w:lang w:val="en-US" w:eastAsia="zh-CN"/>
              </w:rPr>
              <w:t>单侧薄屏障</w:t>
            </w:r>
            <w:r>
              <w:rPr>
                <w:rFonts w:hint="eastAsia" w:ascii="宋体" w:hAnsi="宋体" w:eastAsia="宋体" w:cs="宋体"/>
                <w:b w:val="0"/>
                <w:bCs w:val="0"/>
                <w:color w:val="auto"/>
                <w:sz w:val="24"/>
                <w:szCs w:val="24"/>
                <w:lang w:val="en-US" w:eastAsia="zh-CN"/>
              </w:rPr>
              <w:t>（玻璃钢材质）隔声</w:t>
            </w:r>
            <w:r>
              <w:rPr>
                <w:rFonts w:hint="eastAsia" w:cs="Times New Roman"/>
                <w:color w:val="auto"/>
                <w:kern w:val="0"/>
                <w:sz w:val="24"/>
                <w:szCs w:val="24"/>
                <w:highlight w:val="none"/>
                <w:lang w:val="en-US" w:eastAsia="zh-CN" w:bidi="ar-SA"/>
              </w:rPr>
              <w:t>，减少施工噪声</w:t>
            </w:r>
            <w:r>
              <w:rPr>
                <w:rFonts w:hint="default" w:ascii="Times New Roman" w:hAnsi="Times New Roman" w:eastAsia="宋体" w:cs="Times New Roman"/>
                <w:color w:val="auto"/>
                <w:kern w:val="0"/>
                <w:sz w:val="24"/>
                <w:szCs w:val="24"/>
                <w:highlight w:val="none"/>
                <w:lang w:val="en-US" w:eastAsia="zh-CN" w:bidi="ar-SA"/>
              </w:rPr>
              <w:t>对周边环境的影响</w:t>
            </w:r>
            <w:r>
              <w:rPr>
                <w:rFonts w:hint="eastAsia" w:cs="Times New Roman"/>
                <w:color w:val="auto"/>
                <w:kern w:val="0"/>
                <w:sz w:val="24"/>
                <w:szCs w:val="24"/>
                <w:highlight w:val="none"/>
                <w:lang w:val="en-US" w:eastAsia="zh-CN" w:bidi="ar-SA"/>
              </w:rPr>
              <w:t>；</w:t>
            </w:r>
          </w:p>
          <w:p>
            <w:pPr>
              <w:keepNext w:val="0"/>
              <w:keepLines w:val="0"/>
              <w:pageBreakBefore w:val="0"/>
              <w:suppressLineNumbers w:val="0"/>
              <w:shd w:val="clear" w:color="auto" w:fill="auto"/>
              <w:kinsoku/>
              <w:overflowPunct/>
              <w:autoSpaceDE/>
              <w:autoSpaceDN/>
              <w:bidi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w:t>
            </w:r>
            <w:r>
              <w:rPr>
                <w:rFonts w:hint="default" w:ascii="Times New Roman" w:hAnsi="Times New Roman" w:eastAsia="宋体" w:cs="Times New Roman"/>
                <w:color w:val="auto"/>
                <w:kern w:val="0"/>
                <w:sz w:val="24"/>
                <w:szCs w:val="24"/>
                <w:highlight w:val="none"/>
                <w:lang w:val="en-US" w:eastAsia="zh-CN" w:bidi="ar-SA"/>
              </w:rPr>
              <w:t>在施工过程中，通过使用低噪声机械设备，增加消声减噪装置及加强对施工人员的监督和管理等措施控制施工噪声。</w:t>
            </w:r>
          </w:p>
          <w:p>
            <w:pPr>
              <w:keepNext w:val="0"/>
              <w:keepLines w:val="0"/>
              <w:pageBreakBefore w:val="0"/>
              <w:suppressLineNumbers w:val="0"/>
              <w:shd w:val="clear" w:color="auto" w:fill="auto"/>
              <w:kinsoku/>
              <w:overflowPunct/>
              <w:autoSpaceDE/>
              <w:autoSpaceDN/>
              <w:bidi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宋体" w:hAnsi="宋体" w:eastAsia="宋体" w:cs="宋体"/>
                <w:color w:val="auto"/>
                <w:sz w:val="24"/>
                <w:szCs w:val="24"/>
              </w:rPr>
              <w:t>通过采取上述</w:t>
            </w:r>
            <w:r>
              <w:rPr>
                <w:rFonts w:hint="eastAsia" w:ascii="宋体" w:hAnsi="宋体" w:cs="宋体"/>
                <w:color w:val="auto"/>
                <w:sz w:val="24"/>
                <w:szCs w:val="24"/>
                <w:lang w:val="en-US" w:eastAsia="zh-CN"/>
              </w:rPr>
              <w:t>降噪</w:t>
            </w:r>
            <w:r>
              <w:rPr>
                <w:rFonts w:hint="eastAsia" w:ascii="宋体" w:hAnsi="宋体" w:eastAsia="宋体" w:cs="宋体"/>
                <w:color w:val="auto"/>
                <w:sz w:val="24"/>
                <w:szCs w:val="24"/>
              </w:rPr>
              <w:t>措施，尽量将施工期间产生的</w:t>
            </w:r>
            <w:r>
              <w:rPr>
                <w:rFonts w:hint="eastAsia" w:ascii="宋体" w:hAnsi="宋体" w:cs="宋体"/>
                <w:color w:val="auto"/>
                <w:sz w:val="24"/>
                <w:szCs w:val="24"/>
                <w:lang w:val="en-US" w:eastAsia="zh-CN"/>
              </w:rPr>
              <w:t>噪声</w:t>
            </w:r>
            <w:r>
              <w:rPr>
                <w:rFonts w:hint="eastAsia" w:ascii="宋体" w:hAnsi="宋体" w:eastAsia="宋体" w:cs="宋体"/>
                <w:color w:val="auto"/>
                <w:sz w:val="24"/>
                <w:szCs w:val="24"/>
              </w:rPr>
              <w:t>对周围环境</w:t>
            </w:r>
            <w:r>
              <w:rPr>
                <w:rFonts w:hint="eastAsia" w:cs="宋体"/>
                <w:color w:val="auto"/>
                <w:sz w:val="24"/>
                <w:szCs w:val="24"/>
                <w:lang w:val="en-US" w:eastAsia="zh-CN"/>
              </w:rPr>
              <w:t>敏感目标</w:t>
            </w:r>
            <w:r>
              <w:rPr>
                <w:rFonts w:hint="eastAsia" w:ascii="宋体" w:hAnsi="宋体" w:eastAsia="宋体" w:cs="宋体"/>
                <w:color w:val="auto"/>
                <w:sz w:val="24"/>
                <w:szCs w:val="24"/>
              </w:rPr>
              <w:t>的影响降到最低限度</w:t>
            </w:r>
            <w:r>
              <w:rPr>
                <w:rFonts w:hint="eastAsia" w:ascii="宋体" w:hAnsi="宋体" w:cs="宋体"/>
                <w:color w:val="auto"/>
                <w:sz w:val="24"/>
                <w:szCs w:val="24"/>
                <w:lang w:eastAsia="zh-CN"/>
              </w:rPr>
              <w:t>，</w:t>
            </w:r>
            <w:r>
              <w:rPr>
                <w:rFonts w:hint="default" w:ascii="Times New Roman" w:hAnsi="Times New Roman" w:eastAsia="宋体" w:cs="Times New Roman"/>
                <w:color w:val="auto"/>
                <w:kern w:val="0"/>
                <w:sz w:val="24"/>
                <w:szCs w:val="24"/>
                <w:highlight w:val="none"/>
                <w:lang w:val="en-US" w:eastAsia="zh-CN" w:bidi="ar-SA"/>
              </w:rPr>
              <w:t>施工噪声对环境的影响已随施工的结束而消失。</w:t>
            </w:r>
          </w:p>
          <w:p>
            <w:pPr>
              <w:pStyle w:val="3"/>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固体废物保护措施</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2" w:firstLineChars="200"/>
              <w:rPr>
                <w:rFonts w:hint="default" w:ascii="Times New Roman" w:hAnsi="Times New Roman" w:eastAsia="宋体" w:cs="Times New Roman"/>
                <w:b/>
                <w:color w:val="auto"/>
                <w:sz w:val="24"/>
                <w:szCs w:val="24"/>
                <w:highlight w:val="none"/>
                <w:lang w:val="zh-CN"/>
              </w:rPr>
            </w:pPr>
            <w:r>
              <w:rPr>
                <w:rFonts w:hint="default" w:ascii="Times New Roman" w:hAnsi="Times New Roman" w:eastAsia="宋体" w:cs="Times New Roman"/>
                <w:b/>
                <w:color w:val="auto"/>
                <w:sz w:val="24"/>
                <w:szCs w:val="24"/>
                <w:highlight w:val="none"/>
              </w:rPr>
              <w:t>5</w:t>
            </w:r>
            <w:r>
              <w:rPr>
                <w:rFonts w:hint="default" w:ascii="Times New Roman" w:hAnsi="Times New Roman" w:eastAsia="宋体" w:cs="Times New Roman"/>
                <w:b/>
                <w:color w:val="auto"/>
                <w:sz w:val="24"/>
                <w:szCs w:val="24"/>
                <w:highlight w:val="none"/>
                <w:lang w:val="zh-CN"/>
              </w:rPr>
              <w:t>.1</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lang w:val="zh-CN"/>
              </w:rPr>
              <w:t>建筑垃圾防治措施</w:t>
            </w:r>
          </w:p>
          <w:p>
            <w:pPr>
              <w:keepNext w:val="0"/>
              <w:keepLines w:val="0"/>
              <w:suppressLineNumbers w:val="0"/>
              <w:bidi w:val="0"/>
              <w:spacing w:before="0" w:beforeAutospacing="0" w:after="0" w:afterAutospacing="0"/>
              <w:ind w:left="0" w:right="0"/>
              <w:rPr>
                <w:rFonts w:hint="eastAsia" w:eastAsia="宋体"/>
                <w:highlight w:val="yellow"/>
                <w:lang w:eastAsia="zh-CN"/>
              </w:rPr>
            </w:pPr>
            <w:r>
              <w:rPr>
                <w:rFonts w:hint="default"/>
              </w:rPr>
              <w:t>拆除</w:t>
            </w:r>
            <w:r>
              <w:rPr>
                <w:rFonts w:hint="default"/>
                <w:lang w:val="en-US" w:eastAsia="zh-CN"/>
              </w:rPr>
              <w:t>产生的废混凝土、混凝土施工废渣、</w:t>
            </w:r>
            <w:r>
              <w:rPr>
                <w:rFonts w:hint="default"/>
              </w:rPr>
              <w:t>废模板</w:t>
            </w:r>
            <w:r>
              <w:rPr>
                <w:rFonts w:hint="default"/>
                <w:lang w:eastAsia="zh-CN"/>
              </w:rPr>
              <w:t>、</w:t>
            </w:r>
            <w:r>
              <w:rPr>
                <w:rFonts w:hint="default"/>
                <w:lang w:val="en-US" w:eastAsia="zh-CN"/>
              </w:rPr>
              <w:t>沉淀池底泥等建筑垃圾</w:t>
            </w:r>
            <w:r>
              <w:rPr>
                <w:rFonts w:hint="default"/>
              </w:rPr>
              <w:t>清运至</w:t>
            </w:r>
            <w:r>
              <w:rPr>
                <w:rFonts w:hint="default"/>
                <w:lang w:val="en-US" w:eastAsia="zh-CN"/>
              </w:rPr>
              <w:t>市政环卫主管部门指定地点</w:t>
            </w:r>
            <w:r>
              <w:rPr>
                <w:rFonts w:hint="default"/>
              </w:rPr>
              <w:t>填埋处置</w:t>
            </w:r>
            <w:r>
              <w:rPr>
                <w:rFonts w:hint="eastAsia"/>
                <w:lang w:eastAsia="zh-CN"/>
              </w:rPr>
              <w:t>，</w:t>
            </w:r>
            <w:r>
              <w:rPr>
                <w:rFonts w:hint="eastAsia"/>
                <w:lang w:val="en-US" w:eastAsia="zh-CN"/>
              </w:rPr>
              <w:t>胶桶返还商家重复利用。</w:t>
            </w:r>
            <w:r>
              <w:rPr>
                <w:rFonts w:hint="default"/>
              </w:rPr>
              <w:t>施工结束后确保现场建筑垃圾清理完毕无遗留。</w:t>
            </w:r>
            <w:r>
              <w:rPr>
                <w:rFonts w:hint="eastAsia"/>
                <w:lang w:val="en-US" w:eastAsia="zh-CN"/>
              </w:rPr>
              <w:t>清基、开挖过程产生的开挖土石方直接用于填筑渠堤，弃方沿渠道边铺平。</w:t>
            </w:r>
          </w:p>
          <w:p>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5.2 生活垃圾防治措施</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本项目施工人员均来自附近乡镇，不设置临时生活区，产生的生活垃圾由乡镇环卫部门统一收集。</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highlight w:val="none"/>
                <w:lang w:val="en-US" w:eastAsia="zh-CN"/>
              </w:rPr>
              <w:t>通过</w:t>
            </w:r>
            <w:r>
              <w:rPr>
                <w:rFonts w:hint="default" w:ascii="Times New Roman" w:hAnsi="Times New Roman" w:eastAsia="宋体" w:cs="Times New Roman"/>
                <w:color w:val="auto"/>
                <w:sz w:val="24"/>
                <w:szCs w:val="24"/>
                <w:highlight w:val="none"/>
              </w:rPr>
              <w:t>加强管理，及时清运，随着施工期的结束，施工固体废物对环境的影响将随之消失，不会对环境产生长期影响。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6</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lang w:val="en-US" w:eastAsia="zh-CN"/>
              </w:rPr>
              <w:t>施工期</w:t>
            </w:r>
            <w:r>
              <w:rPr>
                <w:rFonts w:hint="default" w:ascii="Times New Roman" w:hAnsi="Times New Roman" w:eastAsia="宋体" w:cs="Times New Roman"/>
                <w:b/>
                <w:color w:val="auto"/>
                <w:sz w:val="24"/>
                <w:szCs w:val="24"/>
                <w:highlight w:val="none"/>
              </w:rPr>
              <w:t>环境管理</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项目建设单位应设立专职环境管理人员，对施工期环境进行管理，环境管理内容如下：</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施工现场环境管理：对施工现场进行环境管理，包括噪声、粉尘、废气、废水等的控制和处理，以减少对周边环境的影响。同时，对施工现场进行垃圾分类、回收和处理，确保施工现场的环境卫生。</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生态保护管理：对施工期间可能影响到的生态环境进行保护，包括对野生动植物、水资源、土壤等的保护。通过采取生态修复、植树造林等措施，促进施工区域的生态环境恢复和改善。</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水土保持管理：对施工期间可能影响到的水土保持进行管理，防止因施工而导致的水土流失和地质灾害等问题。</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安全管理：对施工现场的安全进行管理，包括对工人的安全教育、安全防护设施的设置、施工现场的安全检查等</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确保施工现场的安全生产。</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社会管理：对施工期间可能影响到的社会环境进行管理，包括对周边居民的影响、对交通的影响等。</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通过以上措施，</w:t>
            </w:r>
            <w:r>
              <w:rPr>
                <w:rFonts w:hint="default" w:ascii="Times New Roman" w:hAnsi="Times New Roman" w:eastAsia="宋体" w:cs="Times New Roman"/>
                <w:color w:val="auto"/>
                <w:kern w:val="0"/>
                <w:sz w:val="24"/>
                <w:szCs w:val="24"/>
                <w:highlight w:val="none"/>
              </w:rPr>
              <w:t>明确责任，确保环保、水保措施</w:t>
            </w:r>
            <w:r>
              <w:rPr>
                <w:rFonts w:hint="default" w:ascii="Times New Roman" w:hAnsi="Times New Roman" w:eastAsia="宋体" w:cs="Times New Roman"/>
                <w:color w:val="auto"/>
                <w:kern w:val="0"/>
                <w:sz w:val="24"/>
                <w:szCs w:val="24"/>
                <w:highlight w:val="none"/>
                <w:lang w:val="en-US" w:eastAsia="zh-CN"/>
              </w:rPr>
              <w:t>的</w:t>
            </w:r>
            <w:r>
              <w:rPr>
                <w:rFonts w:hint="default" w:ascii="Times New Roman" w:hAnsi="Times New Roman" w:eastAsia="宋体" w:cs="Times New Roman"/>
                <w:color w:val="auto"/>
                <w:kern w:val="0"/>
                <w:sz w:val="24"/>
                <w:szCs w:val="24"/>
                <w:highlight w:val="none"/>
              </w:rPr>
              <w:t>有效实施</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本项目施工期未发生环境事故，</w:t>
            </w:r>
            <w:r>
              <w:rPr>
                <w:rFonts w:hint="default" w:ascii="Times New Roman" w:hAnsi="Times New Roman" w:eastAsia="宋体" w:cs="Times New Roman"/>
                <w:color w:val="auto"/>
                <w:sz w:val="24"/>
                <w:szCs w:val="24"/>
                <w:highlight w:val="none"/>
                <w:lang w:val="en-US" w:eastAsia="zh-CN"/>
              </w:rPr>
              <w:t>根据现场踏勘情况，</w:t>
            </w:r>
            <w:r>
              <w:rPr>
                <w:rFonts w:hint="default" w:ascii="Times New Roman" w:hAnsi="Times New Roman" w:eastAsia="宋体" w:cs="Times New Roman"/>
                <w:color w:val="auto"/>
                <w:kern w:val="0"/>
                <w:sz w:val="24"/>
                <w:szCs w:val="24"/>
                <w:highlight w:val="none"/>
                <w:lang w:val="en-US" w:eastAsia="zh-CN"/>
              </w:rPr>
              <w:t>施工期对环境的影响已随施工期结束而结束。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pacing w:val="10"/>
                <w:sz w:val="21"/>
                <w:szCs w:val="21"/>
              </w:rPr>
            </w:pPr>
            <w:r>
              <w:rPr>
                <w:rFonts w:hint="default" w:ascii="Times New Roman" w:hAnsi="Times New Roman" w:eastAsia="宋体" w:cs="Times New Roman"/>
                <w:bCs/>
                <w:color w:val="auto"/>
                <w:spacing w:val="10"/>
                <w:sz w:val="21"/>
                <w:szCs w:val="21"/>
              </w:rPr>
              <w:t>运营期生态环境保护措施</w:t>
            </w:r>
          </w:p>
        </w:tc>
        <w:tc>
          <w:tcPr>
            <w:tcW w:w="8457" w:type="dxa"/>
            <w:noWrap w:val="0"/>
            <w:vAlign w:val="top"/>
          </w:tcPr>
          <w:p>
            <w:pPr>
              <w:pStyle w:val="3"/>
              <w:keepLines w:val="0"/>
              <w:suppressLineNumbers w:val="0"/>
              <w:bidi w:val="0"/>
              <w:spacing w:before="0" w:beforeAutospacing="0" w:after="0" w:afterAutospacing="0"/>
              <w:ind w:right="0"/>
              <w:rPr>
                <w:rFonts w:hint="default"/>
              </w:rPr>
            </w:pPr>
            <w:r>
              <w:rPr>
                <w:rFonts w:hint="default"/>
              </w:rPr>
              <w:t>1</w:t>
            </w:r>
            <w:r>
              <w:rPr>
                <w:rFonts w:hint="eastAsia"/>
                <w:lang w:val="en-US" w:eastAsia="zh-CN"/>
              </w:rPr>
              <w:t xml:space="preserve"> </w:t>
            </w:r>
            <w:r>
              <w:rPr>
                <w:rFonts w:hint="default"/>
              </w:rPr>
              <w:t>环境保护措施</w:t>
            </w:r>
          </w:p>
          <w:p>
            <w:pPr>
              <w:keepNext w:val="0"/>
              <w:keepLines w:val="0"/>
              <w:suppressLineNumbers w:val="0"/>
              <w:bidi w:val="0"/>
              <w:spacing w:before="0" w:beforeAutospacing="0" w:after="0" w:afterAutospacing="0"/>
              <w:ind w:left="0" w:right="0"/>
              <w:rPr>
                <w:rFonts w:hint="default"/>
              </w:rPr>
            </w:pPr>
            <w:r>
              <w:rPr>
                <w:rFonts w:hint="default"/>
              </w:rPr>
              <w:t>本工程渠道及渠系</w:t>
            </w:r>
            <w:r>
              <w:rPr>
                <w:rFonts w:hint="eastAsia"/>
                <w:lang w:eastAsia="zh-CN"/>
              </w:rPr>
              <w:t>构筑物</w:t>
            </w:r>
            <w:r>
              <w:rPr>
                <w:rFonts w:hint="default"/>
              </w:rPr>
              <w:t>运行过程中基本不会产生废水，对环境影响不大，因此本次只提出相应管理措施。</w:t>
            </w:r>
          </w:p>
          <w:p>
            <w:pPr>
              <w:keepNext w:val="0"/>
              <w:keepLines w:val="0"/>
              <w:pageBreakBefore w:val="0"/>
              <w:widowControl w:val="0"/>
              <w:suppressLineNumbers w:val="0"/>
              <w:tabs>
                <w:tab w:val="left" w:pos="3150"/>
              </w:tabs>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（1）严禁一切污染物直接排入渠道。</w:t>
            </w:r>
          </w:p>
          <w:p>
            <w:pPr>
              <w:keepNext w:val="0"/>
              <w:keepLines w:val="0"/>
              <w:pageBreakBefore w:val="0"/>
              <w:widowControl w:val="0"/>
              <w:suppressLineNumbers w:val="0"/>
              <w:tabs>
                <w:tab w:val="left" w:pos="3150"/>
              </w:tabs>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（2）做好渠道水质防护工作，定期安排人员进行水质监测。</w:t>
            </w:r>
          </w:p>
          <w:p>
            <w:pPr>
              <w:keepNext w:val="0"/>
              <w:keepLines w:val="0"/>
              <w:pageBreakBefore w:val="0"/>
              <w:widowControl w:val="0"/>
              <w:suppressLineNumbers w:val="0"/>
              <w:tabs>
                <w:tab w:val="left" w:pos="3150"/>
              </w:tabs>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（3）加强对渠道沿线地下水的监测工作。</w:t>
            </w:r>
          </w:p>
          <w:p>
            <w:pPr>
              <w:keepNext w:val="0"/>
              <w:keepLines w:val="0"/>
              <w:pageBreakBefore w:val="0"/>
              <w:widowControl w:val="0"/>
              <w:suppressLineNumbers w:val="0"/>
              <w:tabs>
                <w:tab w:val="left" w:pos="3150"/>
              </w:tabs>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（4）加强水量控制工作，确保本工程保质保量完成节余水量。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（5）加强灌区化肥、农药施用的监督管理。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2生态保护措施</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工程运行后，各项</w:t>
            </w:r>
            <w:r>
              <w:rPr>
                <w:rFonts w:hint="eastAsia" w:ascii="Times New Roman" w:hAnsi="Times New Roman" w:eastAsia="宋体" w:cs="Times New Roman"/>
                <w:color w:val="auto"/>
                <w:sz w:val="24"/>
                <w:szCs w:val="24"/>
                <w:highlight w:val="none"/>
                <w:lang w:val="en-US" w:eastAsia="zh-CN"/>
              </w:rPr>
              <w:t>迹地恢复</w:t>
            </w:r>
            <w:r>
              <w:rPr>
                <w:rFonts w:hint="default" w:ascii="Times New Roman" w:hAnsi="Times New Roman" w:eastAsia="宋体" w:cs="Times New Roman"/>
                <w:color w:val="auto"/>
                <w:sz w:val="24"/>
                <w:szCs w:val="24"/>
                <w:highlight w:val="none"/>
              </w:rPr>
              <w:t>、水土保持措施的实施将有效减少工程区的水土流失，增加项目区的绿地面积和植被覆盖率，项目区的生态环境将有一定的改善和提高。此外，还需通过以下措施提高项目生态环境质量：</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80" w:lineRule="exact"/>
              <w:ind w:left="0" w:leftChars="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sz w:val="24"/>
                <w:szCs w:val="24"/>
                <w:highlight w:val="none"/>
              </w:rPr>
              <w:t>加强宣传教育，提高村民环境保护意识，加强对绿化工程的管理与抚育，防火、防虫，禁止砍伐作业范围外沿线栽植的树木，禁止破坏渠道以外的耕地、草地。</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480" w:lineRule="exact"/>
              <w:ind w:left="0" w:leftChars="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sz w:val="24"/>
                <w:szCs w:val="24"/>
                <w:highlight w:val="none"/>
              </w:rPr>
              <w:t>加强对周边区域生态环境实地监控，及时发现不良地质隐患工点，采取防治措施以杜绝地质灾害的发生。</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项目管理上严格执行</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三条红线</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的地表水指标水量，严禁超指标引水。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shd w:val="clear" w:color="auto" w:fill="auto"/>
            <w:noWrap w:val="0"/>
            <w:tcMar>
              <w:left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pacing w:val="10"/>
                <w:kern w:val="2"/>
                <w:sz w:val="24"/>
                <w:szCs w:val="21"/>
                <w:lang w:val="en-US" w:eastAsia="zh-CN" w:bidi="ar-SA"/>
              </w:rPr>
            </w:pPr>
            <w:r>
              <w:rPr>
                <w:rFonts w:hint="default" w:ascii="Times New Roman" w:hAnsi="Times New Roman" w:eastAsia="宋体" w:cs="Times New Roman"/>
                <w:bCs/>
                <w:color w:val="auto"/>
                <w:spacing w:val="10"/>
                <w:sz w:val="21"/>
                <w:szCs w:val="21"/>
              </w:rPr>
              <w:t>其他</w:t>
            </w:r>
          </w:p>
        </w:tc>
        <w:tc>
          <w:tcPr>
            <w:tcW w:w="8457" w:type="dxa"/>
            <w:shd w:val="clear" w:color="auto" w:fill="auto"/>
            <w:noWrap w:val="0"/>
            <w:vAlign w:val="center"/>
          </w:tcPr>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jc w:val="center"/>
              <w:rPr>
                <w:rFonts w:hint="default" w:ascii="Times New Roman" w:hAnsi="Times New Roman" w:eastAsia="宋体" w:cs="Times New Roman"/>
                <w:bCs/>
                <w:color w:val="auto"/>
                <w:spacing w:val="10"/>
                <w:kern w:val="2"/>
                <w:sz w:val="24"/>
                <w:szCs w:val="21"/>
                <w:lang w:val="en-US" w:eastAsia="zh-CN" w:bidi="ar-SA"/>
              </w:rPr>
            </w:pPr>
            <w:r>
              <w:rPr>
                <w:rFonts w:hint="default" w:ascii="Times New Roman" w:hAnsi="Times New Roman" w:cs="Times New Roman"/>
                <w:bCs/>
                <w:color w:val="auto"/>
                <w:spacing w:val="1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1" w:hRule="atLeast"/>
          <w:jc w:val="center"/>
        </w:trPr>
        <w:tc>
          <w:tcPr>
            <w:tcW w:w="753"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pacing w:val="10"/>
                <w:kern w:val="2"/>
                <w:sz w:val="24"/>
                <w:szCs w:val="21"/>
                <w:lang w:val="en-US" w:eastAsia="zh-CN" w:bidi="ar-SA"/>
              </w:rPr>
            </w:pPr>
            <w:r>
              <w:rPr>
                <w:rFonts w:hint="default" w:ascii="Times New Roman" w:hAnsi="Times New Roman" w:eastAsia="宋体" w:cs="Times New Roman"/>
                <w:bCs/>
                <w:color w:val="auto"/>
                <w:spacing w:val="10"/>
                <w:sz w:val="21"/>
                <w:szCs w:val="21"/>
              </w:rPr>
              <w:t>环保投资</w:t>
            </w:r>
          </w:p>
        </w:tc>
        <w:tc>
          <w:tcPr>
            <w:tcW w:w="8457" w:type="dxa"/>
            <w:shd w:val="clear" w:color="auto" w:fill="auto"/>
            <w:noWrap w:val="0"/>
            <w:vAlign w:val="top"/>
          </w:tcPr>
          <w:p>
            <w:pPr>
              <w:keepNext w:val="0"/>
              <w:keepLines w:val="0"/>
              <w:suppressLineNumbers w:val="0"/>
              <w:bidi w:val="0"/>
              <w:spacing w:before="0" w:beforeAutospacing="0" w:after="0" w:afterAutospacing="0"/>
              <w:ind w:left="0" w:right="0"/>
              <w:rPr>
                <w:rFonts w:hint="default"/>
              </w:rPr>
            </w:pPr>
            <w:r>
              <w:rPr>
                <w:rFonts w:hint="default"/>
              </w:rPr>
              <w:t>本项目总投资</w:t>
            </w:r>
            <w:r>
              <w:rPr>
                <w:rFonts w:hint="eastAsia"/>
                <w:lang w:val="en-US" w:eastAsia="zh-CN"/>
              </w:rPr>
              <w:t>252</w:t>
            </w:r>
            <w:r>
              <w:rPr>
                <w:rFonts w:hint="default"/>
              </w:rPr>
              <w:t>万元，环保措施投资估算合计</w:t>
            </w:r>
            <w:r>
              <w:rPr>
                <w:rFonts w:hint="eastAsia"/>
                <w:lang w:val="en-US" w:eastAsia="zh-CN"/>
              </w:rPr>
              <w:t>13.6</w:t>
            </w:r>
            <w:r>
              <w:rPr>
                <w:rFonts w:hint="default"/>
              </w:rPr>
              <w:t>万元，占总投资的</w:t>
            </w:r>
            <w:r>
              <w:rPr>
                <w:rFonts w:hint="eastAsia"/>
                <w:lang w:val="en-US" w:eastAsia="zh-CN"/>
              </w:rPr>
              <w:t>5.4</w:t>
            </w:r>
            <w:r>
              <w:rPr>
                <w:rFonts w:hint="default"/>
              </w:rPr>
              <w:t>%，环</w:t>
            </w:r>
            <w:r>
              <w:rPr>
                <w:rFonts w:hint="default"/>
                <w:lang w:val="en-US" w:eastAsia="zh-CN"/>
              </w:rPr>
              <w:t>保</w:t>
            </w:r>
            <w:r>
              <w:rPr>
                <w:rFonts w:hint="default"/>
              </w:rPr>
              <w:t>投资见</w:t>
            </w:r>
            <w:r>
              <w:rPr>
                <w:rFonts w:hint="default"/>
                <w:lang w:val="en-US" w:eastAsia="zh-CN"/>
              </w:rPr>
              <w:t>下</w:t>
            </w:r>
            <w:r>
              <w:rPr>
                <w:rFonts w:hint="default"/>
              </w:rPr>
              <w:t>表。</w:t>
            </w:r>
          </w:p>
          <w:p>
            <w:pPr>
              <w:pStyle w:val="52"/>
              <w:keepNext w:val="0"/>
              <w:keepLines w:val="0"/>
              <w:pageBreakBefore w:val="0"/>
              <w:widowControl w:val="0"/>
              <w:suppressLineNumbers w:val="0"/>
              <w:kinsoku/>
              <w:wordWrap/>
              <w:overflowPunct/>
              <w:topLinePunct w:val="0"/>
              <w:autoSpaceDE/>
              <w:autoSpaceDN/>
              <w:bidi w:val="0"/>
              <w:snapToGrid/>
              <w:spacing w:before="0" w:beforeAutospacing="0" w:after="0" w:afterAutospacing="0" w:line="48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环保投资估算一览表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5"/>
              <w:gridCol w:w="1372"/>
              <w:gridCol w:w="1779"/>
              <w:gridCol w:w="2190"/>
              <w:gridCol w:w="20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495"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时期</w:t>
                  </w:r>
                </w:p>
              </w:tc>
              <w:tc>
                <w:tcPr>
                  <w:tcW w:w="834"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治理项目</w:t>
                  </w: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内容</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环保措施主要内容</w:t>
                  </w:r>
                </w:p>
              </w:tc>
              <w:tc>
                <w:tcPr>
                  <w:tcW w:w="1259"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施工期</w:t>
                  </w:r>
                </w:p>
              </w:tc>
              <w:tc>
                <w:tcPr>
                  <w:tcW w:w="834" w:type="pct"/>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扬尘防治</w:t>
                  </w: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车辆运输</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篷布苫盖</w:t>
                  </w:r>
                  <w:r>
                    <w:rPr>
                      <w:rFonts w:hint="eastAsia"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洒水</w:t>
                  </w:r>
                </w:p>
              </w:tc>
              <w:tc>
                <w:tcPr>
                  <w:tcW w:w="1259" w:type="pct"/>
                  <w:noWrap/>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834"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物料堆存</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lang w:val="en-US"/>
                    </w:rPr>
                  </w:pPr>
                  <w:r>
                    <w:rPr>
                      <w:rFonts w:hint="eastAsia" w:ascii="Times New Roman" w:hAnsi="Times New Roman" w:cs="Times New Roman"/>
                      <w:color w:val="auto"/>
                      <w:kern w:val="0"/>
                      <w:sz w:val="21"/>
                      <w:szCs w:val="21"/>
                      <w:highlight w:val="none"/>
                      <w:lang w:val="en-US" w:eastAsia="zh-CN"/>
                    </w:rPr>
                    <w:t>防尘网覆盖、洒水</w:t>
                  </w:r>
                </w:p>
              </w:tc>
              <w:tc>
                <w:tcPr>
                  <w:tcW w:w="1259" w:type="pct"/>
                  <w:noWrap/>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834"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噪声防治</w:t>
                  </w: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施工噪声</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设备消声、减振等</w:t>
                  </w:r>
                </w:p>
              </w:tc>
              <w:tc>
                <w:tcPr>
                  <w:tcW w:w="1259" w:type="pct"/>
                  <w:noWrap/>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834" w:type="pct"/>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废水处理</w:t>
                  </w: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生活污水</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依托居民区现有设施</w:t>
                  </w:r>
                </w:p>
              </w:tc>
              <w:tc>
                <w:tcPr>
                  <w:tcW w:w="1259" w:type="pct"/>
                  <w:noWrap/>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834"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生产废水</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沉淀池</w:t>
                  </w:r>
                </w:p>
              </w:tc>
              <w:tc>
                <w:tcPr>
                  <w:tcW w:w="1259" w:type="pct"/>
                  <w:noWrap/>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26"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834" w:type="pct"/>
                  <w:vMerge w:val="restar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固废防治</w:t>
                  </w: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default" w:cs="Times New Roman"/>
                      <w:color w:val="auto"/>
                      <w:kern w:val="0"/>
                      <w:sz w:val="21"/>
                      <w:szCs w:val="21"/>
                      <w:highlight w:val="none"/>
                      <w:lang w:val="en-US" w:eastAsia="zh-CN"/>
                    </w:rPr>
                    <w:t>建筑垃圾</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统一清运至政府指定地点</w:t>
                  </w:r>
                </w:p>
              </w:tc>
              <w:tc>
                <w:tcPr>
                  <w:tcW w:w="1259" w:type="pct"/>
                  <w:noWrap/>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834"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p>
              </w:tc>
              <w:tc>
                <w:tcPr>
                  <w:tcW w:w="108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生活垃圾</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垃圾清运车</w:t>
                  </w:r>
                </w:p>
              </w:tc>
              <w:tc>
                <w:tcPr>
                  <w:tcW w:w="1259" w:type="pct"/>
                  <w:noWrap/>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915" w:type="pct"/>
                  <w:gridSpan w:val="2"/>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生态恢复、水土保持</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覆土回填、</w:t>
                  </w:r>
                  <w:r>
                    <w:rPr>
                      <w:rFonts w:hint="default" w:ascii="Times New Roman" w:hAnsi="Times New Roman" w:cs="Times New Roman"/>
                      <w:color w:val="auto"/>
                      <w:kern w:val="0"/>
                      <w:sz w:val="21"/>
                      <w:szCs w:val="21"/>
                      <w:highlight w:val="none"/>
                      <w:lang w:val="en-US" w:eastAsia="zh-CN"/>
                    </w:rPr>
                    <w:t>植被恢复、土地平整</w:t>
                  </w:r>
                  <w:r>
                    <w:rPr>
                      <w:rFonts w:hint="default" w:ascii="Times New Roman" w:hAnsi="Times New Roman" w:cs="Times New Roman"/>
                      <w:color w:val="auto"/>
                      <w:kern w:val="0"/>
                      <w:sz w:val="21"/>
                      <w:szCs w:val="21"/>
                      <w:highlight w:val="none"/>
                    </w:rPr>
                    <w:t>，水保警示牌</w:t>
                  </w:r>
                </w:p>
              </w:tc>
              <w:tc>
                <w:tcPr>
                  <w:tcW w:w="1259"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由水土保持方案进行核算，环评中不进行重复计列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495" w:type="pct"/>
                  <w:vMerge w:val="continue"/>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915" w:type="pct"/>
                  <w:gridSpan w:val="2"/>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环境管理与监测</w:t>
                  </w:r>
                </w:p>
              </w:tc>
              <w:tc>
                <w:tcPr>
                  <w:tcW w:w="1330" w:type="pct"/>
                  <w:noWrap w:val="0"/>
                  <w:vAlign w:val="center"/>
                </w:tcPr>
                <w:p>
                  <w:pPr>
                    <w:pStyle w:val="50"/>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240" w:lineRule="auto"/>
                    <w:ind w:left="0" w:right="0" w:rightChars="0" w:firstLine="0" w:firstLineChars="0"/>
                    <w:jc w:val="center"/>
                    <w:textAlignment w:val="auto"/>
                    <w:rPr>
                      <w:rFonts w:hint="default" w:ascii="Times New Roman" w:hAnsi="Times New Roman" w:cs="Times New Roman"/>
                      <w:color w:val="auto"/>
                      <w:kern w:val="0"/>
                      <w:sz w:val="21"/>
                      <w:szCs w:val="21"/>
                      <w:highlight w:val="none"/>
                      <w:lang w:val="en-US"/>
                    </w:rPr>
                  </w:pPr>
                  <w:r>
                    <w:rPr>
                      <w:rFonts w:hint="default" w:ascii="Times New Roman" w:hAnsi="Times New Roman" w:eastAsia="宋体" w:cs="Times New Roman"/>
                      <w:color w:val="auto"/>
                      <w:sz w:val="21"/>
                      <w:szCs w:val="21"/>
                      <w:vertAlign w:val="baseline"/>
                      <w:lang w:val="en-US" w:eastAsia="zh-CN"/>
                    </w:rPr>
                    <w:t>加强员工环保培训，设立环保宣传牌</w:t>
                  </w:r>
                </w:p>
              </w:tc>
              <w:tc>
                <w:tcPr>
                  <w:tcW w:w="1259"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95"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运营期</w:t>
                  </w:r>
                </w:p>
              </w:tc>
              <w:tc>
                <w:tcPr>
                  <w:tcW w:w="1915" w:type="pct"/>
                  <w:gridSpan w:val="2"/>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kern w:val="0"/>
                      <w:sz w:val="21"/>
                      <w:szCs w:val="21"/>
                      <w:highlight w:val="none"/>
                      <w:lang w:val="en-US" w:eastAsia="zh-CN"/>
                    </w:rPr>
                    <w:t>/</w:t>
                  </w:r>
                </w:p>
              </w:tc>
              <w:tc>
                <w:tcPr>
                  <w:tcW w:w="1330"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vertAlign w:val="baseline"/>
                      <w:lang w:val="en-US" w:eastAsia="zh-CN"/>
                    </w:rPr>
                    <w:t>加强管</w:t>
                  </w:r>
                  <w:r>
                    <w:rPr>
                      <w:rFonts w:hint="eastAsia" w:cs="Times New Roman"/>
                      <w:color w:val="auto"/>
                      <w:sz w:val="21"/>
                      <w:szCs w:val="21"/>
                      <w:vertAlign w:val="baseline"/>
                      <w:lang w:val="en-US" w:eastAsia="zh-CN"/>
                    </w:rPr>
                    <w:t>理和</w:t>
                  </w:r>
                  <w:r>
                    <w:rPr>
                      <w:rFonts w:hint="default" w:ascii="Times New Roman" w:hAnsi="Times New Roman" w:eastAsia="宋体" w:cs="Times New Roman"/>
                      <w:color w:val="auto"/>
                      <w:sz w:val="21"/>
                      <w:szCs w:val="21"/>
                      <w:vertAlign w:val="baseline"/>
                      <w:lang w:val="en-US" w:eastAsia="zh-CN"/>
                    </w:rPr>
                    <w:t>维护</w:t>
                  </w:r>
                </w:p>
              </w:tc>
              <w:tc>
                <w:tcPr>
                  <w:tcW w:w="1259"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3740" w:type="pct"/>
                  <w:gridSpan w:val="4"/>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kern w:val="0"/>
                      <w:sz w:val="21"/>
                      <w:szCs w:val="21"/>
                      <w:highlight w:val="none"/>
                    </w:rPr>
                    <w:t>合计</w:t>
                  </w:r>
                </w:p>
              </w:tc>
              <w:tc>
                <w:tcPr>
                  <w:tcW w:w="1259" w:type="pct"/>
                  <w:noWrap w:val="0"/>
                  <w:vAlign w:val="center"/>
                </w:tcPr>
                <w:p>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13.6</w:t>
                  </w:r>
                </w:p>
              </w:tc>
            </w:tr>
          </w:tbl>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rPr>
                <w:rFonts w:hint="default" w:ascii="Times New Roman" w:hAnsi="Times New Roman" w:eastAsia="宋体" w:cs="Times New Roman"/>
                <w:bCs/>
                <w:color w:val="auto"/>
                <w:spacing w:val="10"/>
                <w:kern w:val="2"/>
                <w:sz w:val="24"/>
                <w:szCs w:val="21"/>
                <w:lang w:val="en-US" w:eastAsia="zh-CN" w:bidi="ar-SA"/>
              </w:rPr>
            </w:pP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rPr>
                <w:rFonts w:hint="default" w:ascii="Times New Roman" w:hAnsi="Times New Roman" w:eastAsia="宋体" w:cs="Times New Roman"/>
                <w:bCs/>
                <w:color w:val="auto"/>
                <w:spacing w:val="10"/>
                <w:kern w:val="2"/>
                <w:sz w:val="24"/>
                <w:szCs w:val="21"/>
                <w:lang w:val="en-US" w:eastAsia="zh-CN" w:bidi="ar-SA"/>
              </w:rPr>
            </w:pP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rPr>
                <w:rFonts w:hint="default" w:ascii="Times New Roman" w:hAnsi="Times New Roman" w:eastAsia="宋体" w:cs="Times New Roman"/>
                <w:bCs/>
                <w:color w:val="auto"/>
                <w:spacing w:val="10"/>
                <w:kern w:val="2"/>
                <w:sz w:val="24"/>
                <w:szCs w:val="21"/>
                <w:lang w:val="en-US" w:eastAsia="zh-CN" w:bidi="ar-SA"/>
              </w:rPr>
            </w:pP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rPr>
                <w:rFonts w:hint="default" w:ascii="Times New Roman" w:hAnsi="Times New Roman" w:eastAsia="宋体" w:cs="Times New Roman"/>
                <w:bCs/>
                <w:color w:val="auto"/>
                <w:spacing w:val="10"/>
                <w:kern w:val="2"/>
                <w:sz w:val="24"/>
                <w:szCs w:val="21"/>
                <w:lang w:val="en-US" w:eastAsia="zh-CN" w:bidi="ar-SA"/>
              </w:rPr>
            </w:pP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rPr>
                <w:rFonts w:hint="default" w:ascii="Times New Roman" w:hAnsi="Times New Roman" w:eastAsia="宋体" w:cs="Times New Roman"/>
                <w:bCs/>
                <w:color w:val="auto"/>
                <w:spacing w:val="10"/>
                <w:kern w:val="2"/>
                <w:sz w:val="24"/>
                <w:szCs w:val="21"/>
                <w:lang w:val="en-US" w:eastAsia="zh-CN" w:bidi="ar-SA"/>
              </w:rPr>
            </w:pP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rPr>
                <w:rFonts w:hint="default" w:ascii="Times New Roman" w:hAnsi="Times New Roman" w:eastAsia="宋体" w:cs="Times New Roman"/>
                <w:bCs/>
                <w:color w:val="auto"/>
                <w:spacing w:val="10"/>
                <w:kern w:val="2"/>
                <w:sz w:val="24"/>
                <w:szCs w:val="21"/>
                <w:lang w:val="en-US" w:eastAsia="zh-CN" w:bidi="ar-SA"/>
              </w:rPr>
            </w:pP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right="0" w:firstLine="520" w:firstLineChars="200"/>
              <w:rPr>
                <w:rFonts w:hint="default" w:ascii="Times New Roman" w:hAnsi="Times New Roman" w:eastAsia="宋体" w:cs="Times New Roman"/>
                <w:bCs/>
                <w:color w:val="auto"/>
                <w:spacing w:val="10"/>
                <w:kern w:val="2"/>
                <w:sz w:val="24"/>
                <w:szCs w:val="21"/>
                <w:lang w:val="en-US" w:eastAsia="zh-CN" w:bidi="ar-SA"/>
              </w:rPr>
            </w:pPr>
          </w:p>
          <w:p>
            <w:pPr>
              <w:keepNext w:val="0"/>
              <w:keepLines w:val="0"/>
              <w:pageBreakBefore w:val="0"/>
              <w:suppressLineNumbers w:val="0"/>
              <w:kinsoku/>
              <w:overflowPunct/>
              <w:topLinePunct w:val="0"/>
              <w:autoSpaceDE/>
              <w:autoSpaceDN/>
              <w:bidi w:val="0"/>
              <w:adjustRightInd w:val="0"/>
              <w:snapToGrid w:val="0"/>
              <w:spacing w:before="0" w:beforeAutospacing="0" w:after="0" w:afterAutospacing="0"/>
              <w:ind w:left="0" w:leftChars="0" w:right="0" w:firstLine="0" w:firstLineChars="0"/>
              <w:rPr>
                <w:rFonts w:hint="default" w:ascii="Times New Roman" w:hAnsi="Times New Roman" w:eastAsia="宋体" w:cs="Times New Roman"/>
                <w:bCs/>
                <w:color w:val="auto"/>
                <w:spacing w:val="10"/>
                <w:kern w:val="2"/>
                <w:sz w:val="24"/>
                <w:szCs w:val="21"/>
                <w:lang w:val="en-US" w:eastAsia="zh-CN" w:bidi="ar-SA"/>
              </w:rPr>
            </w:pPr>
          </w:p>
        </w:tc>
      </w:tr>
    </w:tbl>
    <w:p>
      <w:pPr>
        <w:rPr>
          <w:color w:val="auto"/>
        </w:rPr>
        <w:sectPr>
          <w:pgSz w:w="11907" w:h="16840"/>
          <w:pgMar w:top="1440" w:right="1797" w:bottom="1440" w:left="1797" w:header="851" w:footer="1077" w:gutter="0"/>
          <w:pgNumType w:fmt="decimal"/>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六、生态环境保护措施监督检查清单</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521"/>
        <w:gridCol w:w="2041"/>
        <w:gridCol w:w="1108"/>
        <w:gridCol w:w="1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vMerge w:val="restart"/>
            <w:tcBorders>
              <w:tl2br w:val="single" w:color="auto" w:sz="4" w:space="0"/>
            </w:tcBorders>
            <w:noWrap w:val="0"/>
            <w:vAlign w:val="top"/>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 xml:space="preserve">       </w:t>
            </w:r>
          </w:p>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 xml:space="preserve">    内容</w:t>
            </w:r>
          </w:p>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 xml:space="preserve">  </w:t>
            </w:r>
          </w:p>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要素</w:t>
            </w:r>
          </w:p>
        </w:tc>
        <w:tc>
          <w:tcPr>
            <w:tcW w:w="2676" w:type="pct"/>
            <w:gridSpan w:val="2"/>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施工期</w:t>
            </w:r>
          </w:p>
        </w:tc>
        <w:tc>
          <w:tcPr>
            <w:tcW w:w="1516" w:type="pct"/>
            <w:gridSpan w:val="2"/>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vMerge w:val="continue"/>
            <w:noWrap w:val="0"/>
            <w:vAlign w:val="top"/>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p>
        </w:tc>
        <w:tc>
          <w:tcPr>
            <w:tcW w:w="1479" w:type="pct"/>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环境保护措施</w:t>
            </w:r>
          </w:p>
        </w:tc>
        <w:tc>
          <w:tcPr>
            <w:tcW w:w="1196" w:type="pct"/>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验收要求</w:t>
            </w:r>
          </w:p>
        </w:tc>
        <w:tc>
          <w:tcPr>
            <w:tcW w:w="650" w:type="pct"/>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环境保护措施</w:t>
            </w:r>
          </w:p>
        </w:tc>
        <w:tc>
          <w:tcPr>
            <w:tcW w:w="865" w:type="pct"/>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陆生生态</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划定施工区域，强化施工管理；尽可能缩小施工作业面和减少扰动面积。</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保护现有生态环境，避免发生水土流失。</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施工区迹地恢复</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无未恢复迹地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水生生态</w:t>
            </w:r>
          </w:p>
        </w:tc>
        <w:tc>
          <w:tcPr>
            <w:tcW w:w="252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204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10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47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设置</w:t>
            </w:r>
            <w:r>
              <w:rPr>
                <w:rFonts w:hint="default" w:ascii="Times New Roman" w:hAnsi="Times New Roman" w:cs="Times New Roman"/>
                <w:color w:val="auto"/>
                <w:sz w:val="21"/>
                <w:szCs w:val="21"/>
                <w:highlight w:val="none"/>
                <w:lang w:val="en-US" w:eastAsia="zh-CN"/>
              </w:rPr>
              <w:t>临时</w:t>
            </w:r>
            <w:r>
              <w:rPr>
                <w:rFonts w:hint="default" w:ascii="Times New Roman" w:hAnsi="Times New Roman" w:cs="Times New Roman"/>
                <w:color w:val="auto"/>
                <w:sz w:val="21"/>
                <w:szCs w:val="21"/>
                <w:highlight w:val="none"/>
              </w:rPr>
              <w:t>沉淀池，施工废水经沉淀池处理后，用于施工场地洒水降尘</w:t>
            </w:r>
            <w:r>
              <w:rPr>
                <w:rFonts w:hint="default" w:ascii="Times New Roman" w:hAnsi="Times New Roman" w:cs="Times New Roman"/>
                <w:color w:val="auto"/>
                <w:sz w:val="21"/>
                <w:szCs w:val="21"/>
                <w:highlight w:val="none"/>
                <w:lang w:eastAsia="zh-CN"/>
              </w:rPr>
              <w:t>。</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无施工废水外排，拆除临时沉淀池，统一采取施工迹地整平及地貌恢复措施</w:t>
            </w:r>
            <w:r>
              <w:rPr>
                <w:rFonts w:hint="default" w:ascii="Times New Roman" w:hAnsi="Times New Roman" w:cs="Times New Roman"/>
                <w:color w:val="auto"/>
                <w:sz w:val="21"/>
                <w:szCs w:val="21"/>
                <w:highlight w:val="none"/>
                <w:lang w:eastAsia="zh-CN"/>
              </w:rPr>
              <w:t>。</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现场验收期间无遗留废水，拆除临时沉淀池，施工区恢复原状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地下水及土壤环境</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1479" w:type="pct"/>
            <w:noWrap w:val="0"/>
            <w:vAlign w:val="center"/>
          </w:tcPr>
          <w:p>
            <w:pPr>
              <w:pStyle w:val="53"/>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合理安排施工时间，施工设备合理布局，加强施工管理，避免高噪声设备同时运行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基础减振等。</w:t>
            </w:r>
          </w:p>
        </w:tc>
        <w:tc>
          <w:tcPr>
            <w:tcW w:w="1196" w:type="pct"/>
            <w:noWrap w:val="0"/>
            <w:vAlign w:val="center"/>
          </w:tcPr>
          <w:p>
            <w:pPr>
              <w:pStyle w:val="5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center"/>
              <w:rPr>
                <w:rFonts w:hint="default"/>
                <w:lang w:val="en-US" w:eastAsia="zh-CN"/>
              </w:rPr>
            </w:pPr>
            <w:r>
              <w:rPr>
                <w:rFonts w:hint="default" w:ascii="Times New Roman" w:hAnsi="Times New Roman" w:cs="Times New Roman"/>
                <w:color w:val="auto"/>
                <w:sz w:val="21"/>
                <w:szCs w:val="21"/>
                <w:lang w:val="en-US" w:eastAsia="zh-CN"/>
              </w:rPr>
              <w:t>执行《建筑施工噪声排放标准》（GB12523-2025）</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振动</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施工区域设置围挡，配备洒水降尘设备，施工场地及场内道路定时洒水降尘；易产生扬尘的物料采用帆布覆盖；运输车辆减速慢行；物料运输不宜装载过满，车厢加盖篷</w:t>
            </w:r>
            <w:r>
              <w:rPr>
                <w:rFonts w:hint="default" w:ascii="Times New Roman" w:hAnsi="Times New Roman" w:cs="Times New Roman"/>
                <w:color w:val="auto"/>
                <w:sz w:val="21"/>
                <w:szCs w:val="21"/>
                <w:highlight w:val="none"/>
                <w:lang w:eastAsia="zh-CN"/>
              </w:rPr>
              <w:t>。</w:t>
            </w:r>
          </w:p>
        </w:tc>
        <w:tc>
          <w:tcPr>
            <w:tcW w:w="1196" w:type="pct"/>
            <w:noWrap w:val="0"/>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《大气污染物综合排放标准》（GB16297-1996）无组织排放监控浓度限值</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清基、开挖过程产生的开挖土石方直接用于填筑渠堤，弃方沿渠道边铺平。</w:t>
            </w:r>
          </w:p>
        </w:tc>
        <w:tc>
          <w:tcPr>
            <w:tcW w:w="1196" w:type="pct"/>
            <w:noWrap w:val="0"/>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lang w:val="en-US" w:eastAsia="zh-CN"/>
              </w:rPr>
              <w:t>严禁将建筑垃圾倾倒入灌区内或周边。</w:t>
            </w:r>
            <w:r>
              <w:rPr>
                <w:rFonts w:hint="default" w:ascii="Times New Roman" w:hAnsi="Times New Roman" w:cs="Times New Roman"/>
                <w:color w:val="auto"/>
                <w:sz w:val="21"/>
                <w:szCs w:val="21"/>
                <w:highlight w:val="none"/>
              </w:rPr>
              <w:t>固体废弃物执行《一般工业固体废物贮存和填埋污染控制标准》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GB18599-2020)</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施工现场无遗留固体废弃物，弃土用于项目区场地平整，无固废堆积。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电磁环境</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环境监测</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其他</w:t>
            </w:r>
          </w:p>
        </w:tc>
        <w:tc>
          <w:tcPr>
            <w:tcW w:w="147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1196"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6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highlight w:val="none"/>
              </w:rPr>
              <w:t>/</w:t>
            </w:r>
          </w:p>
        </w:tc>
      </w:tr>
    </w:tbl>
    <w:p>
      <w:pPr>
        <w:pStyle w:val="19"/>
        <w:spacing w:before="0" w:beforeAutospacing="0" w:line="14" w:lineRule="auto"/>
        <w:jc w:val="center"/>
        <w:outlineLvl w:val="0"/>
        <w:rPr>
          <w:rFonts w:hint="eastAsia" w:ascii="黑体" w:hAnsi="黑体" w:eastAsia="黑体"/>
          <w:snapToGrid w:val="0"/>
          <w:color w:val="auto"/>
          <w:sz w:val="30"/>
          <w:szCs w:val="30"/>
        </w:rPr>
      </w:pPr>
      <w:r>
        <w:rPr>
          <w:rFonts w:ascii="黑体" w:hAnsi="黑体" w:eastAsia="黑体"/>
          <w:snapToGrid w:val="0"/>
          <w:color w:val="auto"/>
          <w:sz w:val="30"/>
          <w:szCs w:val="30"/>
        </w:rPr>
        <w:br w:type="page"/>
      </w:r>
    </w:p>
    <w:p>
      <w:pPr>
        <w:pStyle w:val="19"/>
        <w:spacing w:before="192" w:beforeLines="80" w:beforeAutospacing="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七、结论</w:t>
      </w:r>
    </w:p>
    <w:tbl>
      <w:tblPr>
        <w:tblStyle w:val="2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top"/>
          </w:tcPr>
          <w:p>
            <w:pPr>
              <w:keepNext w:val="0"/>
              <w:keepLines w:val="0"/>
              <w:suppressLineNumbers w:val="0"/>
              <w:bidi w:val="0"/>
              <w:spacing w:before="0" w:beforeAutospacing="0" w:after="0" w:afterAutospacing="0"/>
              <w:ind w:left="0" w:right="0"/>
              <w:rPr>
                <w:rFonts w:hint="default"/>
              </w:rPr>
            </w:pPr>
            <w:r>
              <w:rPr>
                <w:rFonts w:hint="default"/>
              </w:rPr>
              <w:t>综上所述，本项目符合国家产业政策。该项目工程区内不涉及集中式饮用水源保护区、不涉及保护文物、不涉及风景名胜区及生态敏感区，不会对当地城镇发展规划造成影响。项目拟采取的三废治理措施有效可行。工程实施后将产生一定的经济效益、社会效益和环境效益，可促进区域生态系统良性发展，更有利于项目所在区农业发展、保土、生态环境保护工作。</w:t>
            </w:r>
          </w:p>
          <w:p>
            <w:pPr>
              <w:keepNext w:val="0"/>
              <w:keepLines w:val="0"/>
              <w:suppressLineNumbers w:val="0"/>
              <w:bidi w:val="0"/>
              <w:spacing w:before="0" w:beforeAutospacing="0" w:after="0" w:afterAutospacing="0"/>
              <w:ind w:left="0" w:right="0"/>
              <w:rPr>
                <w:rFonts w:hint="default"/>
              </w:rPr>
            </w:pPr>
            <w:r>
              <w:rPr>
                <w:rFonts w:hint="default"/>
              </w:rPr>
              <w:t>在施工过程中强化环保管理，落实各项环保措施，保证各项设施正常运行，从环境保护角度分析，本项目环境影响是可行的。</w:t>
            </w:r>
          </w:p>
        </w:tc>
      </w:tr>
    </w:tbl>
    <w:p>
      <w:pPr>
        <w:rPr>
          <w:rFonts w:ascii="宋体"/>
          <w:color w:val="auto"/>
        </w:rPr>
      </w:pPr>
    </w:p>
    <w:sectPr>
      <w:pgSz w:w="11906" w:h="16838"/>
      <w:pgMar w:top="1440" w:right="1800" w:bottom="1440" w:left="1800" w:header="851" w:footer="107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5C3F59-34D7-4A65-AE3D-6D94FC68B7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2EDEE30-D438-49DA-9D25-3D75D62B9D24}"/>
  </w:font>
  <w:font w:name="微软雅黑">
    <w:panose1 w:val="020B0503020204020204"/>
    <w:charset w:val="86"/>
    <w:family w:val="auto"/>
    <w:pitch w:val="default"/>
    <w:sig w:usb0="80000287" w:usb1="280F3C52" w:usb2="00000016" w:usb3="00000000" w:csb0="0004001F" w:csb1="00000000"/>
    <w:embedRegular r:id="rId3" w:fontKey="{78742615-3D85-4E96-9AB1-2E291E1BC3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szCs w:val="20"/>
                            </w:rPr>
                            <w:t xml:space="preserve">  </w:t>
                          </w:r>
                          <w:r>
                            <w:rPr>
                              <w:rStyle w:val="25"/>
                              <w:rFonts w:hint="default" w:ascii="Times New Roman" w:hAnsi="Times New Roman" w:cs="Times New Roman"/>
                              <w:sz w:val="26"/>
                              <w:szCs w:val="26"/>
                            </w:rPr>
                            <w:fldChar w:fldCharType="begin"/>
                          </w:r>
                          <w:r>
                            <w:rPr>
                              <w:rStyle w:val="25"/>
                              <w:rFonts w:hint="default" w:ascii="Times New Roman" w:hAnsi="Times New Roman" w:cs="Times New Roman"/>
                              <w:sz w:val="26"/>
                              <w:szCs w:val="26"/>
                            </w:rPr>
                            <w:instrText xml:space="preserve">PAGE  </w:instrText>
                          </w:r>
                          <w:r>
                            <w:rPr>
                              <w:rStyle w:val="25"/>
                              <w:rFonts w:hint="default" w:ascii="Times New Roman" w:hAnsi="Times New Roman" w:cs="Times New Roman"/>
                              <w:sz w:val="26"/>
                              <w:szCs w:val="26"/>
                            </w:rPr>
                            <w:fldChar w:fldCharType="separate"/>
                          </w:r>
                          <w:r>
                            <w:rPr>
                              <w:rStyle w:val="25"/>
                              <w:rFonts w:hint="default" w:ascii="Times New Roman" w:hAnsi="Times New Roman" w:cs="Times New Roman"/>
                              <w:sz w:val="26"/>
                              <w:szCs w:val="26"/>
                            </w:rPr>
                            <w:t>22</w:t>
                          </w:r>
                          <w:r>
                            <w:rPr>
                              <w:rStyle w:val="25"/>
                              <w:rFonts w:hint="default" w:ascii="Times New Roman" w:hAnsi="Times New Roman" w:cs="Times New Roman"/>
                              <w:sz w:val="26"/>
                              <w:szCs w:val="26"/>
                            </w:rPr>
                            <w:fldChar w:fldCharType="end"/>
                          </w:r>
                          <w:r>
                            <w:rPr>
                              <w:rStyle w:val="25"/>
                              <w:rFonts w:hint="eastAsia" w:ascii="宋体" w:hAnsi="宋体"/>
                              <w:sz w:val="20"/>
                              <w:szCs w:val="20"/>
                            </w:rPr>
                            <w:t xml:space="preserve">  </w:t>
                          </w:r>
                          <w:r>
                            <w:rPr>
                              <w:rStyle w:val="25"/>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pPr>
                      <w:pStyle w:val="16"/>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szCs w:val="20"/>
                      </w:rPr>
                      <w:t xml:space="preserve">  </w:t>
                    </w:r>
                    <w:r>
                      <w:rPr>
                        <w:rStyle w:val="25"/>
                        <w:rFonts w:hint="default" w:ascii="Times New Roman" w:hAnsi="Times New Roman" w:cs="Times New Roman"/>
                        <w:sz w:val="26"/>
                        <w:szCs w:val="26"/>
                      </w:rPr>
                      <w:fldChar w:fldCharType="begin"/>
                    </w:r>
                    <w:r>
                      <w:rPr>
                        <w:rStyle w:val="25"/>
                        <w:rFonts w:hint="default" w:ascii="Times New Roman" w:hAnsi="Times New Roman" w:cs="Times New Roman"/>
                        <w:sz w:val="26"/>
                        <w:szCs w:val="26"/>
                      </w:rPr>
                      <w:instrText xml:space="preserve">PAGE  </w:instrText>
                    </w:r>
                    <w:r>
                      <w:rPr>
                        <w:rStyle w:val="25"/>
                        <w:rFonts w:hint="default" w:ascii="Times New Roman" w:hAnsi="Times New Roman" w:cs="Times New Roman"/>
                        <w:sz w:val="26"/>
                        <w:szCs w:val="26"/>
                      </w:rPr>
                      <w:fldChar w:fldCharType="separate"/>
                    </w:r>
                    <w:r>
                      <w:rPr>
                        <w:rStyle w:val="25"/>
                        <w:rFonts w:hint="default" w:ascii="Times New Roman" w:hAnsi="Times New Roman" w:cs="Times New Roman"/>
                        <w:sz w:val="26"/>
                        <w:szCs w:val="26"/>
                      </w:rPr>
                      <w:t>22</w:t>
                    </w:r>
                    <w:r>
                      <w:rPr>
                        <w:rStyle w:val="25"/>
                        <w:rFonts w:hint="default" w:ascii="Times New Roman" w:hAnsi="Times New Roman" w:cs="Times New Roman"/>
                        <w:sz w:val="26"/>
                        <w:szCs w:val="26"/>
                      </w:rPr>
                      <w:fldChar w:fldCharType="end"/>
                    </w:r>
                    <w:r>
                      <w:rPr>
                        <w:rStyle w:val="25"/>
                        <w:rFonts w:hint="eastAsia" w:ascii="宋体" w:hAnsi="宋体"/>
                        <w:sz w:val="20"/>
                        <w:szCs w:val="20"/>
                      </w:rPr>
                      <w:t xml:space="preserve">  </w:t>
                    </w:r>
                    <w:r>
                      <w:rPr>
                        <w:rStyle w:val="25"/>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C94A1"/>
    <w:multiLevelType w:val="singleLevel"/>
    <w:tmpl w:val="47BC94A1"/>
    <w:lvl w:ilvl="0" w:tentative="0">
      <w:start w:val="1"/>
      <w:numFmt w:val="none"/>
      <w:pStyle w:val="59"/>
      <w:suff w:val="nothing"/>
      <w:lvlText w:val=""/>
      <w:lvlJc w:val="left"/>
      <w:pPr>
        <w:tabs>
          <w:tab w:val="left" w:pos="0"/>
        </w:tabs>
      </w:pPr>
      <w:rPr>
        <w:rFonts w:hint="default"/>
      </w:rPr>
    </w:lvl>
  </w:abstractNum>
  <w:abstractNum w:abstractNumId="1">
    <w:nsid w:val="57CE30AE"/>
    <w:multiLevelType w:val="multilevel"/>
    <w:tmpl w:val="57CE30AE"/>
    <w:lvl w:ilvl="0" w:tentative="0">
      <w:start w:val="0"/>
      <w:numFmt w:val="decimal"/>
      <w:pStyle w:val="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B1A137E"/>
    <w:multiLevelType w:val="multilevel"/>
    <w:tmpl w:val="6B1A137E"/>
    <w:lvl w:ilvl="0" w:tentative="0">
      <w:start w:val="1"/>
      <w:numFmt w:val="decimal"/>
      <w:pStyle w:val="55"/>
      <w:suff w:val="space"/>
      <w:lvlText w:val="%1."/>
      <w:lvlJc w:val="left"/>
      <w:pPr>
        <w:ind w:left="0" w:firstLine="0"/>
      </w:pPr>
      <w:rPr>
        <w:rFonts w:hint="eastAsia"/>
      </w:rPr>
    </w:lvl>
    <w:lvl w:ilvl="1" w:tentative="0">
      <w:start w:val="1"/>
      <w:numFmt w:val="decimal"/>
      <w:pStyle w:val="60"/>
      <w:suff w:val="space"/>
      <w:lvlText w:val="%1.%2"/>
      <w:lvlJc w:val="left"/>
      <w:pPr>
        <w:ind w:left="420" w:firstLine="0"/>
      </w:pPr>
      <w:rPr>
        <w:rFonts w:hint="eastAsia"/>
      </w:rPr>
    </w:lvl>
    <w:lvl w:ilvl="2" w:tentative="0">
      <w:start w:val="1"/>
      <w:numFmt w:val="decimal"/>
      <w:pStyle w:val="61"/>
      <w:suff w:val="space"/>
      <w:lvlText w:val="（%3）"/>
      <w:lvlJc w:val="left"/>
      <w:pPr>
        <w:ind w:left="0" w:firstLine="0"/>
      </w:pPr>
      <w:rPr>
        <w:rFonts w:hint="eastAsia"/>
        <w:lang w:val="en-US"/>
      </w:rPr>
    </w:lvl>
    <w:lvl w:ilvl="3" w:tentative="0">
      <w:start w:val="0"/>
      <w:numFmt w:val="decimal"/>
      <w:lvlText w:val=""/>
      <w:lvlJc w:val="left"/>
      <w:pPr>
        <w:ind w:left="0" w:firstLine="0"/>
      </w:pPr>
      <w:rPr>
        <w:rFonts w:hint="eastAsia"/>
      </w:rPr>
    </w:lvl>
    <w:lvl w:ilvl="4" w:tentative="0">
      <w:start w:val="1"/>
      <w:numFmt w:val="decimal"/>
      <w:lvlText w:val=""/>
      <w:lvlJc w:val="left"/>
      <w:pPr>
        <w:ind w:left="0" w:firstLine="0"/>
      </w:pPr>
      <w:rPr>
        <w:rFonts w:hint="eastAsia"/>
      </w:rPr>
    </w:lvl>
    <w:lvl w:ilvl="5" w:tentative="0">
      <w:start w:val="1"/>
      <w:numFmt w:val="decimal"/>
      <w:lvlText w:val=""/>
      <w:lvlJc w:val="left"/>
      <w:pPr>
        <w:ind w:left="0" w:firstLine="0"/>
      </w:pPr>
      <w:rPr>
        <w:rFonts w:hint="eastAsia"/>
      </w:rPr>
    </w:lvl>
    <w:lvl w:ilvl="6" w:tentative="0">
      <w:start w:val="1"/>
      <w:numFmt w:val="decimal"/>
      <w:lvlText w:val=""/>
      <w:lvlJc w:val="left"/>
      <w:pPr>
        <w:ind w:left="0" w:firstLine="0"/>
      </w:pPr>
      <w:rPr>
        <w:rFonts w:hint="eastAsia"/>
      </w:rPr>
    </w:lvl>
    <w:lvl w:ilvl="7" w:tentative="0">
      <w:start w:val="1"/>
      <w:numFmt w:val="decimal"/>
      <w:lvlText w:val=""/>
      <w:lvlJc w:val="left"/>
      <w:pPr>
        <w:ind w:left="0" w:firstLine="0"/>
      </w:pPr>
      <w:rPr>
        <w:rFonts w:hint="eastAsia"/>
      </w:rPr>
    </w:lvl>
    <w:lvl w:ilvl="8" w:tentative="0">
      <w:start w:val="1"/>
      <w:numFmt w:val="decimal"/>
      <w:lvlText w:val=""/>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ZWQwYTU0M2U5Njc0NDEyODYwYzkxMTljZDcwYjMifQ=="/>
  </w:docVars>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757F74"/>
    <w:rsid w:val="01C72A2D"/>
    <w:rsid w:val="0224362A"/>
    <w:rsid w:val="02356E2A"/>
    <w:rsid w:val="04552530"/>
    <w:rsid w:val="0475016D"/>
    <w:rsid w:val="05742AC8"/>
    <w:rsid w:val="058B1D15"/>
    <w:rsid w:val="06352F05"/>
    <w:rsid w:val="063E7D85"/>
    <w:rsid w:val="070875E0"/>
    <w:rsid w:val="07293586"/>
    <w:rsid w:val="07295285"/>
    <w:rsid w:val="07513EE4"/>
    <w:rsid w:val="07770C56"/>
    <w:rsid w:val="092217DD"/>
    <w:rsid w:val="093A7294"/>
    <w:rsid w:val="09FA411E"/>
    <w:rsid w:val="0BD27BF6"/>
    <w:rsid w:val="0D731909"/>
    <w:rsid w:val="0DB602D9"/>
    <w:rsid w:val="0E110D06"/>
    <w:rsid w:val="0F13775A"/>
    <w:rsid w:val="0F9A112B"/>
    <w:rsid w:val="0FB0086E"/>
    <w:rsid w:val="106D2F64"/>
    <w:rsid w:val="1093553E"/>
    <w:rsid w:val="109E6E27"/>
    <w:rsid w:val="10B63710"/>
    <w:rsid w:val="111A77A5"/>
    <w:rsid w:val="111C2F7A"/>
    <w:rsid w:val="113013DE"/>
    <w:rsid w:val="11C433F8"/>
    <w:rsid w:val="120516A4"/>
    <w:rsid w:val="122B06C2"/>
    <w:rsid w:val="12EB52BA"/>
    <w:rsid w:val="13951726"/>
    <w:rsid w:val="14396509"/>
    <w:rsid w:val="1447165C"/>
    <w:rsid w:val="157B3BEC"/>
    <w:rsid w:val="15D528EF"/>
    <w:rsid w:val="162D77DD"/>
    <w:rsid w:val="16322F53"/>
    <w:rsid w:val="17735226"/>
    <w:rsid w:val="196A4F11"/>
    <w:rsid w:val="1A1C66C0"/>
    <w:rsid w:val="1A42393B"/>
    <w:rsid w:val="1B046F80"/>
    <w:rsid w:val="1B3267B5"/>
    <w:rsid w:val="1BC25DC8"/>
    <w:rsid w:val="1BC65E20"/>
    <w:rsid w:val="1BDF0EC8"/>
    <w:rsid w:val="1C5E7925"/>
    <w:rsid w:val="1C887FC8"/>
    <w:rsid w:val="1D5F6196"/>
    <w:rsid w:val="1D6132A5"/>
    <w:rsid w:val="1D8E56D5"/>
    <w:rsid w:val="1D9531D6"/>
    <w:rsid w:val="1E7A43DA"/>
    <w:rsid w:val="1EB277FE"/>
    <w:rsid w:val="1ED12142"/>
    <w:rsid w:val="1F374545"/>
    <w:rsid w:val="1FE7539E"/>
    <w:rsid w:val="207277FE"/>
    <w:rsid w:val="20963CB8"/>
    <w:rsid w:val="20B07FB6"/>
    <w:rsid w:val="20D02587"/>
    <w:rsid w:val="213B74B1"/>
    <w:rsid w:val="215A2310"/>
    <w:rsid w:val="216D3E79"/>
    <w:rsid w:val="21CF315A"/>
    <w:rsid w:val="21DE318A"/>
    <w:rsid w:val="21EF5B80"/>
    <w:rsid w:val="222F4A8E"/>
    <w:rsid w:val="22576990"/>
    <w:rsid w:val="22755D5B"/>
    <w:rsid w:val="229C4EAB"/>
    <w:rsid w:val="22D9468D"/>
    <w:rsid w:val="236C49D9"/>
    <w:rsid w:val="252D53FE"/>
    <w:rsid w:val="25EC2D81"/>
    <w:rsid w:val="264528BD"/>
    <w:rsid w:val="27D15DD1"/>
    <w:rsid w:val="284B1ABF"/>
    <w:rsid w:val="28A76295"/>
    <w:rsid w:val="29206EB8"/>
    <w:rsid w:val="29A223CA"/>
    <w:rsid w:val="29E325E0"/>
    <w:rsid w:val="2A1069C1"/>
    <w:rsid w:val="2A452503"/>
    <w:rsid w:val="2A69610A"/>
    <w:rsid w:val="2BA936A8"/>
    <w:rsid w:val="2C315A5A"/>
    <w:rsid w:val="2C334D1F"/>
    <w:rsid w:val="2C4B40EA"/>
    <w:rsid w:val="2D9E56F5"/>
    <w:rsid w:val="2E667F96"/>
    <w:rsid w:val="2E7D4A59"/>
    <w:rsid w:val="2E8226AB"/>
    <w:rsid w:val="2F832C79"/>
    <w:rsid w:val="2FEF2D58"/>
    <w:rsid w:val="30287F3B"/>
    <w:rsid w:val="30580BC9"/>
    <w:rsid w:val="30801AC4"/>
    <w:rsid w:val="30A24902"/>
    <w:rsid w:val="30B12F29"/>
    <w:rsid w:val="311E2ED7"/>
    <w:rsid w:val="315C449C"/>
    <w:rsid w:val="31B82709"/>
    <w:rsid w:val="32400B34"/>
    <w:rsid w:val="329E6876"/>
    <w:rsid w:val="32D700C1"/>
    <w:rsid w:val="33D934D4"/>
    <w:rsid w:val="33D96550"/>
    <w:rsid w:val="33FE2F6A"/>
    <w:rsid w:val="34184814"/>
    <w:rsid w:val="34636BA0"/>
    <w:rsid w:val="353C5652"/>
    <w:rsid w:val="36074A7F"/>
    <w:rsid w:val="363E5109"/>
    <w:rsid w:val="365C3E3D"/>
    <w:rsid w:val="36923549"/>
    <w:rsid w:val="36B75FBF"/>
    <w:rsid w:val="36FB4891"/>
    <w:rsid w:val="370712D0"/>
    <w:rsid w:val="375703A0"/>
    <w:rsid w:val="37F631A9"/>
    <w:rsid w:val="38F12CD3"/>
    <w:rsid w:val="38F94775"/>
    <w:rsid w:val="392971ED"/>
    <w:rsid w:val="3A397C14"/>
    <w:rsid w:val="3A3B1E63"/>
    <w:rsid w:val="3A683EA5"/>
    <w:rsid w:val="3A987E39"/>
    <w:rsid w:val="3B3763D1"/>
    <w:rsid w:val="3C3144CC"/>
    <w:rsid w:val="3C451D00"/>
    <w:rsid w:val="3CDA245A"/>
    <w:rsid w:val="3CE0127F"/>
    <w:rsid w:val="3CEE0A37"/>
    <w:rsid w:val="3DD5772F"/>
    <w:rsid w:val="3F544865"/>
    <w:rsid w:val="3F660E74"/>
    <w:rsid w:val="407A6407"/>
    <w:rsid w:val="41004E9C"/>
    <w:rsid w:val="411414DF"/>
    <w:rsid w:val="423A3BCC"/>
    <w:rsid w:val="433A6FE6"/>
    <w:rsid w:val="4350713C"/>
    <w:rsid w:val="436653E0"/>
    <w:rsid w:val="44CD14E0"/>
    <w:rsid w:val="458946E9"/>
    <w:rsid w:val="46170428"/>
    <w:rsid w:val="46D955A7"/>
    <w:rsid w:val="47133957"/>
    <w:rsid w:val="4779329E"/>
    <w:rsid w:val="47A07E0C"/>
    <w:rsid w:val="47A9459F"/>
    <w:rsid w:val="47C6386D"/>
    <w:rsid w:val="4870272E"/>
    <w:rsid w:val="48720FB7"/>
    <w:rsid w:val="49DC7715"/>
    <w:rsid w:val="49E64F7C"/>
    <w:rsid w:val="49F70BF1"/>
    <w:rsid w:val="49F8278B"/>
    <w:rsid w:val="4A023139"/>
    <w:rsid w:val="4A7B576F"/>
    <w:rsid w:val="4AFE7E44"/>
    <w:rsid w:val="4C4A0649"/>
    <w:rsid w:val="4CE470D3"/>
    <w:rsid w:val="4DEC4FB0"/>
    <w:rsid w:val="4E075D8A"/>
    <w:rsid w:val="4E121B55"/>
    <w:rsid w:val="4E3072E6"/>
    <w:rsid w:val="4E9F0E11"/>
    <w:rsid w:val="4FC62A8C"/>
    <w:rsid w:val="4FE04BF7"/>
    <w:rsid w:val="4FE20F0D"/>
    <w:rsid w:val="50504C4B"/>
    <w:rsid w:val="50787660"/>
    <w:rsid w:val="509C6E7C"/>
    <w:rsid w:val="5162104E"/>
    <w:rsid w:val="517128A0"/>
    <w:rsid w:val="538474B8"/>
    <w:rsid w:val="53A039CC"/>
    <w:rsid w:val="53A1505A"/>
    <w:rsid w:val="54063E08"/>
    <w:rsid w:val="543437E8"/>
    <w:rsid w:val="54364B0B"/>
    <w:rsid w:val="54D463F7"/>
    <w:rsid w:val="559B174B"/>
    <w:rsid w:val="55CE0CF4"/>
    <w:rsid w:val="56B22A9C"/>
    <w:rsid w:val="571F4F79"/>
    <w:rsid w:val="573A3365"/>
    <w:rsid w:val="57B72A76"/>
    <w:rsid w:val="57C41BF1"/>
    <w:rsid w:val="581B36F8"/>
    <w:rsid w:val="591E1CF6"/>
    <w:rsid w:val="5A3C747D"/>
    <w:rsid w:val="5ABE2233"/>
    <w:rsid w:val="5B276D18"/>
    <w:rsid w:val="5BDF5D95"/>
    <w:rsid w:val="5C8021D2"/>
    <w:rsid w:val="5DF87A0F"/>
    <w:rsid w:val="5F1A2B43"/>
    <w:rsid w:val="5FB837BB"/>
    <w:rsid w:val="60331772"/>
    <w:rsid w:val="60995C23"/>
    <w:rsid w:val="60B90CE0"/>
    <w:rsid w:val="61EA529A"/>
    <w:rsid w:val="621E68C3"/>
    <w:rsid w:val="62334DE6"/>
    <w:rsid w:val="62364782"/>
    <w:rsid w:val="63933647"/>
    <w:rsid w:val="63971BF3"/>
    <w:rsid w:val="63D40BE9"/>
    <w:rsid w:val="63E0211F"/>
    <w:rsid w:val="642140A9"/>
    <w:rsid w:val="64C05945"/>
    <w:rsid w:val="65373578"/>
    <w:rsid w:val="6557247F"/>
    <w:rsid w:val="656F7435"/>
    <w:rsid w:val="65996FFC"/>
    <w:rsid w:val="65C12820"/>
    <w:rsid w:val="673F2C7A"/>
    <w:rsid w:val="681F6961"/>
    <w:rsid w:val="68610A2F"/>
    <w:rsid w:val="68805514"/>
    <w:rsid w:val="68843467"/>
    <w:rsid w:val="68E171C6"/>
    <w:rsid w:val="694E2071"/>
    <w:rsid w:val="695C2B87"/>
    <w:rsid w:val="697A3B33"/>
    <w:rsid w:val="699E2456"/>
    <w:rsid w:val="6ABA7D90"/>
    <w:rsid w:val="6AD45E6C"/>
    <w:rsid w:val="6B322639"/>
    <w:rsid w:val="6C4E0890"/>
    <w:rsid w:val="6C547599"/>
    <w:rsid w:val="6C636C38"/>
    <w:rsid w:val="6D672137"/>
    <w:rsid w:val="6DB34098"/>
    <w:rsid w:val="6DB545B6"/>
    <w:rsid w:val="6DBD3701"/>
    <w:rsid w:val="6E0A57CC"/>
    <w:rsid w:val="6E4375A0"/>
    <w:rsid w:val="6E514CED"/>
    <w:rsid w:val="6E79491A"/>
    <w:rsid w:val="6EB563D5"/>
    <w:rsid w:val="6F225983"/>
    <w:rsid w:val="6F543D73"/>
    <w:rsid w:val="6FEC090E"/>
    <w:rsid w:val="6FFC5590"/>
    <w:rsid w:val="70094ED8"/>
    <w:rsid w:val="70301DA3"/>
    <w:rsid w:val="706D1DD0"/>
    <w:rsid w:val="70856B87"/>
    <w:rsid w:val="709E5BC5"/>
    <w:rsid w:val="70D527EE"/>
    <w:rsid w:val="70E55B7A"/>
    <w:rsid w:val="715B5300"/>
    <w:rsid w:val="715F4BD7"/>
    <w:rsid w:val="71D27F8A"/>
    <w:rsid w:val="71F744C6"/>
    <w:rsid w:val="71F960CF"/>
    <w:rsid w:val="72577D97"/>
    <w:rsid w:val="730218E9"/>
    <w:rsid w:val="731F5D5E"/>
    <w:rsid w:val="737579FC"/>
    <w:rsid w:val="741E793C"/>
    <w:rsid w:val="746A192D"/>
    <w:rsid w:val="748D0C82"/>
    <w:rsid w:val="754D6561"/>
    <w:rsid w:val="756A3FC5"/>
    <w:rsid w:val="756E6737"/>
    <w:rsid w:val="758D75E2"/>
    <w:rsid w:val="77762421"/>
    <w:rsid w:val="77D76C36"/>
    <w:rsid w:val="780F09F4"/>
    <w:rsid w:val="789C4F47"/>
    <w:rsid w:val="78A90480"/>
    <w:rsid w:val="78EA5681"/>
    <w:rsid w:val="78F23FDA"/>
    <w:rsid w:val="79477C39"/>
    <w:rsid w:val="79811327"/>
    <w:rsid w:val="79D61802"/>
    <w:rsid w:val="7A364017"/>
    <w:rsid w:val="7A8265E1"/>
    <w:rsid w:val="7AA902FE"/>
    <w:rsid w:val="7AEC0C8C"/>
    <w:rsid w:val="7B533B23"/>
    <w:rsid w:val="7B686D42"/>
    <w:rsid w:val="7B841746"/>
    <w:rsid w:val="7CEE5F9A"/>
    <w:rsid w:val="7D0239FF"/>
    <w:rsid w:val="7D5E40CD"/>
    <w:rsid w:val="7D693BED"/>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overflowPunct w:val="0"/>
      <w:snapToGrid w:val="0"/>
      <w:spacing w:line="520" w:lineRule="exact"/>
      <w:ind w:left="0" w:hanging="432"/>
      <w:outlineLvl w:val="0"/>
    </w:pPr>
    <w:rPr>
      <w:rFonts w:ascii="Times New Roman" w:hAnsi="Times New Roman" w:eastAsia="宋体"/>
      <w:b/>
      <w:bCs/>
      <w:color w:val="000000"/>
      <w:kern w:val="44"/>
    </w:rPr>
  </w:style>
  <w:style w:type="paragraph" w:styleId="4">
    <w:name w:val="heading 2"/>
    <w:basedOn w:val="1"/>
    <w:next w:val="1"/>
    <w:qFormat/>
    <w:locked/>
    <w:uiPriority w:val="0"/>
    <w:pPr>
      <w:keepNext/>
      <w:keepLines/>
      <w:numPr>
        <w:ilvl w:val="0"/>
        <w:numId w:val="1"/>
      </w:numPr>
      <w:spacing w:before="260" w:after="260" w:line="416" w:lineRule="auto"/>
      <w:outlineLvl w:val="1"/>
    </w:pPr>
    <w:rPr>
      <w:rFonts w:ascii="Arial" w:hAnsi="Arial" w:eastAsia="黑体" w:cs="Verdana"/>
      <w:b/>
      <w:bCs/>
      <w:sz w:val="32"/>
      <w:szCs w:val="32"/>
    </w:rPr>
  </w:style>
  <w:style w:type="paragraph" w:styleId="5">
    <w:name w:val="heading 3"/>
    <w:basedOn w:val="1"/>
    <w:next w:val="1"/>
    <w:qFormat/>
    <w:locked/>
    <w:uiPriority w:val="0"/>
    <w:pPr>
      <w:keepNext/>
      <w:keepLines/>
      <w:spacing w:beforeLines="0" w:beforeAutospacing="0" w:afterLines="0" w:afterAutospacing="0" w:line="520" w:lineRule="exact"/>
      <w:ind w:firstLine="0" w:firstLineChars="0"/>
      <w:jc w:val="center"/>
      <w:outlineLvl w:val="2"/>
    </w:pPr>
    <w:rPr>
      <w:rFonts w:ascii="Times New Roman" w:hAnsi="Times New Roman" w:eastAsia="宋体"/>
      <w:b/>
      <w:bCs/>
    </w:rPr>
  </w:style>
  <w:style w:type="paragraph" w:styleId="6">
    <w:name w:val="heading 4"/>
    <w:basedOn w:val="1"/>
    <w:next w:val="1"/>
    <w:qFormat/>
    <w:locked/>
    <w:uiPriority w:val="0"/>
    <w:pPr>
      <w:keepNext/>
      <w:keepLines/>
      <w:spacing w:beforeLines="0" w:afterLines="0" w:line="240" w:lineRule="auto"/>
      <w:ind w:firstLine="0" w:firstLineChars="0"/>
      <w:jc w:val="center"/>
      <w:outlineLvl w:val="3"/>
    </w:pPr>
    <w:rPr>
      <w:sz w:val="21"/>
      <w:szCs w:val="21"/>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lock Text"/>
    <w:basedOn w:val="1"/>
    <w:next w:val="1"/>
    <w:unhideWhenUsed/>
    <w:qFormat/>
    <w:uiPriority w:val="0"/>
    <w:pPr>
      <w:spacing w:beforeLines="0" w:after="120" w:afterLines="0"/>
      <w:ind w:left="1440" w:leftChars="700" w:right="700" w:rightChars="700"/>
    </w:pPr>
    <w:rPr>
      <w:rFonts w:hint="default" w:ascii="Times New Roman" w:hAnsi="Times New Roman" w:eastAsia="宋体" w:cs="Times New Roman"/>
      <w:sz w:val="21"/>
      <w:szCs w:val="24"/>
    </w:rPr>
  </w:style>
  <w:style w:type="paragraph" w:styleId="7">
    <w:name w:val="Normal Indent"/>
    <w:basedOn w:val="1"/>
    <w:next w:val="1"/>
    <w:qFormat/>
    <w:uiPriority w:val="0"/>
    <w:pPr>
      <w:ind w:firstLine="420"/>
    </w:pPr>
    <w:rPr>
      <w:szCs w:val="20"/>
    </w:rPr>
  </w:style>
  <w:style w:type="paragraph" w:styleId="8">
    <w:name w:val="annotation text"/>
    <w:basedOn w:val="1"/>
    <w:link w:val="31"/>
    <w:semiHidden/>
    <w:qFormat/>
    <w:uiPriority w:val="0"/>
    <w:pPr>
      <w:jc w:val="left"/>
    </w:pPr>
    <w:rPr>
      <w:kern w:val="0"/>
      <w:sz w:val="20"/>
    </w:rPr>
  </w:style>
  <w:style w:type="paragraph" w:styleId="9">
    <w:name w:val="Body Text"/>
    <w:basedOn w:val="1"/>
    <w:next w:val="10"/>
    <w:link w:val="32"/>
    <w:qFormat/>
    <w:uiPriority w:val="0"/>
    <w:pPr>
      <w:widowControl/>
      <w:snapToGrid w:val="0"/>
      <w:spacing w:before="60" w:after="160" w:line="259" w:lineRule="auto"/>
      <w:ind w:right="113"/>
    </w:pPr>
    <w:rPr>
      <w:kern w:val="0"/>
      <w:sz w:val="18"/>
      <w:szCs w:val="18"/>
    </w:rPr>
  </w:style>
  <w:style w:type="paragraph" w:customStyle="1" w:styleId="10">
    <w:name w:val="默认段落"/>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styleId="11">
    <w:name w:val="Body Text Indent"/>
    <w:basedOn w:val="1"/>
    <w:next w:val="12"/>
    <w:link w:val="30"/>
    <w:semiHidden/>
    <w:qFormat/>
    <w:uiPriority w:val="0"/>
    <w:pPr>
      <w:spacing w:after="120"/>
      <w:ind w:left="420" w:leftChars="200"/>
    </w:pPr>
  </w:style>
  <w:style w:type="paragraph" w:styleId="12">
    <w:name w:val="Body Text First Indent 2"/>
    <w:basedOn w:val="11"/>
    <w:next w:val="1"/>
    <w:qFormat/>
    <w:uiPriority w:val="0"/>
    <w:pPr>
      <w:ind w:firstLine="420" w:firstLineChars="200"/>
    </w:pPr>
  </w:style>
  <w:style w:type="paragraph" w:styleId="13">
    <w:name w:val="List 2"/>
    <w:basedOn w:val="1"/>
    <w:unhideWhenUsed/>
    <w:qFormat/>
    <w:uiPriority w:val="0"/>
    <w:pPr>
      <w:widowControl w:val="0"/>
      <w:adjustRightInd/>
      <w:snapToGrid/>
      <w:ind w:left="100" w:leftChars="200" w:hanging="200" w:hangingChars="200"/>
      <w:contextualSpacing/>
    </w:pPr>
    <w:rPr>
      <w:szCs w:val="22"/>
      <w:lang w:bidi="ar-SA"/>
    </w:rPr>
  </w:style>
  <w:style w:type="paragraph" w:styleId="14">
    <w:name w:val="Date"/>
    <w:basedOn w:val="1"/>
    <w:next w:val="1"/>
    <w:link w:val="33"/>
    <w:qFormat/>
    <w:uiPriority w:val="0"/>
    <w:pPr>
      <w:ind w:left="100" w:leftChars="2500"/>
    </w:pPr>
    <w:rPr>
      <w:kern w:val="0"/>
      <w:sz w:val="20"/>
    </w:rPr>
  </w:style>
  <w:style w:type="paragraph" w:styleId="15">
    <w:name w:val="Balloon Text"/>
    <w:basedOn w:val="1"/>
    <w:link w:val="34"/>
    <w:semiHidden/>
    <w:qFormat/>
    <w:uiPriority w:val="0"/>
    <w:rPr>
      <w:sz w:val="18"/>
      <w:szCs w:val="18"/>
    </w:rPr>
  </w:style>
  <w:style w:type="paragraph" w:styleId="16">
    <w:name w:val="footer"/>
    <w:basedOn w:val="1"/>
    <w:link w:val="35"/>
    <w:qFormat/>
    <w:uiPriority w:val="0"/>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link w:val="37"/>
    <w:qFormat/>
    <w:uiPriority w:val="0"/>
    <w:pPr>
      <w:widowControl/>
      <w:spacing w:before="100" w:beforeAutospacing="1" w:after="100" w:afterAutospacing="1"/>
      <w:jc w:val="left"/>
    </w:pPr>
    <w:rPr>
      <w:rFonts w:ascii="宋体" w:hAnsi="宋体"/>
      <w:kern w:val="0"/>
      <w:sz w:val="24"/>
    </w:rPr>
  </w:style>
  <w:style w:type="paragraph" w:styleId="20">
    <w:name w:val="annotation subject"/>
    <w:basedOn w:val="8"/>
    <w:next w:val="8"/>
    <w:link w:val="38"/>
    <w:semiHidden/>
    <w:qFormat/>
    <w:uiPriority w:val="0"/>
    <w:rPr>
      <w:b/>
      <w:bCs/>
    </w:rPr>
  </w:style>
  <w:style w:type="table" w:styleId="22">
    <w:name w:val="Table Grid"/>
    <w:basedOn w:val="2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rPr>
  </w:style>
  <w:style w:type="character" w:styleId="25">
    <w:name w:val="page number"/>
    <w:basedOn w:val="23"/>
    <w:qFormat/>
    <w:uiPriority w:val="0"/>
  </w:style>
  <w:style w:type="character" w:styleId="26">
    <w:name w:val="Emphasis"/>
    <w:basedOn w:val="23"/>
    <w:qFormat/>
    <w:locked/>
    <w:uiPriority w:val="0"/>
    <w:rPr>
      <w:i/>
    </w:rPr>
  </w:style>
  <w:style w:type="character" w:styleId="27">
    <w:name w:val="annotation reference"/>
    <w:basedOn w:val="23"/>
    <w:semiHidden/>
    <w:qFormat/>
    <w:uiPriority w:val="0"/>
    <w:rPr>
      <w:sz w:val="21"/>
    </w:rPr>
  </w:style>
  <w:style w:type="paragraph" w:customStyle="1" w:styleId="28">
    <w:name w:val="Default"/>
    <w:basedOn w:val="29"/>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9">
    <w:name w:val="1 表头"/>
    <w:basedOn w:val="1"/>
    <w:qFormat/>
    <w:uiPriority w:val="0"/>
    <w:pPr>
      <w:adjustRightInd w:val="0"/>
      <w:snapToGrid w:val="0"/>
      <w:spacing w:line="240" w:lineRule="auto"/>
      <w:ind w:firstLine="0" w:firstLineChars="0"/>
      <w:jc w:val="center"/>
    </w:pPr>
    <w:rPr>
      <w:b/>
      <w:color w:val="000000"/>
      <w:sz w:val="21"/>
      <w:szCs w:val="21"/>
    </w:rPr>
  </w:style>
  <w:style w:type="character" w:customStyle="1" w:styleId="30">
    <w:name w:val="Body Text Indent Char"/>
    <w:basedOn w:val="23"/>
    <w:link w:val="11"/>
    <w:semiHidden/>
    <w:qFormat/>
    <w:locked/>
    <w:uiPriority w:val="0"/>
    <w:rPr>
      <w:rFonts w:ascii="Times New Roman" w:hAnsi="Times New Roman" w:eastAsia="宋体" w:cs="Times New Roman"/>
      <w:sz w:val="24"/>
      <w:szCs w:val="24"/>
    </w:rPr>
  </w:style>
  <w:style w:type="character" w:customStyle="1" w:styleId="31">
    <w:name w:val="Comment Text Char"/>
    <w:link w:val="8"/>
    <w:qFormat/>
    <w:locked/>
    <w:uiPriority w:val="0"/>
    <w:rPr>
      <w:rFonts w:ascii="Times New Roman" w:hAnsi="Times New Roman" w:eastAsia="宋体"/>
      <w:sz w:val="24"/>
    </w:rPr>
  </w:style>
  <w:style w:type="character" w:customStyle="1" w:styleId="32">
    <w:name w:val="Body Text Char"/>
    <w:link w:val="9"/>
    <w:qFormat/>
    <w:locked/>
    <w:uiPriority w:val="0"/>
    <w:rPr>
      <w:sz w:val="18"/>
    </w:rPr>
  </w:style>
  <w:style w:type="character" w:customStyle="1" w:styleId="33">
    <w:name w:val="Date Char"/>
    <w:link w:val="14"/>
    <w:qFormat/>
    <w:locked/>
    <w:uiPriority w:val="0"/>
    <w:rPr>
      <w:rFonts w:ascii="Times New Roman" w:hAnsi="Times New Roman" w:eastAsia="宋体"/>
      <w:sz w:val="24"/>
    </w:rPr>
  </w:style>
  <w:style w:type="character" w:customStyle="1" w:styleId="34">
    <w:name w:val="Balloon Text Char"/>
    <w:basedOn w:val="23"/>
    <w:link w:val="15"/>
    <w:semiHidden/>
    <w:qFormat/>
    <w:locked/>
    <w:uiPriority w:val="0"/>
    <w:rPr>
      <w:rFonts w:ascii="Times New Roman" w:hAnsi="Times New Roman" w:eastAsia="宋体" w:cs="Times New Roman"/>
      <w:sz w:val="18"/>
      <w:szCs w:val="18"/>
    </w:rPr>
  </w:style>
  <w:style w:type="character" w:customStyle="1" w:styleId="35">
    <w:name w:val="Footer Char"/>
    <w:basedOn w:val="23"/>
    <w:link w:val="16"/>
    <w:qFormat/>
    <w:locked/>
    <w:uiPriority w:val="0"/>
    <w:rPr>
      <w:rFonts w:cs="Times New Roman"/>
      <w:sz w:val="18"/>
      <w:szCs w:val="18"/>
    </w:rPr>
  </w:style>
  <w:style w:type="character" w:customStyle="1" w:styleId="36">
    <w:name w:val="Header Char"/>
    <w:basedOn w:val="23"/>
    <w:link w:val="17"/>
    <w:qFormat/>
    <w:locked/>
    <w:uiPriority w:val="0"/>
    <w:rPr>
      <w:rFonts w:cs="Times New Roman"/>
      <w:sz w:val="18"/>
      <w:szCs w:val="18"/>
    </w:rPr>
  </w:style>
  <w:style w:type="character" w:customStyle="1" w:styleId="37">
    <w:name w:val="Normal (Web) Char"/>
    <w:link w:val="19"/>
    <w:qFormat/>
    <w:locked/>
    <w:uiPriority w:val="0"/>
    <w:rPr>
      <w:rFonts w:ascii="宋体" w:hAnsi="宋体" w:eastAsia="宋体"/>
      <w:sz w:val="24"/>
    </w:rPr>
  </w:style>
  <w:style w:type="character" w:customStyle="1" w:styleId="38">
    <w:name w:val="Comment Subject Char"/>
    <w:basedOn w:val="31"/>
    <w:link w:val="20"/>
    <w:semiHidden/>
    <w:qFormat/>
    <w:locked/>
    <w:uiPriority w:val="0"/>
    <w:rPr>
      <w:rFonts w:cs="Times New Roman"/>
      <w:b/>
      <w:bCs/>
      <w:kern w:val="2"/>
      <w:szCs w:val="24"/>
    </w:rPr>
  </w:style>
  <w:style w:type="character" w:customStyle="1" w:styleId="39">
    <w:name w:val="日期 字符"/>
    <w:basedOn w:val="23"/>
    <w:semiHidden/>
    <w:qFormat/>
    <w:uiPriority w:val="0"/>
    <w:rPr>
      <w:rFonts w:ascii="Times New Roman" w:hAnsi="Times New Roman" w:eastAsia="宋体" w:cs="Times New Roman"/>
      <w:sz w:val="24"/>
      <w:szCs w:val="24"/>
    </w:rPr>
  </w:style>
  <w:style w:type="character" w:customStyle="1" w:styleId="40">
    <w:name w:val="正文文本 字符1"/>
    <w:basedOn w:val="23"/>
    <w:semiHidden/>
    <w:qFormat/>
    <w:uiPriority w:val="0"/>
    <w:rPr>
      <w:rFonts w:ascii="Times New Roman" w:hAnsi="Times New Roman" w:eastAsia="宋体" w:cs="Times New Roman"/>
      <w:sz w:val="24"/>
      <w:szCs w:val="24"/>
    </w:rPr>
  </w:style>
  <w:style w:type="paragraph" w:customStyle="1" w:styleId="41">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2">
    <w:name w:val="表格 Char"/>
    <w:link w:val="43"/>
    <w:qFormat/>
    <w:locked/>
    <w:uiPriority w:val="0"/>
    <w:rPr>
      <w:rFonts w:ascii="宋体"/>
      <w:sz w:val="21"/>
    </w:rPr>
  </w:style>
  <w:style w:type="paragraph" w:customStyle="1" w:styleId="43">
    <w:name w:val="表格"/>
    <w:basedOn w:val="1"/>
    <w:next w:val="1"/>
    <w:link w:val="42"/>
    <w:qFormat/>
    <w:uiPriority w:val="0"/>
    <w:pPr>
      <w:adjustRightInd w:val="0"/>
      <w:snapToGrid w:val="0"/>
      <w:spacing w:beforeLines="10" w:afterLines="10" w:line="259" w:lineRule="auto"/>
      <w:jc w:val="center"/>
    </w:pPr>
    <w:rPr>
      <w:rFonts w:ascii="宋体"/>
      <w:kern w:val="0"/>
      <w:sz w:val="20"/>
      <w:szCs w:val="21"/>
    </w:rPr>
  </w:style>
  <w:style w:type="character" w:customStyle="1" w:styleId="44">
    <w:name w:val="批注文字 字符1"/>
    <w:basedOn w:val="23"/>
    <w:semiHidden/>
    <w:qFormat/>
    <w:uiPriority w:val="0"/>
    <w:rPr>
      <w:rFonts w:ascii="Times New Roman" w:hAnsi="Times New Roman" w:eastAsia="宋体" w:cs="Times New Roman"/>
      <w:sz w:val="24"/>
      <w:szCs w:val="24"/>
    </w:rPr>
  </w:style>
  <w:style w:type="character" w:customStyle="1" w:styleId="45">
    <w:name w:val="普通(网站) Char"/>
    <w:qFormat/>
    <w:locked/>
    <w:uiPriority w:val="0"/>
    <w:rPr>
      <w:rFonts w:ascii="宋体" w:hAnsi="宋体" w:eastAsia="宋体"/>
      <w:sz w:val="24"/>
    </w:rPr>
  </w:style>
  <w:style w:type="paragraph" w:customStyle="1" w:styleId="46">
    <w:name w:val="表名称"/>
    <w:qFormat/>
    <w:uiPriority w:val="0"/>
    <w:pPr>
      <w:adjustRightInd w:val="0"/>
      <w:snapToGrid w:val="0"/>
      <w:jc w:val="center"/>
    </w:pPr>
    <w:rPr>
      <w:rFonts w:ascii="宋体" w:hAnsi="宋体" w:eastAsia="宋体" w:cs="宋体"/>
      <w:b/>
      <w:kern w:val="2"/>
      <w:sz w:val="21"/>
      <w:szCs w:val="21"/>
      <w:lang w:val="en-US" w:eastAsia="zh-CN" w:bidi="ar-SA"/>
    </w:rPr>
  </w:style>
  <w:style w:type="paragraph" w:customStyle="1" w:styleId="47">
    <w:name w:val="正文呀呀呀呀"/>
    <w:basedOn w:val="1"/>
    <w:unhideWhenUsed/>
    <w:qFormat/>
    <w:uiPriority w:val="0"/>
    <w:pPr>
      <w:wordWrap w:val="0"/>
      <w:adjustRightInd w:val="0"/>
      <w:snapToGrid w:val="0"/>
      <w:spacing w:beforeLines="0" w:afterLines="0" w:line="520" w:lineRule="exact"/>
      <w:ind w:firstLine="720" w:firstLineChars="200"/>
      <w:jc w:val="left"/>
    </w:pPr>
    <w:rPr>
      <w:rFonts w:hint="default" w:cs="宋体"/>
      <w:sz w:val="24"/>
      <w:szCs w:val="24"/>
    </w:rPr>
  </w:style>
  <w:style w:type="paragraph" w:customStyle="1" w:styleId="48">
    <w:name w:val="表内文字啊啊啊"/>
    <w:unhideWhenUsed/>
    <w:qFormat/>
    <w:uiPriority w:val="0"/>
    <w:pPr>
      <w:widowControl w:val="0"/>
      <w:adjustRightInd w:val="0"/>
      <w:snapToGrid w:val="0"/>
      <w:spacing w:beforeLines="0" w:afterLines="0"/>
      <w:jc w:val="center"/>
    </w:pPr>
    <w:rPr>
      <w:rFonts w:hint="eastAsia" w:ascii="Times New Roman" w:hAnsi="Times New Roman" w:eastAsia="宋体" w:cs="宋体"/>
      <w:color w:val="auto"/>
      <w:kern w:val="2"/>
      <w:sz w:val="21"/>
      <w:szCs w:val="21"/>
      <w:lang w:val="en-US" w:eastAsia="zh-CN" w:bidi="ar-SA"/>
    </w:rPr>
  </w:style>
  <w:style w:type="paragraph" w:customStyle="1" w:styleId="49">
    <w:name w:val="正文啊啊啊"/>
    <w:unhideWhenUsed/>
    <w:qFormat/>
    <w:uiPriority w:val="0"/>
    <w:pPr>
      <w:widowControl w:val="0"/>
      <w:wordWrap w:val="0"/>
      <w:adjustRightInd w:val="0"/>
      <w:snapToGrid w:val="0"/>
      <w:spacing w:beforeLines="0" w:afterLines="0" w:line="520" w:lineRule="exact"/>
      <w:ind w:firstLine="720" w:firstLineChars="200"/>
    </w:pPr>
    <w:rPr>
      <w:rFonts w:hint="eastAsia" w:ascii="Times New Roman" w:hAnsi="Times New Roman" w:eastAsia="宋体" w:cs="宋体"/>
      <w:kern w:val="2"/>
      <w:sz w:val="24"/>
      <w:szCs w:val="24"/>
      <w:lang w:val="en-US" w:eastAsia="zh-CN" w:bidi="ar-SA"/>
    </w:rPr>
  </w:style>
  <w:style w:type="paragraph" w:customStyle="1" w:styleId="50">
    <w:name w:val="常用正文"/>
    <w:basedOn w:val="1"/>
    <w:qFormat/>
    <w:uiPriority w:val="0"/>
    <w:pPr>
      <w:widowControl/>
      <w:wordWrap w:val="0"/>
      <w:topLinePunct/>
      <w:adjustRightInd w:val="0"/>
      <w:snapToGrid w:val="0"/>
      <w:spacing w:line="360" w:lineRule="auto"/>
      <w:ind w:right="0" w:firstLine="720" w:firstLineChars="200"/>
    </w:pPr>
    <w:rPr>
      <w:szCs w:val="20"/>
    </w:rPr>
  </w:style>
  <w:style w:type="paragraph" w:customStyle="1" w:styleId="51">
    <w:name w:val="正文LLLLLLL"/>
    <w:basedOn w:val="1"/>
    <w:qFormat/>
    <w:uiPriority w:val="0"/>
    <w:pPr>
      <w:spacing w:line="520" w:lineRule="exact"/>
      <w:ind w:firstLine="578" w:firstLineChars="200"/>
      <w:jc w:val="both"/>
    </w:pPr>
    <w:rPr>
      <w:rFonts w:ascii="Times New Roman" w:hAnsi="Times New Roman" w:eastAsia="宋体" w:cs="Times New Roman"/>
      <w:kern w:val="0"/>
      <w:sz w:val="28"/>
      <w:szCs w:val="20"/>
    </w:rPr>
  </w:style>
  <w:style w:type="paragraph" w:customStyle="1" w:styleId="52">
    <w:name w:val="表头"/>
    <w:basedOn w:val="7"/>
    <w:next w:val="1"/>
    <w:qFormat/>
    <w:uiPriority w:val="0"/>
    <w:rPr>
      <w:rFonts w:eastAsia="黑体"/>
      <w:sz w:val="24"/>
    </w:rPr>
  </w:style>
  <w:style w:type="paragraph" w:styleId="53">
    <w:name w:val="No Spacing"/>
    <w:basedOn w:val="18"/>
    <w:next w:val="1"/>
    <w:qFormat/>
    <w:uiPriority w:val="1"/>
    <w:pPr>
      <w:spacing w:line="240" w:lineRule="auto"/>
      <w:ind w:left="0" w:firstLine="0" w:firstLineChars="0"/>
      <w:jc w:val="center"/>
      <w:textAlignment w:val="center"/>
    </w:pPr>
    <w:rPr>
      <w:sz w:val="21"/>
      <w:szCs w:val="22"/>
    </w:rPr>
  </w:style>
  <w:style w:type="paragraph" w:customStyle="1" w:styleId="54">
    <w:name w:val="表格内容"/>
    <w:basedOn w:val="52"/>
    <w:qFormat/>
    <w:uiPriority w:val="0"/>
    <w:pPr>
      <w:numPr>
        <w:ilvl w:val="0"/>
        <w:numId w:val="0"/>
      </w:numPr>
      <w:tabs>
        <w:tab w:val="left" w:pos="420"/>
      </w:tabs>
      <w:autoSpaceDE w:val="0"/>
      <w:autoSpaceDN w:val="0"/>
      <w:spacing w:before="0" w:after="0" w:line="240" w:lineRule="auto"/>
      <w:textAlignment w:val="center"/>
    </w:pPr>
    <w:rPr>
      <w:rFonts w:ascii="宋体" w:hAnsi="宋体" w:eastAsia="宋体"/>
      <w:color w:val="000000"/>
      <w:szCs w:val="21"/>
    </w:rPr>
  </w:style>
  <w:style w:type="paragraph" w:customStyle="1" w:styleId="55">
    <w:name w:val="01 标题"/>
    <w:basedOn w:val="1"/>
    <w:qFormat/>
    <w:uiPriority w:val="0"/>
    <w:pPr>
      <w:numPr>
        <w:ilvl w:val="0"/>
        <w:numId w:val="2"/>
      </w:numPr>
      <w:autoSpaceDE w:val="0"/>
      <w:autoSpaceDN w:val="0"/>
      <w:adjustRightInd w:val="0"/>
      <w:snapToGrid w:val="0"/>
      <w:spacing w:before="50" w:beforeLines="50" w:after="50" w:afterLines="50" w:line="560" w:lineRule="exact"/>
    </w:pPr>
    <w:rPr>
      <w:rFonts w:ascii="宋体" w:hAnsi="宋体" w:eastAsia="宋体"/>
      <w:b/>
      <w:bCs/>
      <w:color w:val="000000"/>
      <w:sz w:val="24"/>
      <w:szCs w:val="21"/>
    </w:rPr>
  </w:style>
  <w:style w:type="paragraph" w:customStyle="1" w:styleId="56">
    <w:name w:val="04 正文"/>
    <w:basedOn w:val="28"/>
    <w:link w:val="58"/>
    <w:qFormat/>
    <w:uiPriority w:val="0"/>
    <w:pPr>
      <w:wordWrap/>
      <w:bidi w:val="0"/>
      <w:adjustRightInd w:val="0"/>
      <w:snapToGrid w:val="0"/>
      <w:spacing w:line="500" w:lineRule="exact"/>
      <w:ind w:firstLine="480" w:firstLineChars="200"/>
    </w:pPr>
    <w:rPr>
      <w:rFonts w:hAnsi="宋体" w:eastAsia="宋体"/>
    </w:rPr>
  </w:style>
  <w:style w:type="paragraph" w:customStyle="1" w:styleId="57">
    <w:name w:val="纯文本1"/>
    <w:basedOn w:val="1"/>
    <w:qFormat/>
    <w:uiPriority w:val="0"/>
    <w:pPr>
      <w:adjustRightInd w:val="0"/>
      <w:textAlignment w:val="baseline"/>
    </w:pPr>
    <w:rPr>
      <w:rFonts w:ascii="宋体" w:hAnsi="Courier New"/>
      <w:szCs w:val="20"/>
    </w:rPr>
  </w:style>
  <w:style w:type="character" w:customStyle="1" w:styleId="58">
    <w:name w:val="04 正文 字符"/>
    <w:link w:val="56"/>
    <w:qFormat/>
    <w:uiPriority w:val="0"/>
    <w:rPr>
      <w:rFonts w:hAnsi="宋体" w:eastAsia="宋体"/>
    </w:rPr>
  </w:style>
  <w:style w:type="paragraph" w:customStyle="1" w:styleId="59">
    <w:name w:val="修改文字"/>
    <w:basedOn w:val="1"/>
    <w:qFormat/>
    <w:uiPriority w:val="0"/>
    <w:pPr>
      <w:numPr>
        <w:ilvl w:val="0"/>
        <w:numId w:val="3"/>
      </w:numPr>
      <w:autoSpaceDE w:val="0"/>
      <w:autoSpaceDN w:val="0"/>
      <w:adjustRightInd w:val="0"/>
      <w:spacing w:line="520" w:lineRule="exact"/>
      <w:ind w:firstLine="480"/>
      <w:textAlignment w:val="baseline"/>
      <w:outlineLvl w:val="9"/>
    </w:pPr>
    <w:rPr>
      <w:rFonts w:hint="eastAsia" w:ascii="Times New Roman" w:hAnsi="Times New Roman" w:eastAsia="宋体" w:cs="宋体"/>
      <w:bCs/>
      <w:color w:val="0000FF"/>
      <w:sz w:val="24"/>
    </w:rPr>
  </w:style>
  <w:style w:type="paragraph" w:customStyle="1" w:styleId="60">
    <w:name w:val="02 标题"/>
    <w:basedOn w:val="1"/>
    <w:qFormat/>
    <w:uiPriority w:val="0"/>
    <w:pPr>
      <w:numPr>
        <w:ilvl w:val="1"/>
        <w:numId w:val="2"/>
      </w:numPr>
      <w:adjustRightInd w:val="0"/>
      <w:snapToGrid w:val="0"/>
      <w:spacing w:before="35" w:beforeLines="35" w:after="25" w:afterLines="25" w:line="520" w:lineRule="atLeast"/>
      <w:ind w:left="0" w:firstLine="480" w:firstLineChars="200"/>
    </w:pPr>
    <w:rPr>
      <w:rFonts w:ascii="宋体" w:hAnsi="宋体" w:eastAsia="宋体"/>
      <w:b/>
      <w:color w:val="000000"/>
      <w:sz w:val="24"/>
    </w:rPr>
  </w:style>
  <w:style w:type="paragraph" w:customStyle="1" w:styleId="61">
    <w:name w:val="03 标题"/>
    <w:basedOn w:val="56"/>
    <w:qFormat/>
    <w:uiPriority w:val="0"/>
    <w:pPr>
      <w:numPr>
        <w:ilvl w:val="2"/>
        <w:numId w:val="2"/>
      </w:numPr>
      <w:ind w:firstLine="200"/>
    </w:pPr>
    <w:rPr>
      <w:rFonts w:hAnsi="宋体" w:eastAsia="宋体"/>
    </w:rPr>
  </w:style>
  <w:style w:type="paragraph" w:customStyle="1" w:styleId="62">
    <w:name w:val="Table Text"/>
    <w:basedOn w:val="1"/>
    <w:semiHidden/>
    <w:qFormat/>
    <w:uiPriority w:val="0"/>
    <w:rPr>
      <w:rFonts w:ascii="宋体" w:hAnsi="宋体" w:eastAsia="宋体" w:cs="宋体"/>
      <w:sz w:val="28"/>
      <w:szCs w:val="28"/>
      <w:lang w:val="en-US" w:eastAsia="en-US" w:bidi="ar-SA"/>
    </w:rPr>
  </w:style>
  <w:style w:type="table" w:customStyle="1" w:styleId="63">
    <w:name w:val="Table Normal"/>
    <w:semiHidden/>
    <w:unhideWhenUsed/>
    <w:qFormat/>
    <w:uiPriority w:val="0"/>
    <w:tblPr>
      <w:tblCellMar>
        <w:top w:w="0" w:type="dxa"/>
        <w:left w:w="0" w:type="dxa"/>
        <w:bottom w:w="0" w:type="dxa"/>
        <w:right w:w="0" w:type="dxa"/>
      </w:tblCellMar>
    </w:tblPr>
  </w:style>
  <w:style w:type="character" w:customStyle="1" w:styleId="64">
    <w:name w:val="font912"/>
    <w:basedOn w:val="23"/>
    <w:qFormat/>
    <w:uiPriority w:val="0"/>
    <w:rPr>
      <w:rFonts w:ascii="宋体" w:hAnsi="宋体" w:eastAsia="宋体" w:cs="宋体"/>
      <w:b/>
      <w:bCs/>
      <w:color w:val="000000"/>
      <w:sz w:val="12"/>
      <w:szCs w:val="12"/>
      <w:u w:val="none"/>
    </w:rPr>
  </w:style>
  <w:style w:type="character" w:customStyle="1" w:styleId="65">
    <w:name w:val="font381"/>
    <w:basedOn w:val="23"/>
    <w:qFormat/>
    <w:uiPriority w:val="0"/>
    <w:rPr>
      <w:rFonts w:ascii="宋体" w:hAnsi="宋体" w:eastAsia="宋体" w:cs="宋体"/>
      <w:color w:val="000000"/>
      <w:sz w:val="12"/>
      <w:szCs w:val="12"/>
      <w:u w:val="none"/>
    </w:rPr>
  </w:style>
  <w:style w:type="character" w:customStyle="1" w:styleId="66">
    <w:name w:val="font34"/>
    <w:basedOn w:val="23"/>
    <w:qFormat/>
    <w:uiPriority w:val="0"/>
    <w:rPr>
      <w:rFonts w:ascii="宋体" w:hAnsi="宋体" w:eastAsia="宋体" w:cs="宋体"/>
      <w:b/>
      <w:bCs/>
      <w:color w:val="304050"/>
      <w:sz w:val="12"/>
      <w:szCs w:val="12"/>
      <w:u w:val="none"/>
    </w:rPr>
  </w:style>
  <w:style w:type="character" w:customStyle="1" w:styleId="67">
    <w:name w:val="font51"/>
    <w:basedOn w:val="23"/>
    <w:qFormat/>
    <w:uiPriority w:val="0"/>
    <w:rPr>
      <w:rFonts w:ascii="宋体" w:hAnsi="宋体" w:eastAsia="宋体" w:cs="宋体"/>
      <w:color w:val="506070"/>
      <w:sz w:val="12"/>
      <w:szCs w:val="12"/>
      <w:u w:val="none"/>
    </w:rPr>
  </w:style>
  <w:style w:type="character" w:customStyle="1" w:styleId="68">
    <w:name w:val="font191"/>
    <w:basedOn w:val="23"/>
    <w:qFormat/>
    <w:uiPriority w:val="0"/>
    <w:rPr>
      <w:rFonts w:ascii="宋体" w:hAnsi="宋体" w:eastAsia="宋体" w:cs="宋体"/>
      <w:color w:val="506060"/>
      <w:sz w:val="12"/>
      <w:szCs w:val="12"/>
      <w:u w:val="none"/>
    </w:rPr>
  </w:style>
  <w:style w:type="character" w:customStyle="1" w:styleId="69">
    <w:name w:val="font301"/>
    <w:basedOn w:val="23"/>
    <w:qFormat/>
    <w:uiPriority w:val="0"/>
    <w:rPr>
      <w:rFonts w:ascii="宋体" w:hAnsi="宋体" w:eastAsia="宋体" w:cs="宋体"/>
      <w:color w:val="404050"/>
      <w:sz w:val="12"/>
      <w:szCs w:val="12"/>
      <w:u w:val="none"/>
    </w:rPr>
  </w:style>
  <w:style w:type="character" w:customStyle="1" w:styleId="70">
    <w:name w:val="font13"/>
    <w:basedOn w:val="23"/>
    <w:qFormat/>
    <w:uiPriority w:val="0"/>
    <w:rPr>
      <w:rFonts w:ascii="宋体" w:hAnsi="宋体" w:eastAsia="宋体" w:cs="宋体"/>
      <w:color w:val="4070C0"/>
      <w:sz w:val="10"/>
      <w:szCs w:val="10"/>
      <w:u w:val="none"/>
    </w:rPr>
  </w:style>
  <w:style w:type="character" w:customStyle="1" w:styleId="71">
    <w:name w:val="font21"/>
    <w:basedOn w:val="23"/>
    <w:qFormat/>
    <w:uiPriority w:val="0"/>
    <w:rPr>
      <w:rFonts w:ascii="宋体" w:hAnsi="宋体" w:eastAsia="宋体" w:cs="宋体"/>
      <w:color w:val="505070"/>
      <w:sz w:val="10"/>
      <w:szCs w:val="10"/>
      <w:u w:val="none"/>
    </w:rPr>
  </w:style>
  <w:style w:type="character" w:customStyle="1" w:styleId="72">
    <w:name w:val="font31"/>
    <w:basedOn w:val="23"/>
    <w:qFormat/>
    <w:uiPriority w:val="0"/>
    <w:rPr>
      <w:rFonts w:ascii="宋体" w:hAnsi="宋体" w:eastAsia="宋体" w:cs="宋体"/>
      <w:color w:val="505060"/>
      <w:sz w:val="10"/>
      <w:szCs w:val="10"/>
      <w:u w:val="none"/>
    </w:rPr>
  </w:style>
  <w:style w:type="character" w:customStyle="1" w:styleId="73">
    <w:name w:val="font351"/>
    <w:basedOn w:val="23"/>
    <w:qFormat/>
    <w:uiPriority w:val="0"/>
    <w:rPr>
      <w:rFonts w:ascii="宋体" w:hAnsi="宋体" w:eastAsia="宋体" w:cs="宋体"/>
      <w:color w:val="405070"/>
      <w:sz w:val="10"/>
      <w:szCs w:val="10"/>
      <w:u w:val="none"/>
    </w:rPr>
  </w:style>
  <w:style w:type="character" w:customStyle="1" w:styleId="74">
    <w:name w:val="font41"/>
    <w:basedOn w:val="23"/>
    <w:qFormat/>
    <w:uiPriority w:val="0"/>
    <w:rPr>
      <w:rFonts w:ascii="宋体" w:hAnsi="宋体" w:eastAsia="宋体" w:cs="宋体"/>
      <w:color w:val="404050"/>
      <w:sz w:val="10"/>
      <w:szCs w:val="10"/>
      <w:u w:val="none"/>
    </w:rPr>
  </w:style>
  <w:style w:type="character" w:customStyle="1" w:styleId="75">
    <w:name w:val="font181"/>
    <w:basedOn w:val="23"/>
    <w:qFormat/>
    <w:uiPriority w:val="0"/>
    <w:rPr>
      <w:rFonts w:ascii="宋体" w:hAnsi="宋体" w:eastAsia="宋体" w:cs="宋体"/>
      <w:color w:val="606070"/>
      <w:sz w:val="10"/>
      <w:szCs w:val="10"/>
      <w:u w:val="none"/>
    </w:rPr>
  </w:style>
  <w:style w:type="character" w:customStyle="1" w:styleId="76">
    <w:name w:val="font61"/>
    <w:basedOn w:val="23"/>
    <w:qFormat/>
    <w:uiPriority w:val="0"/>
    <w:rPr>
      <w:rFonts w:ascii="宋体" w:hAnsi="宋体" w:eastAsia="宋体" w:cs="宋体"/>
      <w:color w:val="3060A0"/>
      <w:sz w:val="10"/>
      <w:szCs w:val="10"/>
      <w:u w:val="none"/>
    </w:rPr>
  </w:style>
  <w:style w:type="character" w:customStyle="1" w:styleId="77">
    <w:name w:val="font212"/>
    <w:basedOn w:val="23"/>
    <w:qFormat/>
    <w:uiPriority w:val="0"/>
    <w:rPr>
      <w:rFonts w:ascii="宋体" w:hAnsi="宋体" w:eastAsia="宋体" w:cs="宋体"/>
      <w:color w:val="304070"/>
      <w:sz w:val="10"/>
      <w:szCs w:val="10"/>
      <w:u w:val="none"/>
    </w:rPr>
  </w:style>
  <w:style w:type="character" w:customStyle="1" w:styleId="78">
    <w:name w:val="font361"/>
    <w:basedOn w:val="23"/>
    <w:qFormat/>
    <w:uiPriority w:val="0"/>
    <w:rPr>
      <w:rFonts w:ascii="宋体" w:hAnsi="宋体" w:eastAsia="宋体" w:cs="宋体"/>
      <w:color w:val="000000"/>
      <w:sz w:val="10"/>
      <w:szCs w:val="10"/>
      <w:u w:val="none"/>
    </w:rPr>
  </w:style>
  <w:style w:type="character" w:customStyle="1" w:styleId="79">
    <w:name w:val="font81"/>
    <w:basedOn w:val="23"/>
    <w:qFormat/>
    <w:uiPriority w:val="0"/>
    <w:rPr>
      <w:rFonts w:ascii="宋体" w:hAnsi="宋体" w:eastAsia="宋体" w:cs="宋体"/>
      <w:color w:val="406080"/>
      <w:sz w:val="10"/>
      <w:szCs w:val="10"/>
      <w:u w:val="none"/>
    </w:rPr>
  </w:style>
  <w:style w:type="character" w:customStyle="1" w:styleId="80">
    <w:name w:val="font91"/>
    <w:basedOn w:val="23"/>
    <w:qFormat/>
    <w:uiPriority w:val="0"/>
    <w:rPr>
      <w:rFonts w:ascii="宋体" w:hAnsi="宋体" w:eastAsia="宋体" w:cs="宋体"/>
      <w:color w:val="304050"/>
      <w:sz w:val="10"/>
      <w:szCs w:val="10"/>
      <w:u w:val="none"/>
    </w:rPr>
  </w:style>
  <w:style w:type="character" w:customStyle="1" w:styleId="81">
    <w:name w:val="font101"/>
    <w:basedOn w:val="23"/>
    <w:qFormat/>
    <w:uiPriority w:val="0"/>
    <w:rPr>
      <w:rFonts w:ascii="宋体" w:hAnsi="宋体" w:eastAsia="宋体" w:cs="宋体"/>
      <w:color w:val="304060"/>
      <w:sz w:val="10"/>
      <w:szCs w:val="10"/>
      <w:u w:val="none"/>
    </w:rPr>
  </w:style>
  <w:style w:type="character" w:customStyle="1" w:styleId="82">
    <w:name w:val="font121"/>
    <w:basedOn w:val="23"/>
    <w:qFormat/>
    <w:uiPriority w:val="0"/>
    <w:rPr>
      <w:rFonts w:ascii="宋体" w:hAnsi="宋体" w:eastAsia="宋体" w:cs="宋体"/>
      <w:color w:val="203050"/>
      <w:sz w:val="10"/>
      <w:szCs w:val="10"/>
      <w:u w:val="none"/>
    </w:rPr>
  </w:style>
  <w:style w:type="character" w:customStyle="1" w:styleId="83">
    <w:name w:val="font161"/>
    <w:basedOn w:val="23"/>
    <w:qFormat/>
    <w:uiPriority w:val="0"/>
    <w:rPr>
      <w:rFonts w:ascii="宋体" w:hAnsi="宋体" w:eastAsia="宋体" w:cs="宋体"/>
      <w:color w:val="305080"/>
      <w:sz w:val="10"/>
      <w:szCs w:val="10"/>
      <w:u w:val="none"/>
    </w:rPr>
  </w:style>
  <w:style w:type="character" w:customStyle="1" w:styleId="84">
    <w:name w:val="font261"/>
    <w:basedOn w:val="23"/>
    <w:qFormat/>
    <w:uiPriority w:val="0"/>
    <w:rPr>
      <w:rFonts w:ascii="宋体" w:hAnsi="宋体" w:eastAsia="宋体" w:cs="宋体"/>
      <w:color w:val="204080"/>
      <w:sz w:val="10"/>
      <w:szCs w:val="10"/>
      <w:u w:val="none"/>
    </w:rPr>
  </w:style>
  <w:style w:type="character" w:customStyle="1" w:styleId="85">
    <w:name w:val="font331"/>
    <w:basedOn w:val="23"/>
    <w:qFormat/>
    <w:uiPriority w:val="0"/>
    <w:rPr>
      <w:rFonts w:ascii="宋体" w:hAnsi="宋体" w:eastAsia="宋体" w:cs="宋体"/>
      <w:color w:val="204070"/>
      <w:sz w:val="10"/>
      <w:szCs w:val="10"/>
      <w:u w:val="none"/>
    </w:rPr>
  </w:style>
  <w:style w:type="paragraph" w:customStyle="1" w:styleId="86">
    <w:name w:val="正文格式啊啊啊啊"/>
    <w:basedOn w:val="1"/>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paragraph" w:customStyle="1" w:styleId="87">
    <w:name w:val="111表格内"/>
    <w:basedOn w:val="1"/>
    <w:qFormat/>
    <w:uiPriority w:val="0"/>
    <w:pPr>
      <w:wordWrap w:val="0"/>
      <w:jc w:val="center"/>
    </w:pPr>
    <w:rPr>
      <w:rFonts w:ascii="Times New Roman" w:hAnsi="Times New Roman" w:eastAsia="宋体"/>
      <w:szCs w:val="21"/>
    </w:rPr>
  </w:style>
  <w:style w:type="character" w:customStyle="1" w:styleId="88">
    <w:name w:val="font71"/>
    <w:basedOn w:val="23"/>
    <w:qFormat/>
    <w:uiPriority w:val="0"/>
    <w:rPr>
      <w:rFonts w:hint="eastAsia" w:ascii="宋体" w:hAnsi="宋体" w:eastAsia="宋体" w:cs="宋体"/>
      <w:color w:val="506080"/>
      <w:sz w:val="8"/>
      <w:szCs w:val="8"/>
      <w:u w:val="none"/>
    </w:rPr>
  </w:style>
  <w:style w:type="character" w:customStyle="1" w:styleId="89">
    <w:name w:val="font112"/>
    <w:basedOn w:val="23"/>
    <w:qFormat/>
    <w:uiPriority w:val="0"/>
    <w:rPr>
      <w:rFonts w:hint="eastAsia" w:ascii="宋体" w:hAnsi="宋体" w:eastAsia="宋体" w:cs="宋体"/>
      <w:color w:val="303050"/>
      <w:sz w:val="8"/>
      <w:szCs w:val="8"/>
      <w:u w:val="none"/>
    </w:rPr>
  </w:style>
  <w:style w:type="character" w:customStyle="1" w:styleId="90">
    <w:name w:val="font131"/>
    <w:basedOn w:val="23"/>
    <w:qFormat/>
    <w:uiPriority w:val="0"/>
    <w:rPr>
      <w:rFonts w:hint="eastAsia" w:ascii="宋体" w:hAnsi="宋体" w:eastAsia="宋体" w:cs="宋体"/>
      <w:color w:val="3050B0"/>
      <w:sz w:val="8"/>
      <w:szCs w:val="8"/>
      <w:u w:val="none"/>
    </w:rPr>
  </w:style>
  <w:style w:type="character" w:customStyle="1" w:styleId="91">
    <w:name w:val="font141"/>
    <w:basedOn w:val="23"/>
    <w:qFormat/>
    <w:uiPriority w:val="0"/>
    <w:rPr>
      <w:rFonts w:hint="eastAsia" w:ascii="宋体" w:hAnsi="宋体" w:eastAsia="宋体" w:cs="宋体"/>
      <w:color w:val="305060"/>
      <w:sz w:val="8"/>
      <w:szCs w:val="8"/>
      <w:u w:val="none"/>
    </w:rPr>
  </w:style>
  <w:style w:type="character" w:customStyle="1" w:styleId="92">
    <w:name w:val="font111"/>
    <w:basedOn w:val="23"/>
    <w:qFormat/>
    <w:uiPriority w:val="0"/>
    <w:rPr>
      <w:rFonts w:hint="eastAsia" w:ascii="宋体" w:hAnsi="宋体" w:eastAsia="宋体" w:cs="宋体"/>
      <w:color w:val="305060"/>
      <w:sz w:val="8"/>
      <w:szCs w:val="8"/>
      <w:u w:val="none"/>
    </w:rPr>
  </w:style>
  <w:style w:type="character" w:customStyle="1" w:styleId="93">
    <w:name w:val="font122"/>
    <w:basedOn w:val="23"/>
    <w:qFormat/>
    <w:uiPriority w:val="0"/>
    <w:rPr>
      <w:rFonts w:hint="eastAsia" w:ascii="宋体" w:hAnsi="宋体" w:eastAsia="宋体" w:cs="宋体"/>
      <w:color w:val="405060"/>
      <w:sz w:val="8"/>
      <w:szCs w:val="8"/>
      <w:u w:val="none"/>
    </w:rPr>
  </w:style>
  <w:style w:type="paragraph" w:customStyle="1" w:styleId="94">
    <w:name w:val="小标题啊啊啊啊啊"/>
    <w:basedOn w:val="1"/>
    <w:qFormat/>
    <w:uiPriority w:val="0"/>
    <w:pPr>
      <w:adjustRightInd w:val="0"/>
      <w:snapToGrid w:val="0"/>
      <w:spacing w:line="520" w:lineRule="exact"/>
      <w:jc w:val="left"/>
    </w:pPr>
    <w:rPr>
      <w:rFonts w:ascii="Times New Roman" w:hAnsi="Times New Roman" w:eastAsia="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"/>
    </extobj>
  </extobjs>
</s:customData>
</file>

<file path=customXml/item2.xml><?xml version="1.0" encoding="utf-8"?>
<contractReview xmlns="http://schemas.wps.cn/vas-ai-hub/contract-review">
  <reviewItems>
    <reviewItem>
      <errorID>7125a81d-5b4d-4350-849b-3d4d767e5225</errorID>
      <errorWord>-</errorWord>
      <group>L1_Format</group>
      <groupName>格式问题</groupName>
      <ability>L2_HalfPunc</ability>
      <abilityName>全半角检查</abilityName>
      <candidateList>
        <item>－</item>
      </candidateList>
      <explain>文本全半角错误。</explain>
      <paraID>14EBCA27</paraID>
      <start>23</start>
      <end>24</end>
      <status>unmodified</status>
      <modifiedWord/>
      <trackRevisions>false</trackRevisions>
    </reviewItem>
    <reviewItem>
      <errorID>5b23b1c3-9081-4b52-9df5-4318952e2a57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3D98375B</paraID>
      <start>4</start>
      <end>5</end>
      <status>unmodified</status>
      <modifiedWord/>
      <trackRevisions>false</trackRevisions>
    </reviewItem>
    <reviewItem>
      <errorID>14e8248d-57f1-4b88-9733-1c6c9bac11c5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675D2783</paraID>
      <start>2</start>
      <end>3</end>
      <status>unmodified</status>
      <modifiedWord/>
      <trackRevisions>false</trackRevisions>
    </reviewItem>
    <reviewItem>
      <errorID>5b23b1c3-9081-4b52-9df5-4318952e2a57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1CD678D4</paraID>
      <start>4</start>
      <end>5</end>
      <status>unmodified</status>
      <modifiedWord/>
      <trackRevisions>false</trackRevisions>
    </reviewItem>
    <reviewItem>
      <errorID>2e263cb5-3599-4003-a99d-db272b14d1d3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49EB0F38</paraID>
      <start>2</start>
      <end>3</end>
      <status>unmodified</status>
      <modifiedWord/>
      <trackRevisions>false</trackRevisions>
    </reviewItem>
    <reviewItem>
      <errorID>38b06307-a283-49b9-957c-93e348319cb3</errorID>
      <errorWord>                             </errorWord>
      <group>L1_Format</group>
      <groupName>格式问题</groupName>
      <ability>L2_Whitespace</ability>
      <abilityName>空白字符</abilityName>
      <candidateList>
        <item/>
      </candidateList>
      <explain>文本间存在多余的空白字符。</explain>
      <paraID>371CE736</paraID>
      <start>3</start>
      <end>32</end>
      <status>unmodified</status>
      <modifiedWord/>
      <trackRevisions>false</trackRevisions>
    </reviewItem>
    <reviewItem>
      <errorID>b056e186-af14-4631-b175-491749ab5818</errorID>
      <errorWord> </errorWord>
      <group>L1_Format</group>
      <groupName>格式问题</groupName>
      <ability>L2_Whitespace</ability>
      <abilityName>空白字符</abilityName>
      <candidateList>
        <item/>
      </candidateList>
      <explain>文本间存在多余的空白字符。</explain>
      <paraID>57F852DF</paraID>
      <start>1</start>
      <end>2</end>
      <status>unmodified</status>
      <modifiedWord/>
      <trackRevisions>false</trackRevisions>
    </reviewItem>
    <reviewItem>
      <errorID>5fe13156-e892-44b7-9c0a-ff95f3d8f3ac</errorID>
      <errorWord> </errorWord>
      <group>L1_Format</group>
      <groupName>格式问题</groupName>
      <ability>L2_Whitespace</ability>
      <abilityName>空白字符</abilityName>
      <candidateList>
        <item/>
      </candidateList>
      <explain>文本间存在多余的空白字符。</explain>
      <paraID>3B6FAF6A</paraID>
      <start>50</start>
      <end>51</end>
      <status>unmodified</status>
      <modifiedWord/>
      <trackRevisions>false</trackRevisions>
    </reviewItem>
    <reviewItem>
      <errorID>562f2c1b-2d10-4d98-ab8a-63762c3c40c6</errorID>
      <errorWord>  </errorWord>
      <group>L1_Format</group>
      <groupName>格式问题</groupName>
      <ability>L2_Whitespace</ability>
      <abilityName>空白字符</abilityName>
      <candidateList>
        <item/>
      </candidateList>
      <explain>文本间存在多余的空白字符。</explain>
      <paraID>7CD3E247</paraID>
      <start>4</start>
      <end>6</end>
      <status>unmodified</status>
      <modifiedWord/>
      <trackRevisions>false</trackRevisions>
    </reviewItem>
    <reviewItem>
      <errorID>6033540c-652a-4f2c-a21d-3ef90be934fd</errorID>
      <errorWord> </errorWord>
      <group>L1_Format</group>
      <groupName>格式问题</groupName>
      <ability>L2_Whitespace</ability>
      <abilityName>空白字符</abilityName>
      <candidateList>
        <item/>
      </candidateList>
      <explain>文本间存在多余的空白字符。</explain>
      <paraID>39A014A6</paraID>
      <start>1</start>
      <end>2</end>
      <status>unmodified</status>
      <modifiedWord/>
      <trackRevisions>false</trackRevisions>
    </reviewItem>
    <reviewItem>
      <errorID>fe6d14df-69a5-46ea-88a0-eeac94c465b8</errorID>
      <errorWord>农业灌溉水有效利用系数</errorWord>
      <group>L1_Political</group>
      <groupName>政治性问题</groupName>
      <ability>L2_Keyword</ability>
      <abilityName>固定表述</abilityName>
      <candidateList>
        <item>农田灌溉水有效利用系数</item>
      </candidateList>
      <explain>词汇“农田灌溉水有效利用系数”在特定场景下为固定表述形式，请确认此处的“农业灌溉水有效利用系数”是否存在不当。</explain>
      <paraID>2E101B8A</paraID>
      <start>206</start>
      <end>217</end>
      <status>unmodified</status>
      <modifiedWord/>
      <trackRevisions>false</trackRevisions>
    </reviewItem>
    <reviewItem>
      <errorID>69c1c75b-a75c-4934-b4b0-3d24fdee1081</errorID>
      <errorWord>农业灌溉水有效利用系数</errorWord>
      <group>L1_Political</group>
      <groupName>政治性问题</groupName>
      <ability>L2_Keyword</ability>
      <abilityName>固定表述</abilityName>
      <candidateList>
        <item>农田灌溉水有效利用系数</item>
      </candidateList>
      <explain>词汇“农田灌溉水有效利用系数”在特定场景下为固定表述形式，请确认此处的“农业灌溉水有效利用系数”是否存在不当。</explain>
      <paraID>5B9313C3</paraID>
      <start>26</start>
      <end>37</end>
      <status>unmodified</status>
      <modifiedWord/>
      <trackRevisions>false</trackRevisions>
    </reviewItem>
    <reviewItem>
      <errorID>f6551914-9b65-480d-9924-61885490a92f</errorID>
      <errorWord> </errorWord>
      <group>L1_Format</group>
      <groupName>格式问题</groupName>
      <ability>L2_Whitespace</ability>
      <abilityName>空白字符</abilityName>
      <candidateList>
        <item/>
      </candidateList>
      <explain>文本间存在多余的空白字符。</explain>
      <paraID>54CAED93</paraID>
      <start>1</start>
      <end>2</end>
      <status>unmodified</status>
      <modifiedWord/>
      <trackRevisions>false</trackRevisions>
    </reviewItem>
    <reviewItem>
      <errorID>a927d8cb-a46c-4aee-9aff-6651dee026c1</errorID>
      <errorWord> </errorWord>
      <group>L1_Format</group>
      <groupName>格式问题</groupName>
      <ability>L2_Whitespace</ability>
      <abilityName>空白字符</abilityName>
      <candidateList>
        <item/>
      </candidateList>
      <explain>文本间存在多余的空白字符。</explain>
      <paraID>49359A04</paraID>
      <start>3</start>
      <end>4</end>
      <status>unmodified</status>
      <modifiedWord/>
      <trackRevisions>false</trackRevisions>
    </reviewItem>
    <reviewItem>
      <errorID>8455a764-c459-4daa-bfb5-2dda87b96370</errorID>
      <errorWord>城市应急和备用水源</errorWord>
      <group>L1_Political</group>
      <groupName>政治性问题</groupName>
      <ability>L2_Keyword</ability>
      <abilityName>固定表述</abilityName>
      <candidateList>
        <item>城市应急备用水源</item>
      </candidateList>
      <explain>词汇“城市应急备用水源”在特定场景下为固定表述形式，请确认此处的“城市应急和备用水源”是否存在不当。</explain>
      <paraID>5BA264D3</paraID>
      <start>189</start>
      <end>198</end>
      <status>unmodified</status>
      <modifiedWord/>
      <trackRevisions>false</trackRevisions>
    </reviewItem>
    <reviewItem>
      <errorID>b6f124e3-407c-46ef-8fa8-73217f24d370</errorID>
      <errorWord> </errorWord>
      <group>L1_Format</group>
      <groupName>格式问题</groupName>
      <ability>L2_Whitespace</ability>
      <abilityName>空白字符</abilityName>
      <candidateList>
        <item/>
      </candidateList>
      <explain>文本间存在多余的空白字符。</explain>
      <paraID>4D11E000</paraID>
      <start>1</start>
      <end>2</end>
      <status>unmodified</status>
      <modifiedWord/>
      <trackRevisions>false</trackRevisions>
    </reviewItem>
    <reviewItem>
      <errorID>321916a7-315a-4967-80db-555a6a2d3625</errorID>
      <errorWord>  </errorWord>
      <group>L1_Format</group>
      <groupName>格式问题</groupName>
      <ability>L2_Whitespace</ability>
      <abilityName>空白字符</abilityName>
      <candidateList>
        <item/>
      </candidateList>
      <explain>文本间存在多余的空白字符。</explain>
      <paraID>63EA443C</paraID>
      <start>4</start>
      <end>6</end>
      <status>unmodified</status>
      <modifiedWord/>
      <trackRevisions>false</trackRevisions>
    </reviewItem>
    <reviewItem>
      <errorID>f4293f4c-4dc4-444f-b94b-743ff7637e80</errorID>
      <errorWord>农业灌溉水有效利用系数</errorWord>
      <group>L1_Political</group>
      <groupName>政治性问题</groupName>
      <ability>L2_Keyword</ability>
      <abilityName>固定表述</abilityName>
      <candidateList>
        <item>农田灌溉水有效利用系数</item>
      </candidateList>
      <explain>词汇“农田灌溉水有效利用系数”在特定场景下为固定表述形式，请确认此处的“农业灌溉水有效利用系数”是否存在不当。</explain>
      <paraID>44197AF6</paraID>
      <start>2</start>
      <end>13</end>
      <status>unmodified</status>
      <modifiedWord/>
      <trackRevisions>false</trackRevisions>
    </reviewItem>
    <reviewItem>
      <errorID>9fd0364e-d0e1-4c40-8e1f-ccc252263b9e</errorID>
      <errorWord> </errorWord>
      <group>L1_Format</group>
      <groupName>格式问题</groupName>
      <ability>L2_Whitespace</ability>
      <abilityName>空白字符</abilityName>
      <candidateList>
        <item/>
      </candidateList>
      <explain>文本间存在多余的空白字符。</explain>
      <paraID>16DBFA24</paraID>
      <start>1</start>
      <end>2</end>
      <status>unmodified</status>
      <modifiedWord/>
      <trackRevisions>false</trackRevisions>
    </reviewItem>
    <reviewItem>
      <errorID>4c164d7e-1c3d-456b-b108-9ce7b7e4d373</errorID>
      <errorWord>  </errorWord>
      <group>L1_Format</group>
      <groupName>格式问题</groupName>
      <ability>L2_Whitespace</ability>
      <abilityName>空白字符</abilityName>
      <candidateList>
        <item/>
      </candidateList>
      <explain>文本间存在多余的空白字符。</explain>
      <paraID>39F8D953</paraID>
      <start>4</start>
      <end>6</end>
      <status>unmodified</status>
      <modifiedWord/>
      <trackRevisions>false</trackRevisions>
    </reviewItem>
    <reviewItem>
      <errorID>c23c81df-a89a-48f3-bc4b-330e0f847d58</errorID>
      <errorWord> </errorWord>
      <group>L1_Format</group>
      <groupName>格式问题</groupName>
      <ability>L2_Whitespace</ability>
      <abilityName>空白字符</abilityName>
      <candidateList>
        <item/>
      </candidateList>
      <explain>文本间存在多余的空白字符。</explain>
      <paraID>676826E4</paraID>
      <start>3</start>
      <end>4</end>
      <status>unmodified</status>
      <modifiedWord/>
      <trackRevisions>false</trackRevisions>
    </reviewItem>
    <reviewItem>
      <errorID>c4ac9a43-f451-4f0d-aa3b-ab1f61402c76</errorID>
      <errorWord> </errorWord>
      <group>L1_Format</group>
      <groupName>格式问题</groupName>
      <ability>L2_Whitespace</ability>
      <abilityName>空白字符</abilityName>
      <candidateList>
        <item/>
      </candidateList>
      <explain>文本间存在多余的空白字符。</explain>
      <paraID>47376955</paraID>
      <start>3</start>
      <end>4</end>
      <status>unmodified</status>
      <modifiedWord/>
      <trackRevisions>false</trackRevisions>
    </reviewItem>
    <reviewItem>
      <errorID>e7e5a264-a4c7-4484-bc7a-2cd00d0101e3</errorID>
      <errorWord> </errorWord>
      <group>L1_Format</group>
      <groupName>格式问题</groupName>
      <ability>L2_Whitespace</ability>
      <abilityName>空白字符</abilityName>
      <candidateList>
        <item/>
      </candidateList>
      <explain>文本间存在多余的空白字符。</explain>
      <paraID>6EC0144D</paraID>
      <start>3</start>
      <end>4</end>
      <status>unmodified</status>
      <modifiedWord/>
      <trackRevisions>false</trackRevisions>
    </reviewItem>
    <reviewItem>
      <errorID>9a5416a4-3354-436b-b96f-0da0305be831</errorID>
      <errorWord> </errorWord>
      <group>L1_Format</group>
      <groupName>格式问题</groupName>
      <ability>L2_Whitespace</ability>
      <abilityName>空白字符</abilityName>
      <candidateList>
        <item/>
      </candidateList>
      <explain>文本间存在多余的空白字符。</explain>
      <paraID>7228D743</paraID>
      <start>4</start>
      <end>5</end>
      <status>unmodified</status>
      <modifiedWord/>
      <trackRevisions>false</trackRevisions>
    </reviewItem>
    <reviewItem>
      <errorID>5fc08685-a224-4f66-918c-556eaba551dd</errorID>
      <errorWord> </errorWord>
      <group>L1_Format</group>
      <groupName>格式问题</groupName>
      <ability>L2_Whitespace</ability>
      <abilityName>空白字符</abilityName>
      <candidateList>
        <item/>
      </candidateList>
      <explain>文本间存在多余的空白字符。</explain>
      <paraID>7A4FD105</paraID>
      <start>1</start>
      <end>2</end>
      <status>unmodified</status>
      <modifiedWord/>
      <trackRevisions>false</trackRevisions>
    </reviewItem>
    <reviewItem>
      <errorID>9fee7fdd-582c-4cb3-825d-4548476462b7</errorID>
      <errorWord>  </errorWord>
      <group>L1_Format</group>
      <groupName>格式问题</groupName>
      <ability>L2_Whitespace</ability>
      <abilityName>空白字符</abilityName>
      <candidateList>
        <item/>
      </candidateList>
      <explain>文本间存在多余的空白字符。</explain>
      <paraID>3FE7518D</paraID>
      <start>4</start>
      <end>6</end>
      <status>unmodified</status>
      <modifiedWord/>
      <trackRevisions>false</trackRevisions>
    </reviewItem>
    <reviewItem>
      <errorID>4aa87868-96f7-4e10-b95b-c79381f68220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4662A40A</paraID>
      <start>59</start>
      <end>60</end>
      <status>unmodified</status>
      <modifiedWord/>
      <trackRevisions>false</trackRevisions>
    </reviewItem>
    <reviewItem>
      <errorID>c6a7e6a2-5e90-498f-bfff-95a1cab87a9d</errorID>
      <errorWord> </errorWord>
      <group>L1_Format</group>
      <groupName>格式问题</groupName>
      <ability>L2_Whitespace</ability>
      <abilityName>空白字符</abilityName>
      <candidateList>
        <item/>
      </candidateList>
      <explain>文本间存在多余的空白字符。</explain>
      <paraID>2FF09D04</paraID>
      <start>1</start>
      <end>2</end>
      <status>unmodified</status>
      <modifiedWord/>
      <trackRevisions>false</trackRevisions>
    </reviewItem>
    <reviewItem>
      <errorID>3a961061-597a-4912-8c5c-94210ad6b197</errorID>
      <errorWord> </errorWord>
      <group>L1_Format</group>
      <groupName>格式问题</groupName>
      <ability>L2_Whitespace</ability>
      <abilityName>空白字符</abilityName>
      <candidateList>
        <item/>
      </candidateList>
      <explain>文本间存在多余的空白字符。</explain>
      <paraID>25EBDC11</paraID>
      <start>1</start>
      <end>2</end>
      <status>unmodified</status>
      <modifiedWord/>
      <trackRevisions>false</trackRevisions>
    </reviewItem>
    <reviewItem>
      <errorID>cc774277-8d9b-4708-ad99-57a56c27e8a5</errorID>
      <errorWord> </errorWord>
      <group>L1_Format</group>
      <groupName>格式问题</groupName>
      <ability>L2_Whitespace</ability>
      <abilityName>空白字符</abilityName>
      <candidateList>
        <item/>
      </candidateList>
      <explain>文本间存在多余的空白字符。</explain>
      <paraID>4829FC16</paraID>
      <start>1</start>
      <end>2</end>
      <status>unmodified</status>
      <modifiedWord/>
      <trackRevisions>false</trackRevisions>
    </reviewItem>
    <reviewItem>
      <errorID>c22501b9-b455-4e60-abea-f24ba71e7bfc</errorID>
      <errorWord>  </errorWord>
      <group>L1_Format</group>
      <groupName>格式问题</groupName>
      <ability>L2_Whitespace</ability>
      <abilityName>空白字符</abilityName>
      <candidateList>
        <item/>
      </candidateList>
      <explain>文本间存在多余的空白字符。</explain>
      <paraID>21430D5A</paraID>
      <start>4</start>
      <end>6</end>
      <status>unmodified</status>
      <modifiedWord/>
      <trackRevisions>false</trackRevisions>
    </reviewItem>
    <reviewItem>
      <errorID>5c8d24ad-1069-4e3f-978f-55be1aa44928</errorID>
      <errorWord> </errorWord>
      <group>L1_Format</group>
      <groupName>格式问题</groupName>
      <ability>L2_Whitespace</ability>
      <abilityName>空白字符</abilityName>
      <candidateList>
        <item/>
      </candidateList>
      <explain>文本间存在多余的空白字符。</explain>
      <paraID>76E22631</paraID>
      <start>1</start>
      <end>2</end>
      <status>unmodified</status>
      <modifiedWord/>
      <trackRevisions>false</trackRevisions>
    </reviewItem>
    <reviewItem>
      <errorID>fa085855-2862-42d6-8b84-20ade6583aac</errorID>
      <errorWord>中华人民共和国环境保护法</errorWord>
      <group>L1_Knowledge</group>
      <groupName>知识性问题</groupName>
      <ability>L2_Knowledge</ability>
      <abilityName>其他知识</abilityName>
      <candidateList/>
      <explain>当前法律法规未收录或尚未生效，注意核查是否正确。</explain>
      <paraID>18FA55D1</paraID>
      <start>3</start>
      <end>15</end>
      <status>unmodified</status>
      <modifiedWord/>
      <trackRevisions>false</trackRevisions>
    </reviewItem>
    <reviewItem>
      <errorID>0c43eb5f-e9c1-4502-8fb3-ceec9cb020c5</errorID>
      <errorWord>-</errorWord>
      <group>L1_Format</group>
      <groupName>格式问题</groupName>
      <ability>L2_HalfPunc</ability>
      <abilityName>全半角检查</abilityName>
      <candidateList>
        <item>－</item>
      </candidateList>
      <explain>文本全半角错误。</explain>
      <paraID>18FA55D1</paraID>
      <start>98</start>
      <end>99</end>
      <status>unmodified</status>
      <modifiedWord/>
      <trackRevisions>false</trackRevisions>
    </reviewItem>
    <reviewItem>
      <errorID>342af117-d8d4-4a1c-9c93-fa2ac8e5aab0</errorID>
      <errorWord> </errorWord>
      <group>L1_Format</group>
      <groupName>格式问题</groupName>
      <ability>L2_Whitespace</ability>
      <abilityName>空白字符</abilityName>
      <candidateList>
        <item/>
      </candidateList>
      <explain>文本间存在多余的空白字符。</explain>
      <paraID>3625E4A4</paraID>
      <start>1</start>
      <end>2</end>
      <status>unmodified</status>
      <modifiedWord/>
      <trackRevisions>false</trackRevisions>
    </reviewItem>
    <reviewItem>
      <errorID>ca30f9a6-bd6a-4292-aba2-1d9816714158</errorID>
      <errorWord>  </errorWord>
      <group>L1_Format</group>
      <groupName>格式问题</groupName>
      <ability>L2_Whitespace</ability>
      <abilityName>空白字符</abilityName>
      <candidateList>
        <item/>
      </candidateList>
      <explain>文本间存在多余的空白字符。</explain>
      <paraID>5BF8B755</paraID>
      <start>4</start>
      <end>6</end>
      <status>unmodified</status>
      <modifiedWord/>
      <trackRevisions>false</trackRevisions>
    </reviewItem>
    <reviewItem>
      <errorID>32c71bf4-23be-472b-a564-08e3b37541bc</errorID>
      <errorWord>  </errorWord>
      <group>L1_Format</group>
      <groupName>格式问题</groupName>
      <ability>L2_Whitespace</ability>
      <abilityName>空白字符</abilityName>
      <candidateList>
        <item/>
      </candidateList>
      <explain>文本间存在多余的空白字符。</explain>
      <paraID>6669493F</paraID>
      <start>4</start>
      <end>6</end>
      <status>unmodified</status>
      <modifiedWord/>
      <trackRevisions>false</trackRevisions>
    </reviewItem>
    <reviewItem>
      <errorID>36fa24fe-4063-45a7-8b15-07b9e1b0eaf2</errorID>
      <errorWord> </errorWord>
      <group>L1_Format</group>
      <groupName>格式问题</groupName>
      <ability>L2_Whitespace</ability>
      <abilityName>空白字符</abilityName>
      <candidateList>
        <item/>
      </candidateList>
      <explain>文本间存在多余的空白字符。</explain>
      <paraID>3CF97D74</paraID>
      <start>1</start>
      <end>2</end>
      <status>unmodified</status>
      <modifiedWord/>
      <trackRevisions>false</trackRevisions>
    </reviewItem>
    <reviewItem>
      <errorID>8ba992fb-fb82-43ef-bd34-b2a8b5ad5b5a</errorID>
      <errorWord>  </errorWord>
      <group>L1_Format</group>
      <groupName>格式问题</groupName>
      <ability>L2_Whitespace</ability>
      <abilityName>空白字符</abilityName>
      <candidateList>
        <item/>
      </candidateList>
      <explain>文本间存在多余的空白字符。</explain>
      <paraID>44F3D972</paraID>
      <start>4</start>
      <end>6</end>
      <status>unmodified</status>
      <modifiedWord/>
      <trackRevisions>false</trackRevisions>
    </reviewItem>
    <reviewItem>
      <errorID>bc1103e8-1a18-4426-908f-4d9e392d6ead</errorID>
      <errorWord> </errorWord>
      <group>L1_Format</group>
      <groupName>格式问题</groupName>
      <ability>L2_Whitespace</ability>
      <abilityName>空白字符</abilityName>
      <candidateList>
        <item/>
      </candidateList>
      <explain>文本间存在多余的空白字符。</explain>
      <paraID>146E9840</paraID>
      <start>1</start>
      <end>2</end>
      <status>unmodified</status>
      <modifiedWord/>
      <trackRevisions>false</trackRevisions>
    </reviewItem>
    <reviewItem>
      <errorID>924369d0-372d-4bd7-bb38-f8d5228e06aa</errorID>
      <errorWord> </errorWord>
      <group>L1_Format</group>
      <groupName>格式问题</groupName>
      <ability>L2_Whitespace</ability>
      <abilityName>空白字符</abilityName>
      <candidateList>
        <item/>
      </candidateList>
      <explain>文本间存在多余的空白字符。</explain>
      <paraID>2C278240</paraID>
      <start>1</start>
      <end>2</end>
      <status>unmodified</status>
      <modifiedWord/>
      <trackRevisions>false</trackRevisions>
    </reviewItem>
    <reviewItem>
      <errorID>c4db06e6-9991-4134-86d1-a5c4a6cb2fc3</errorID>
      <errorWord> </errorWord>
      <group>L1_Format</group>
      <groupName>格式问题</groupName>
      <ability>L2_Whitespace</ability>
      <abilityName>空白字符</abilityName>
      <candidateList>
        <item/>
      </candidateList>
      <explain>文本间存在多余的空白字符。</explain>
      <paraID>2B433C6F</paraID>
      <start>3</start>
      <end>4</end>
      <status>unmodified</status>
      <modifiedWord/>
      <trackRevisions>false</trackRevisions>
    </reviewItem>
    <reviewItem>
      <errorID>1db7ed8f-6052-41ea-812b-dbd264bf8817</errorID>
      <errorWord> </errorWord>
      <group>L1_Format</group>
      <groupName>格式问题</groupName>
      <ability>L2_Whitespace</ability>
      <abilityName>空白字符</abilityName>
      <candidateList>
        <item/>
      </candidateList>
      <explain>文本间存在多余的空白字符。</explain>
      <paraID>373C41F9</paraID>
      <start>3</start>
      <end>4</end>
      <status>unmodified</status>
      <modifiedWord/>
      <trackRevisions>false</trackRevisions>
    </reviewItem>
    <reviewItem>
      <errorID>cd939617-a26d-4400-8e56-90b974f7e3f9</errorID>
      <errorWord> </errorWord>
      <group>L1_Format</group>
      <groupName>格式问题</groupName>
      <ability>L2_Whitespace</ability>
      <abilityName>空白字符</abilityName>
      <candidateList>
        <item/>
      </candidateList>
      <explain>文本间存在多余的空白字符。</explain>
      <paraID>2CFA1503</paraID>
      <start>3</start>
      <end>4</end>
      <status>unmodified</status>
      <modifiedWord/>
      <trackRevisions>false</trackRevisions>
    </reviewItem>
    <reviewItem>
      <errorID>a5597206-e952-4ffe-b476-7acd5e5d10ca</errorID>
      <errorWord>-</errorWord>
      <group>L1_Format</group>
      <groupName>格式问题</groupName>
      <ability>L2_HalfPunc</ability>
      <abilityName>全半角检查</abilityName>
      <candidateList>
        <item>－</item>
      </candidateList>
      <explain>文本全半角错误。</explain>
      <paraID> 65DD191</paraID>
      <start>104</start>
      <end>105</end>
      <status>unmodified</status>
      <modifiedWord/>
      <trackRevisions>false</trackRevisions>
    </reviewItem>
    <reviewItem>
      <errorID>dfb31e2a-976f-48c5-8300-2d746e1b9ebf</errorID>
      <errorWord>  </errorWord>
      <group>L1_Format</group>
      <groupName>格式问题</groupName>
      <ability>L2_Whitespace</ability>
      <abilityName>空白字符</abilityName>
      <candidateList>
        <item/>
      </candidateList>
      <explain>文本间存在多余的空白字符。</explain>
      <paraID>5FEF919A</paraID>
      <start>4</start>
      <end>6</end>
      <status>unmodified</status>
      <modifiedWord/>
      <trackRevisions>false</trackRevisions>
    </reviewItem>
    <reviewItem>
      <errorID>b5ee1087-91c7-4f0c-ad0f-a3cb013d56ab</errorID>
      <errorWord> </errorWord>
      <group>L1_Format</group>
      <groupName>格式问题</groupName>
      <ability>L2_Whitespace</ability>
      <abilityName>空白字符</abilityName>
      <candidateList>
        <item/>
      </candidateList>
      <explain>文本间存在多余的空白字符。</explain>
      <paraID>2C6014F8</paraID>
      <start>1</start>
      <end>2</end>
      <status>unmodified</status>
      <modifiedWord/>
      <trackRevisions>false</trackRevisions>
    </reviewItem>
    <reviewItem>
      <errorID>7c490b8c-f6ac-41c9-87fa-f7e65ba6b861</errorID>
      <errorWord> </errorWord>
      <group>L1_Format</group>
      <groupName>格式问题</groupName>
      <ability>L2_Whitespace</ability>
      <abilityName>空白字符</abilityName>
      <candidateList>
        <item/>
      </candidateList>
      <explain>文本间存在多余的空白字符。</explain>
      <paraID>3EE0382F</paraID>
      <start>3</start>
      <end>4</end>
      <status>unmodified</status>
      <modifiedWord/>
      <trackRevisions>false</trackRevisions>
    </reviewItem>
    <reviewItem>
      <errorID>dc8ab18f-359f-4810-a5d0-c6c5bb2649d5</errorID>
      <errorWord> </errorWord>
      <group>L1_Format</group>
      <groupName>格式问题</groupName>
      <ability>L2_Whitespace</ability>
      <abilityName>空白字符</abilityName>
      <candidateList>
        <item/>
      </candidateList>
      <explain>文本间存在多余的空白字符。</explain>
      <paraID>11AABA28</paraID>
      <start>3</start>
      <end>4</end>
      <status>unmodified</status>
      <modifiedWord/>
      <trackRevisions>false</trackRevisions>
    </reviewItem>
    <reviewItem>
      <errorID>bb08980a-acbf-43f9-af5b-f498d3a64c16</errorID>
      <errorWord> </errorWord>
      <group>L1_Format</group>
      <groupName>格式问题</groupName>
      <ability>L2_Whitespace</ability>
      <abilityName>空白字符</abilityName>
      <candidateList>
        <item/>
      </candidateList>
      <explain>文本间存在多余的空白字符。</explain>
      <paraID>4B00E9A0</paraID>
      <start>1</start>
      <end>2</end>
      <status>unmodified</status>
      <modifiedWord/>
      <trackRevisions>false</trackRevisions>
    </reviewItem>
    <reviewItem>
      <errorID>42198067-a73d-456c-b3d0-979c4bc2ba7f</errorID>
      <errorWord>  </errorWord>
      <group>L1_Format</group>
      <groupName>格式问题</groupName>
      <ability>L2_Whitespace</ability>
      <abilityName>空白字符</abilityName>
      <candidateList>
        <item/>
      </candidateList>
      <explain>文本间存在多余的空白字符。</explain>
      <paraID>140DA44A</paraID>
      <start>4</start>
      <end>6</end>
      <status>unmodified</status>
      <modifiedWord/>
      <trackRevisions>false</trackRevisions>
    </reviewItem>
    <reviewItem>
      <errorID>78b7d686-3fbd-41fe-9d74-e8cf3eb0e79c</errorID>
      <errorWord> </errorWord>
      <group>L1_Format</group>
      <groupName>格式问题</groupName>
      <ability>L2_Whitespace</ability>
      <abilityName>空白字符</abilityName>
      <candidateList>
        <item/>
      </candidateList>
      <explain>文本间存在多余的空白字符。</explain>
      <paraID> D9CB122</paraID>
      <start>1</start>
      <end>2</end>
      <status>unmodified</status>
      <modifiedWord/>
      <trackRevisions>false</trackRevisions>
    </reviewItem>
    <reviewItem>
      <errorID>89a3205b-a035-4569-b6d3-5fd7025e8ddc</errorID>
      <errorWord>  </errorWord>
      <group>L1_Format</group>
      <groupName>格式问题</groupName>
      <ability>L2_Whitespace</ability>
      <abilityName>空白字符</abilityName>
      <candidateList>
        <item/>
      </candidateList>
      <explain>文本间存在多余的空白字符。</explain>
      <paraID>1361545E</paraID>
      <start>4</start>
      <end>6</end>
      <status>unmodified</status>
      <modifiedWord/>
      <trackRevisions>false</trackRevisions>
    </reviewItem>
    <reviewItem>
      <errorID>24b392b4-d610-49d4-9939-6037f9fa144c</errorID>
      <errorWord>  </errorWord>
      <group>L1_Format</group>
      <groupName>格式问题</groupName>
      <ability>L2_Whitespace</ability>
      <abilityName>空白字符</abilityName>
      <candidateList>
        <item/>
      </candidateList>
      <explain>文本间存在多余的空白字符。</explain>
      <paraID>1361545E</paraID>
      <start>12</start>
      <end>14</end>
      <status>unmodified</status>
      <modifiedWord/>
      <trackRevisions>false</trackRevisions>
    </reviewItem>
    <reviewItem>
      <errorID>86762310-d6b3-45f4-9ac6-058c2e393e29</errorID>
      <errorWord> </errorWord>
      <group>L1_Format</group>
      <groupName>格式问题</groupName>
      <ability>L2_Whitespace</ability>
      <abilityName>空白字符</abilityName>
      <candidateList>
        <item/>
      </candidateList>
      <explain>文本间存在多余的空白字符。</explain>
      <paraID>3192FE31</paraID>
      <start>1</start>
      <end>2</end>
      <status>unmodified</status>
      <modifiedWord/>
      <trackRevisions>false</trackRevisions>
    </reviewItem>
    <reviewItem>
      <errorID>a634f019-e759-40eb-8493-12a76f701137</errorID>
      <errorWord>  </errorWord>
      <group>L1_Format</group>
      <groupName>格式问题</groupName>
      <ability>L2_Whitespace</ability>
      <abilityName>空白字符</abilityName>
      <candidateList>
        <item/>
      </candidateList>
      <explain>文本间存在多余的空白字符。</explain>
      <paraID>728C1CD7</paraID>
      <start>5</start>
      <end>7</end>
      <status>unmodified</status>
      <modifiedWord/>
      <trackRevisions>false</trackRevisions>
    </reviewItem>
    <reviewItem>
      <errorID>a894355f-1902-4337-8aca-bbb9ee968165</errorID>
      <errorWord> </errorWord>
      <group>L1_Format</group>
      <groupName>格式问题</groupName>
      <ability>L2_Whitespace</ability>
      <abilityName>空白字符</abilityName>
      <candidateList>
        <item/>
      </candidateList>
      <explain>文本间存在多余的空白字符。</explain>
      <paraID> 139B176</paraID>
      <start>1</start>
      <end>2</end>
      <status>unmodified</status>
      <modifiedWord/>
      <trackRevisions>false</trackRevisions>
    </reviewItem>
    <reviewItem>
      <errorID>27828474-bb7b-4039-a0a8-76382dd5a2d5</errorID>
      <errorWord> </errorWord>
      <group>L1_Format</group>
      <groupName>格式问题</groupName>
      <ability>L2_Whitespace</ability>
      <abilityName>空白字符</abilityName>
      <candidateList>
        <item/>
      </candidateList>
      <explain>文本间存在多余的空白字符。</explain>
      <paraID>323A3A87</paraID>
      <start>1</start>
      <end>2</end>
      <status>unmodified</status>
      <modifiedWord/>
      <trackRevisions>false</trackRevisions>
    </reviewItem>
    <reviewItem>
      <errorID>9260090d-daba-4f4b-aafa-5ed6fc941f91</errorID>
      <errorWord>  </errorWord>
      <group>L1_Format</group>
      <groupName>格式问题</groupName>
      <ability>L2_Whitespace</ability>
      <abilityName>空白字符</abilityName>
      <candidateList>
        <item/>
      </candidateList>
      <explain>文本间存在多余的空白字符。</explain>
      <paraID>  E8434D</paraID>
      <start>4</start>
      <end>6</end>
      <status>unmodified</status>
      <modifiedWord/>
      <trackRevisions>false</trackRevisions>
    </reviewItem>
    <reviewItem>
      <errorID>59cb6d3c-4b77-48d9-b8cf-d94680293551</errorID>
      <errorWord> </errorWord>
      <group>L1_Format</group>
      <groupName>格式问题</groupName>
      <ability>L2_Whitespace</ability>
      <abilityName>空白字符</abilityName>
      <candidateList>
        <item/>
      </candidateList>
      <explain>文本间存在多余的空白字符。</explain>
      <paraID>7A5532C7</paraID>
      <start>1</start>
      <end>2</end>
      <status>unmodified</status>
      <modifiedWord/>
      <trackRevisions>false</trackRevisions>
    </reviewItem>
    <reviewItem>
      <errorID>61048424-b60a-4fc4-9eed-37007ff48d0d</errorID>
      <errorWord>  </errorWord>
      <group>L1_Format</group>
      <groupName>格式问题</groupName>
      <ability>L2_Whitespace</ability>
      <abilityName>空白字符</abilityName>
      <candidateList>
        <item/>
      </candidateList>
      <explain>文本间存在多余的空白字符。</explain>
      <paraID>26A3247A</paraID>
      <start>4</start>
      <end>6</end>
      <status>unmodified</status>
      <modifiedWord/>
      <trackRevisions>false</trackRevisions>
    </reviewItem>
    <reviewItem>
      <errorID>700a41cc-71be-4dd2-ac21-1bab0b13b64c</errorID>
      <errorWord> </errorWord>
      <group>L1_Format</group>
      <groupName>格式问题</groupName>
      <ability>L2_Whitespace</ability>
      <abilityName>空白字符</abilityName>
      <candidateList>
        <item/>
      </candidateList>
      <explain>文本间存在多余的空白字符。</explain>
      <paraID> 268551C</paraID>
      <start>2</start>
      <end>3</end>
      <status>unmodified</status>
      <modifiedWord/>
      <trackRevisions>false</trackRevisions>
    </reviewItem>
    <reviewItem>
      <errorID>9cd20361-2ea8-434a-a3b3-eb4c11d15dda</errorID>
      <errorWord> </errorWord>
      <group>L1_Format</group>
      <groupName>格式问题</groupName>
      <ability>L2_Whitespace</ability>
      <abilityName>空白字符</abilityName>
      <candidateList>
        <item/>
      </candidateList>
      <explain>文本间存在多余的空白字符。</explain>
      <paraID>276C1153</paraID>
      <start>1</start>
      <end>2</end>
      <status>unmodified</status>
      <modifiedWord/>
      <trackRevisions>false</trackRevisions>
    </reviewItem>
    <reviewItem>
      <errorID>c70bb06a-ed51-4089-b2d5-e3039f7c5542</errorID>
      <errorWord> </errorWord>
      <group>L1_Format</group>
      <groupName>格式问题</groupName>
      <ability>L2_Whitespace</ability>
      <abilityName>空白字符</abilityName>
      <candidateList>
        <item/>
      </candidateList>
      <explain>文本间存在多余的空白字符。</explain>
      <paraID>61098A23</paraID>
      <start>3</start>
      <end>4</end>
      <status>unmodified</status>
      <modifiedWord/>
      <trackRevisions>false</trackRevisions>
    </reviewItem>
    <reviewItem>
      <errorID>fb78ca27-e9fe-4b57-b813-99467de49410</errorID>
      <errorWord> </errorWord>
      <group>L1_Format</group>
      <groupName>格式问题</groupName>
      <ability>L2_Whitespace</ability>
      <abilityName>空白字符</abilityName>
      <candidateList>
        <item/>
      </candidateList>
      <explain>文本间存在多余的空白字符。</explain>
      <paraID>49037C62</paraID>
      <start>3</start>
      <end>4</end>
      <status>unmodified</status>
      <modifiedWord/>
      <trackRevisions>false</trackRevisions>
    </reviewItem>
    <reviewItem>
      <errorID>b2c7e9e0-7cac-49f2-857a-0638e37ae404</errorID>
      <errorWord> </errorWord>
      <group>L1_Format</group>
      <groupName>格式问题</groupName>
      <ability>L2_Whitespace</ability>
      <abilityName>空白字符</abilityName>
      <candidateList>
        <item/>
      </candidateList>
      <explain>文本间存在多余的空白字符。</explain>
      <paraID>16EE3228</paraID>
      <start>3</start>
      <end>4</end>
      <status>unmodified</status>
      <modifiedWord/>
      <trackRevisions>false</trackRevisions>
    </reviewItem>
    <reviewItem>
      <errorID>e2c083ae-51bd-48cd-9bfa-367434b6c887</errorID>
      <errorWord> </errorWord>
      <group>L1_Format</group>
      <groupName>格式问题</groupName>
      <ability>L2_Whitespace</ability>
      <abilityName>空白字符</abilityName>
      <candidateList>
        <item/>
      </candidateList>
      <explain>文本间存在多余的空白字符。</explain>
      <paraID>3F9513C2</paraID>
      <start>3</start>
      <end>4</end>
      <status>unmodified</status>
      <modifiedWord/>
      <trackRevisions>false</trackRevisions>
    </reviewItem>
    <reviewItem>
      <errorID>5d65dd47-c772-4589-98ec-db0aa6723b11</errorID>
      <errorWord> </errorWord>
      <group>L1_Format</group>
      <groupName>格式问题</groupName>
      <ability>L2_Whitespace</ability>
      <abilityName>空白字符</abilityName>
      <candidateList>
        <item/>
      </candidateList>
      <explain>文本间存在多余的空白字符。</explain>
      <paraID>2A5650D3</paraID>
      <start>3</start>
      <end>4</end>
      <status>unmodified</status>
      <modifiedWord/>
      <trackRevisions>false</trackRevisions>
    </reviewItem>
    <reviewItem>
      <errorID>c66d3d37-344f-448d-b2cf-08fe20900684</errorID>
      <errorWord> </errorWord>
      <group>L1_Format</group>
      <groupName>格式问题</groupName>
      <ability>L2_Whitespace</ability>
      <abilityName>空白字符</abilityName>
      <candidateList>
        <item/>
      </candidateList>
      <explain>文本间存在多余的空白字符。</explain>
      <paraID>6C4DBE6A</paraID>
      <start>3</start>
      <end>4</end>
      <status>unmodified</status>
      <modifiedWord/>
      <trackRevisions>false</trackRevisions>
    </reviewItem>
    <reviewItem>
      <errorID>52a68a0c-c3ff-4646-be34-7be84f1253e2</errorID>
      <errorWord> </errorWord>
      <group>L1_Format</group>
      <groupName>格式问题</groupName>
      <ability>L2_Whitespace</ability>
      <abilityName>空白字符</abilityName>
      <candidateList>
        <item/>
      </candidateList>
      <explain>文本间存在多余的空白字符。</explain>
      <paraID>43ABA771</paraID>
      <start>1</start>
      <end>2</end>
      <status>unmodified</status>
      <modifiedWord/>
      <trackRevisions>false</trackRevisions>
    </reviewItem>
    <reviewItem>
      <errorID>972c7c95-d3dc-45db-94fc-224b7e23f890</errorID>
      <errorWord> </errorWord>
      <group>L1_Format</group>
      <groupName>格式问题</groupName>
      <ability>L2_Whitespace</ability>
      <abilityName>空白字符</abilityName>
      <candidateList>
        <item/>
      </candidateList>
      <explain>文本间存在多余的空白字符。</explain>
      <paraID>220580C1</paraID>
      <start>1</start>
      <end>2</end>
      <status>unmodified</status>
      <modifiedWord/>
      <trackRevisions>false</trackRevisions>
    </reviewItem>
    <reviewItem>
      <errorID>033a5c4e-1a3e-43cf-a9d8-0b3fb721ead5</errorID>
      <errorWord> </errorWord>
      <group>L1_Format</group>
      <groupName>格式问题</groupName>
      <ability>L2_Whitespace</ability>
      <abilityName>空白字符</abilityName>
      <candidateList>
        <item/>
      </candidateList>
      <explain>文本间存在多余的空白字符。</explain>
      <paraID>5BD2A66C</paraID>
      <start>1</start>
      <end>2</end>
      <status>unmodified</status>
      <modifiedWord/>
      <trackRevisions>false</trackRevisions>
    </reviewItem>
    <reviewItem>
      <errorID>fbf13b4a-bce0-46df-8bb9-7dabdc7a70af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17D7C311</paraID>
      <start>15</start>
      <end>16</end>
      <status>unmodified</status>
      <modifiedWord/>
      <trackRevisions>false</trackRevisions>
    </reviewItem>
    <reviewItem>
      <errorID>b40780a6-b76c-4c6d-b027-679cd46970a0</errorID>
      <errorWord>  </errorWord>
      <group>L1_Format</group>
      <groupName>格式问题</groupName>
      <ability>L2_Whitespace</ability>
      <abilityName>空白字符</abilityName>
      <candidateList>
        <item/>
      </candidateList>
      <explain>文本间存在多余的空白字符。</explain>
      <paraID>5E2B077F</paraID>
      <start>4</start>
      <end>6</end>
      <status>unmodified</status>
      <modifiedWord/>
      <trackRevisions>false</trackRevisions>
    </reviewItem>
    <reviewItem>
      <errorID>f23b550c-4d1b-4815-b4dd-6f429bf641a5</errorID>
      <errorWord> </errorWord>
      <group>L1_Format</group>
      <groupName>格式问题</groupName>
      <ability>L2_Whitespace</ability>
      <abilityName>空白字符</abilityName>
      <candidateList>
        <item/>
      </candidateList>
      <explain>文本间存在多余的空白字符。</explain>
      <paraID> BD5B3CC</paraID>
      <start>1</start>
      <end>2</end>
      <status>unmodified</status>
      <modifiedWord/>
      <trackRevisions>false</trackRevisions>
    </reviewItem>
    <reviewItem>
      <errorID>b23bcd40-855e-4930-825f-eed89e0ccbf9</errorID>
      <errorWord> </errorWord>
      <group>L1_Format</group>
      <groupName>格式问题</groupName>
      <ability>L2_Whitespace</ability>
      <abilityName>空白字符</abilityName>
      <candidateList>
        <item/>
      </candidateList>
      <explain>文本间存在多余的空白字符。</explain>
      <paraID>319EB662</paraID>
      <start>1</start>
      <end>2</end>
      <status>unmodified</status>
      <modifiedWord/>
      <trackRevisions>false</trackRevisions>
    </reviewItem>
    <reviewItem>
      <errorID>78fd4aff-449e-475b-8c73-ec9872f86bc4</errorID>
      <errorWord> </errorWord>
      <group>L1_Format</group>
      <groupName>格式问题</groupName>
      <ability>L2_Whitespace</ability>
      <abilityName>空白字符</abilityName>
      <candidateList>
        <item/>
      </candidateList>
      <explain>文本间存在多余的空白字符。</explain>
      <paraID>2559215E</paraID>
      <start>1</start>
      <end>2</end>
      <status>unmodified</status>
      <modifiedWord/>
      <trackRevisions>false</trackRevisions>
    </reviewItem>
    <reviewItem>
      <errorID>46ab98f7-1eed-4940-85f9-eb37d20224a2</errorID>
      <errorWord>一定的</errorWord>
      <group>L1_Word</group>
      <groupName>字词问题</groupName>
      <ability>L2_Typo</ability>
      <abilityName>字词错误</abilityName>
      <candidateList>
        <item>一定地</item>
      </candidateList>
      <explain/>
      <paraID>5F192D9A</paraID>
      <start>164</start>
      <end>167</end>
      <status>unmodified</status>
      <modifiedWord/>
      <trackRevisions>false</trackRevisions>
    </reviewItem>
    <reviewItem>
      <errorID>88552b45-4001-4a1a-a1c7-be14a9fab71d</errorID>
      <errorWord>  </errorWord>
      <group>L1_Format</group>
      <groupName>格式问题</groupName>
      <ability>L2_Whitespace</ability>
      <abilityName>空白字符</abilityName>
      <candidateList>
        <item/>
      </candidateList>
      <explain>文本间存在多余的空白字符。</explain>
      <paraID>2421FEE9</paraID>
      <start>4</start>
      <end>6</end>
      <status>unmodified</status>
      <modifiedWord/>
      <trackRevisions>false</trackRevisions>
    </reviewItem>
    <reviewItem>
      <errorID>20ab5753-c1f4-415d-99fd-b2b8ae9343cd</errorID>
      <errorWord> </errorWord>
      <group>L1_Format</group>
      <groupName>格式问题</groupName>
      <ability>L2_Whitespace</ability>
      <abilityName>空白字符</abilityName>
      <candidateList>
        <item/>
      </candidateList>
      <explain>文本间存在多余的空白字符。</explain>
      <paraID>771DE9C5</paraID>
      <start>1</start>
      <end>2</end>
      <status>unmodified</status>
      <modifiedWord/>
      <trackRevisions>false</trackRevisions>
    </reviewItem>
    <reviewItem>
      <errorID>0083533b-bfa9-48f8-8975-e828db1d1eca</errorID>
      <errorWord> </errorWord>
      <group>L1_Format</group>
      <groupName>格式问题</groupName>
      <ability>L2_Whitespace</ability>
      <abilityName>空白字符</abilityName>
      <candidateList>
        <item/>
      </candidateList>
      <explain>文本间存在多余的空白字符。</explain>
      <paraID>39AE6CAD</paraID>
      <start>3</start>
      <end>4</end>
      <status>unmodified</status>
      <modifiedWord/>
      <trackRevisions>false</trackRevisions>
    </reviewItem>
    <reviewItem>
      <errorID>d3c31a4b-cf34-4921-8877-29083f36b6e8</errorID>
      <errorWord> </errorWord>
      <group>L1_Format</group>
      <groupName>格式问题</groupName>
      <ability>L2_Whitespace</ability>
      <abilityName>空白字符</abilityName>
      <candidateList>
        <item/>
      </candidateList>
      <explain>文本间存在多余的空白字符。</explain>
      <paraID>782BE7CB</paraID>
      <start>3</start>
      <end>4</end>
      <status>unmodified</status>
      <modifiedWord/>
      <trackRevisions>false</trackRevisions>
    </reviewItem>
    <reviewItem>
      <errorID>5798e65b-62bc-4238-aa59-0351248dc5f9</errorID>
      <errorWord> </errorWord>
      <group>L1_Format</group>
      <groupName>格式问题</groupName>
      <ability>L2_Whitespace</ability>
      <abilityName>空白字符</abilityName>
      <candidateList>
        <item/>
      </candidateList>
      <explain>文本间存在多余的空白字符。</explain>
      <paraID>5AE81879</paraID>
      <start>3</start>
      <end>4</end>
      <status>unmodified</status>
      <modifiedWord/>
      <trackRevisions>false</trackRevisions>
    </reviewItem>
    <reviewItem>
      <errorID>da07298f-4136-420a-875d-2504abc1d72b</errorID>
      <errorWord> </errorWord>
      <group>L1_Format</group>
      <groupName>格式问题</groupName>
      <ability>L2_Whitespace</ability>
      <abilityName>空白字符</abilityName>
      <candidateList>
        <item/>
      </candidateList>
      <explain>文本间存在多余的空白字符。</explain>
      <paraID> 5007BF1</paraID>
      <start>1</start>
      <end>2</end>
      <status>unmodified</status>
      <modifiedWord/>
      <trackRevisions>false</trackRevisions>
    </reviewItem>
    <reviewItem>
      <errorID>f68c76e7-ca77-4671-a624-f7147ec4fea5</errorID>
      <errorWord> </errorWord>
      <group>L1_Format</group>
      <groupName>格式问题</groupName>
      <ability>L2_Whitespace</ability>
      <abilityName>空白字符</abilityName>
      <candidateList>
        <item/>
      </candidateList>
      <explain>文本间存在多余的空白字符。</explain>
      <paraID>4EA08D7D</paraID>
      <start>3</start>
      <end>4</end>
      <status>unmodified</status>
      <modifiedWord/>
      <trackRevisions>false</trackRevisions>
    </reviewItem>
    <reviewItem>
      <errorID>6daae3af-f8de-47c3-995c-e4fd3d54abd7</errorID>
      <errorWord>  </errorWord>
      <group>L1_Format</group>
      <groupName>格式问题</groupName>
      <ability>L2_Whitespace</ability>
      <abilityName>空白字符</abilityName>
      <candidateList>
        <item/>
      </candidateList>
      <explain>文本间存在多余的空白字符。</explain>
      <paraID>522066ED</paraID>
      <start>4</start>
      <end>6</end>
      <status>unmodified</status>
      <modifiedWord/>
      <trackRevisions>false</trackRevisions>
    </reviewItem>
    <reviewItem>
      <errorID>c5ed120c-aa47-4d4d-a79f-209bdacfeeef</errorID>
      <errorWord> </errorWord>
      <group>L1_Format</group>
      <groupName>格式问题</groupName>
      <ability>L2_Whitespace</ability>
      <abilityName>空白字符</abilityName>
      <candidateList>
        <item/>
      </candidateList>
      <explain>文本间存在多余的空白字符。</explain>
      <paraID>2C8D7958</paraID>
      <start>3</start>
      <end>4</end>
      <status>unmodified</status>
      <modifiedWord/>
      <trackRevisions>false</trackRevisions>
    </reviewItem>
    <reviewItem>
      <errorID>05dc8fa4-662c-4b14-bf85-b2c8c55ca61c</errorID>
      <errorWord>  </errorWord>
      <group>L1_Format</group>
      <groupName>格式问题</groupName>
      <ability>L2_Whitespace</ability>
      <abilityName>空白字符</abilityName>
      <candidateList>
        <item/>
      </candidateList>
      <explain>文本间存在多余的空白字符。</explain>
      <paraID>3E757BD0</paraID>
      <start>4</start>
      <end>6</end>
      <status>unmodified</status>
      <modifiedWord/>
      <trackRevisions>false</trackRevisions>
    </reviewItem>
    <reviewItem>
      <errorID>761f16fe-c658-4a1e-9a1e-a53f8ace32b2</errorID>
      <errorWord> </errorWord>
      <group>L1_Format</group>
      <groupName>格式问题</groupName>
      <ability>L2_Whitespace</ability>
      <abilityName>空白字符</abilityName>
      <candidateList>
        <item/>
      </candidateList>
      <explain>文本间存在多余的空白字符。</explain>
      <paraID>5DB7FE30</paraID>
      <start>3</start>
      <end>4</end>
      <status>unmodified</status>
      <modifiedWord/>
      <trackRevisions>false</trackRevisions>
    </reviewItem>
    <reviewItem>
      <errorID>0b6d796e-d66f-46de-b70f-f8c205d0ad5c</errorID>
      <errorWord> </errorWord>
      <group>L1_Format</group>
      <groupName>格式问题</groupName>
      <ability>L2_Whitespace</ability>
      <abilityName>空白字符</abilityName>
      <candidateList>
        <item/>
      </candidateList>
      <explain>文本间存在多余的空白字符。</explain>
      <paraID>38DC59A4</paraID>
      <start>1</start>
      <end>2</end>
      <status>unmodified</status>
      <modifiedWord/>
      <trackRevisions>false</trackRevisions>
    </reviewItem>
    <reviewItem>
      <errorID>ab4c277b-28a9-48b9-99b4-b935a6ea63c7</errorID>
      <errorWord> </errorWord>
      <group>L1_Format</group>
      <groupName>格式问题</groupName>
      <ability>L2_Whitespace</ability>
      <abilityName>空白字符</abilityName>
      <candidateList>
        <item/>
      </candidateList>
      <explain>文本间存在多余的空白字符。</explain>
      <paraID>6293CA28</paraID>
      <start>3</start>
      <end>4</end>
      <status>unmodified</status>
      <modifiedWord/>
      <trackRevisions>false</trackRevisions>
    </reviewItem>
    <reviewItem>
      <errorID>4c082689-9ecd-4d68-bf24-6b643622cf4a</errorID>
      <errorWord>型</errorWord>
      <group>L1_Word</group>
      <groupName>字词问题</groupName>
      <ability>L2_Typo</ability>
      <abilityName>字词错误</abilityName>
      <candidateList>
        <item>型为</item>
      </candidateList>
      <explain/>
      <paraID>705CD0E0</paraID>
      <start>64</start>
      <end>65</end>
      <status>unmodified</status>
      <modifiedWord/>
      <trackRevisions>false</trackRevisions>
    </reviewItem>
    <reviewItem>
      <errorID>310d9e92-0921-4d10-803c-9bb0627f7794</errorID>
      <errorWord> </errorWord>
      <group>L1_Format</group>
      <groupName>格式问题</groupName>
      <ability>L2_Whitespace</ability>
      <abilityName>空白字符</abilityName>
      <candidateList>
        <item/>
      </candidateList>
      <explain>文本间存在多余的空白字符。</explain>
      <paraID>1569D1C2</paraID>
      <start>3</start>
      <end>4</end>
      <status>unmodified</status>
      <modifiedWord/>
      <trackRevisions>false</trackRevisions>
    </reviewItem>
    <reviewItem>
      <errorID>47e60e85-db6f-481f-84a4-e5f9aa3151be</errorID>
      <errorWord> </errorWord>
      <group>L1_Format</group>
      <groupName>格式问题</groupName>
      <ability>L2_Whitespace</ability>
      <abilityName>空白字符</abilityName>
      <candidateList>
        <item/>
      </candidateList>
      <explain>文本间存在多余的空白字符。</explain>
      <paraID> E0F2AF2</paraID>
      <start>3</start>
      <end>4</end>
      <status>unmodified</status>
      <modifiedWord/>
      <trackRevisions>false</trackRevisions>
    </reviewItem>
    <reviewItem>
      <errorID>59709c32-8d63-4514-8a43-e8569d740e0f</errorID>
      <errorWord>迫害</errorWord>
      <group>L1_Word</group>
      <groupName>字词问题</groupName>
      <ability>L2_Typo</ability>
      <abilityName>字词错误</abilityName>
      <candidateList>
        <item>破坏</item>
      </candidateList>
      <explain>〈动〉❶使建筑物等损坏：～桥梁｜～文物。❷使事物受到损害：～生产｜～名誉。❸变革（社会制度、风俗习惯等）。❹违反（规章、条约等）：～协定｜～规矩。❺（物体的组织或结构）损坏：维生素C因受热而～。</explain>
      <paraID>534C29BF</paraID>
      <start>85</start>
      <end>87</end>
      <status>unmodified</status>
      <modifiedWord/>
      <trackRevisions>false</trackRevisions>
    </reviewItem>
    <reviewItem>
      <errorID>d1228b26-c5bd-484e-8772-cf3061912fe3</errorID>
      <errorWord> </errorWord>
      <group>L1_Format</group>
      <groupName>格式问题</groupName>
      <ability>L2_Whitespace</ability>
      <abilityName>空白字符</abilityName>
      <candidateList>
        <item/>
      </candidateList>
      <explain>文本间存在多余的空白字符。</explain>
      <paraID>798C4A9F</paraID>
      <start>3</start>
      <end>4</end>
      <status>unmodified</status>
      <modifiedWord/>
      <trackRevisions>false</trackRevisions>
    </reviewItem>
    <reviewItem>
      <errorID>654e7ce4-fa62-4da4-a08b-82f05bedef2f</errorID>
      <errorWord> </errorWord>
      <group>L1_Format</group>
      <groupName>格式问题</groupName>
      <ability>L2_Whitespace</ability>
      <abilityName>空白字符</abilityName>
      <candidateList>
        <item/>
      </candidateList>
      <explain>文本间存在多余的空白字符。</explain>
      <paraID>769C720C</paraID>
      <start>3</start>
      <end>4</end>
      <status>unmodified</status>
      <modifiedWord/>
      <trackRevisions>false</trackRevisions>
    </reviewItem>
    <reviewItem>
      <errorID>628e3a0a-6995-402e-adfb-0005b8a961a4</errorID>
      <errorWord>程</errorWord>
      <group>L1_Word</group>
      <groupName>字词问题</groupName>
      <ability>L2_Typo</ability>
      <abilityName>字词错误</abilityName>
      <candidateList>
        <item>程中</item>
      </candidateList>
      <explain/>
      <paraID>17BB0D05</paraID>
      <start>120</start>
      <end>121</end>
      <status>unmodified</status>
      <modifiedWord/>
      <trackRevisions>false</trackRevisions>
    </reviewItem>
    <reviewItem>
      <errorID>e939ebf2-95cb-4151-8733-bc5c4ce178e4</errorID>
      <errorWord> </errorWord>
      <group>L1_Format</group>
      <groupName>格式问题</groupName>
      <ability>L2_Whitespace</ability>
      <abilityName>空白字符</abilityName>
      <candidateList>
        <item/>
      </candidateList>
      <explain>文本间存在多余的空白字符。</explain>
      <paraID>77006A3E</paraID>
      <start>3</start>
      <end>4</end>
      <status>unmodified</status>
      <modifiedWord/>
      <trackRevisions>false</trackRevisions>
    </reviewItem>
    <reviewItem>
      <errorID>a0a2f504-228d-437b-b78b-45e414af3c95</errorID>
      <errorWord> </errorWord>
      <group>L1_Format</group>
      <groupName>格式问题</groupName>
      <ability>L2_Whitespace</ability>
      <abilityName>空白字符</abilityName>
      <candidateList>
        <item/>
      </candidateList>
      <explain>文本间存在多余的空白字符。</explain>
      <paraID>3B807BFB</paraID>
      <start>3</start>
      <end>4</end>
      <status>unmodified</status>
      <modifiedWord/>
      <trackRevisions>false</trackRevisions>
    </reviewItem>
    <reviewItem>
      <errorID>5be159ad-5c1a-4184-a0b9-0a11351467f9</errorID>
      <errorWord> </errorWord>
      <group>L1_Format</group>
      <groupName>格式问题</groupName>
      <ability>L2_Whitespace</ability>
      <abilityName>空白字符</abilityName>
      <candidateList>
        <item/>
      </candidateList>
      <explain>文本间存在多余的空白字符。</explain>
      <paraID>2317FDCE</paraID>
      <start>1</start>
      <end>2</end>
      <status>unmodified</status>
      <modifiedWord/>
      <trackRevisions>false</trackRevisions>
    </reviewItem>
    <reviewItem>
      <errorID>63e26e3e-c2fc-4801-93e7-2468b97b81ba</errorID>
      <errorWord> </errorWord>
      <group>L1_Format</group>
      <groupName>格式问题</groupName>
      <ability>L2_Whitespace</ability>
      <abilityName>空白字符</abilityName>
      <candidateList>
        <item/>
      </candidateList>
      <explain>文本间存在多余的空白字符。</explain>
      <paraID>1321F4B2</paraID>
      <start>3</start>
      <end>4</end>
      <status>unmodified</status>
      <modifiedWord/>
      <trackRevisions>false</trackRevisions>
    </reviewItem>
    <reviewItem>
      <errorID>b626c8e9-95d7-46ef-bc67-f6de79589f26</errorID>
      <errorWord>     </errorWord>
      <group>L1_Format</group>
      <groupName>格式问题</groupName>
      <ability>L2_Whitespace</ability>
      <abilityName>空白字符</abilityName>
      <candidateList>
        <item/>
      </candidateList>
      <explain>文本间存在多余的空白字符。</explain>
      <paraID>47BA1A62</paraID>
      <start>4</start>
      <end>9</end>
      <status>unmodified</status>
      <modifiedWord/>
      <trackRevisions>false</trackRevisions>
    </reviewItem>
    <reviewItem>
      <errorID>63aa5d13-2918-48ec-8a0c-15856c5dbb7a</errorID>
      <errorWord>  </errorWord>
      <group>L1_Format</group>
      <groupName>格式问题</groupName>
      <ability>L2_Whitespace</ability>
      <abilityName>空白字符</abilityName>
      <candidateList>
        <item/>
      </candidateList>
      <explain>文本间存在多余的空白字符。</explain>
      <paraID>1C366A6C</paraID>
      <start>4</start>
      <end>6</end>
      <status>unmodified</status>
      <modifiedWord/>
      <trackRevisions>false</trackRevisions>
    </reviewItem>
    <reviewItem>
      <errorID>228336c8-9e72-431a-a37f-88c9b9d66240</errorID>
      <errorWord>   </errorWord>
      <group>L1_Format</group>
      <groupName>格式问题</groupName>
      <ability>L2_Whitespace</ability>
      <abilityName>空白字符</abilityName>
      <candidateList>
        <item/>
      </candidateList>
      <explain>文本间存在多余的空白字符。</explain>
      <paraID>1C366A6C</paraID>
      <start>23</start>
      <end>26</end>
      <status>unmodified</status>
      <modifiedWord/>
      <trackRevisions>false</trackRevisions>
    </reviewItem>
    <reviewItem>
      <errorID>0bcb44c5-ca38-45ef-8d7a-bba532e7cb55</errorID>
      <errorWord> </errorWord>
      <group>L1_Format</group>
      <groupName>格式问题</groupName>
      <ability>L2_Whitespace</ability>
      <abilityName>空白字符</abilityName>
      <candidateList>
        <item/>
      </candidateList>
      <explain>文本间存在多余的空白字符。</explain>
      <paraID>183B008F</paraID>
      <start>3</start>
      <end>4</end>
      <status>unmodified</status>
      <modifiedWord/>
      <trackRevisions>false</trackRevisions>
    </reviewItem>
    <reviewItem>
      <errorID>98403568-7908-4739-95bd-42178ad02814</errorID>
      <errorWord>   </errorWord>
      <group>L1_Format</group>
      <groupName>格式问题</groupName>
      <ability>L2_Whitespace</ability>
      <abilityName>空白字符</abilityName>
      <candidateList>
        <item/>
      </candidateList>
      <explain>文本间存在多余的空白字符。</explain>
      <paraID>6E5CA80C</paraID>
      <start>4</start>
      <end>7</end>
      <status>unmodified</status>
      <modifiedWord/>
      <trackRevisions>false</trackRevisions>
    </reviewItem>
    <reviewItem>
      <errorID>7691bea0-1907-4dc4-9ca5-8273ea5540b7</errorID>
      <errorWord> </errorWord>
      <group>L1_Format</group>
      <groupName>格式问题</groupName>
      <ability>L2_Whitespace</ability>
      <abilityName>空白字符</abilityName>
      <candidateList>
        <item/>
      </candidateList>
      <explain>文本间存在多余的空白字符。</explain>
      <paraID>2365B6F9</paraID>
      <start>1</start>
      <end>2</end>
      <status>unmodified</status>
      <modifiedWord/>
      <trackRevisions>false</trackRevisions>
    </reviewItem>
    <reviewItem>
      <errorID>a3ca789d-6de6-4781-80d9-3d863deaf106</errorID>
      <errorWord> </errorWord>
      <group>L1_Format</group>
      <groupName>格式问题</groupName>
      <ability>L2_Whitespace</ability>
      <abilityName>空白字符</abilityName>
      <candidateList>
        <item/>
      </candidateList>
      <explain>文本间存在多余的空白字符。</explain>
      <paraID>1D9B6C3E</paraID>
      <start>1</start>
      <end>2</end>
      <status>unmodified</status>
      <modifiedWord/>
      <trackRevisions>false</trackRevisions>
    </reviewItem>
    <reviewItem>
      <errorID>fa320e55-2783-4a40-b307-b7a7f195b15e</errorID>
      <errorWord>   </errorWord>
      <group>L1_Format</group>
      <groupName>格式问题</groupName>
      <ability>L2_Whitespace</ability>
      <abilityName>空白字符</abilityName>
      <candidateList>
        <item/>
      </candidateList>
      <explain>文本间存在多余的空白字符。</explain>
      <paraID>513C291F</paraID>
      <start>4</start>
      <end>7</end>
      <status>unmodified</status>
      <modifiedWord/>
      <trackRevisions>false</trackRevisions>
    </reviewItem>
    <reviewItem>
      <errorID>5821a7ff-e75a-4bee-a713-6158caa264c3</errorID>
      <errorWord>  </errorWord>
      <group>L1_Format</group>
      <groupName>格式问题</groupName>
      <ability>L2_Whitespace</ability>
      <abilityName>空白字符</abilityName>
      <candidateList>
        <item/>
      </candidateList>
      <explain>文本间存在多余的空白字符。</explain>
      <paraID>707F5A3F</paraID>
      <start>4</start>
      <end>6</end>
      <status>unmodified</status>
      <modifiedWord/>
      <trackRevisions>false</trackRevisions>
    </reviewItem>
    <reviewItem>
      <errorID>5e346841-cad9-46ca-a482-65ede3e92411</errorID>
      <errorWord> </errorWord>
      <group>L1_Format</group>
      <groupName>格式问题</groupName>
      <ability>L2_Whitespace</ability>
      <abilityName>空白字符</abilityName>
      <candidateList>
        <item/>
      </candidateList>
      <explain>文本间存在多余的空白字符。</explain>
      <paraID>5E92EB0E</paraID>
      <start>1</start>
      <end>2</end>
      <status>unmodified</status>
      <modifiedWord/>
      <trackRevisions>false</trackRevisions>
    </reviewItem>
    <reviewItem>
      <errorID>e5566801-375c-4cbd-9afb-3421ea4dff05</errorID>
      <errorWord>，</errorWord>
      <group>L1_Word</group>
      <groupName>字词问题</groupName>
      <ability>L2_Typo</ability>
      <abilityName>字词错误</abilityName>
      <candidateList>
        <item>，将</item>
      </candidateList>
      <explain/>
      <paraID>25D59DF3</paraID>
      <start>69</start>
      <end>70</end>
      <status>unmodified</status>
      <modifiedWord/>
      <trackRevisions>false</trackRevisions>
    </reviewItem>
    <reviewItem>
      <errorID>2cdb3558-7ad8-49fb-ad8d-5f5f85e354a6</errorID>
      <errorWord> </errorWord>
      <group>L1_Format</group>
      <groupName>格式问题</groupName>
      <ability>L2_Whitespace</ability>
      <abilityName>空白字符</abilityName>
      <candidateList>
        <item/>
      </candidateList>
      <explain>文本间存在多余的空白字符。</explain>
      <paraID>3E8BDE11</paraID>
      <start>1</start>
      <end>2</end>
      <status>unmodified</status>
      <modifiedWord/>
      <trackRevisions>false</trackRevisions>
    </reviewItem>
    <reviewItem>
      <errorID>635c3008-9ee2-42ea-b00b-a7bce061f345</errorID>
      <errorWord>提高</errorWord>
      <group>L1_Grammar</group>
      <groupName>语法问题</groupName>
      <ability>L2_Grammar</ability>
      <abilityName>语法错误</abilityName>
      <candidateList>
        <item>增强</item>
      </candidateList>
      <explain>“提高～意识”搭配不当，建议修改为“增强～意识”。</explain>
      <paraID>15BC9F4B</paraID>
      <start>45</start>
      <end>47</end>
      <status>unmodified</status>
      <modifiedWord/>
      <trackRevisions>false</trackRevisions>
    </reviewItem>
    <reviewItem>
      <errorID>9598777f-394a-4e5f-962a-5998d3e1daf6</errorID>
      <errorWord> </errorWord>
      <group>L1_Format</group>
      <groupName>格式问题</groupName>
      <ability>L2_Whitespace</ability>
      <abilityName>空白字符</abilityName>
      <candidateList>
        <item/>
      </candidateList>
      <explain>文本间存在多余的空白字符。</explain>
      <paraID> B49532F</paraID>
      <start>3</start>
      <end>4</end>
      <status>unmodified</status>
      <modifiedWord/>
      <trackRevisions>false</trackRevisions>
    </reviewItem>
    <reviewItem>
      <errorID>d988496b-1324-4057-ae25-12a12d2c5eac</errorID>
      <errorWord> </errorWord>
      <group>L1_Format</group>
      <groupName>格式问题</groupName>
      <ability>L2_Whitespace</ability>
      <abilityName>空白字符</abilityName>
      <candidateList>
        <item/>
      </candidateList>
      <explain>文本间存在多余的空白字符。</explain>
      <paraID>283589DC</paraID>
      <start>1</start>
      <end>2</end>
      <status>unmodified</status>
      <modifiedWord/>
      <trackRevisions>false</trackRevisions>
    </reviewItem>
    <reviewItem>
      <errorID>fca18c80-bcb9-43b7-ba2d-6bc81c01525a</errorID>
      <errorWord> </errorWord>
      <group>L1_Format</group>
      <groupName>格式问题</groupName>
      <ability>L2_Whitespace</ability>
      <abilityName>空白字符</abilityName>
      <candidateList>
        <item/>
      </candidateList>
      <explain>文本间存在多余的空白字符。</explain>
      <paraID> C31DBF5</paraID>
      <start>3</start>
      <end>4</end>
      <status>unmodified</status>
      <modifiedWord/>
      <trackRevisions>false</trackRevisions>
    </reviewItem>
    <reviewItem>
      <errorID>ac0f4bc6-3585-49b4-bdc5-8166c7ec8c5c</errorID>
      <errorWord> </errorWord>
      <group>L1_Format</group>
      <groupName>格式问题</groupName>
      <ability>L2_Whitespace</ability>
      <abilityName>空白字符</abilityName>
      <candidateList>
        <item/>
      </candidateList>
      <explain>文本间存在多余的空白字符。</explain>
      <paraID>28C27C58</paraID>
      <start>1</start>
      <end>2</end>
      <status>unmodified</status>
      <modifiedWord/>
      <trackRevisions>false</trackRevisions>
    </reviewItem>
    <reviewItem>
      <errorID>ed596409-c68c-45d8-8ec9-02afb6d3b1fc</errorID>
      <errorWord> </errorWord>
      <group>L1_Format</group>
      <groupName>格式问题</groupName>
      <ability>L2_Whitespace</ability>
      <abilityName>空白字符</abilityName>
      <candidateList>
        <item/>
      </candidateList>
      <explain>文本间存在多余的空白字符。</explain>
      <paraID>5DF0A6F4</paraID>
      <start>1</start>
      <end>2</end>
      <status>unmodified</status>
      <modifiedWord/>
      <trackRevisions>false</trackRevisions>
    </reviewItem>
    <reviewItem>
      <errorID>0893cb32-d9ae-42ae-be43-70cfc7b87c69</errorID>
      <errorWord> </errorWord>
      <group>L1_Format</group>
      <groupName>格式问题</groupName>
      <ability>L2_Whitespace</ability>
      <abilityName>空白字符</abilityName>
      <candidateList>
        <item/>
      </candidateList>
      <explain>文本间存在多余的空白字符。</explain>
      <paraID>688C47F5</paraID>
      <start>1</start>
      <end>2</end>
      <status>unmodified</status>
      <modifiedWord/>
      <trackRevisions>false</trackRevisions>
    </reviewItem>
    <reviewItem>
      <errorID>76e3f5a8-47ca-4a6c-a448-107f18b519f5</errorID>
      <errorWord> </errorWord>
      <group>L1_Format</group>
      <groupName>格式问题</groupName>
      <ability>L2_Whitespace</ability>
      <abilityName>空白字符</abilityName>
      <candidateList>
        <item/>
      </candidateList>
      <explain>文本间存在多余的空白字符。</explain>
      <paraID>29C9D2D8</paraID>
      <start>3</start>
      <end>4</end>
      <status>unmodified</status>
      <modifiedWord/>
      <trackRevisions>false</trackRevisions>
    </reviewItem>
    <reviewItem>
      <errorID>219b4e05-f0e6-4231-a50b-20e864c3a123</errorID>
      <errorWord> </errorWord>
      <group>L1_Format</group>
      <groupName>格式问题</groupName>
      <ability>L2_Whitespace</ability>
      <abilityName>空白字符</abilityName>
      <candidateList>
        <item/>
      </candidateList>
      <explain>文本间存在多余的空白字符。</explain>
      <paraID>715FF0A8</paraID>
      <start>3</start>
      <end>4</end>
      <status>unmodified</status>
      <modifiedWord/>
      <trackRevisions>false</trackRevisions>
    </reviewItem>
    <reviewItem>
      <errorID>2bc95cae-593d-48e7-846f-ddf089ec8e86</errorID>
      <errorWord> </errorWord>
      <group>L1_Format</group>
      <groupName>格式问题</groupName>
      <ability>L2_Whitespace</ability>
      <abilityName>空白字符</abilityName>
      <candidateList>
        <item/>
      </candidateList>
      <explain>文本间存在多余的空白字符。</explain>
      <paraID>31901C03</paraID>
      <start>1</start>
      <end>2</end>
      <status>unmodified</status>
      <modifiedWord/>
      <trackRevisions>false</trackRevisions>
    </reviewItem>
    <reviewItem>
      <errorID>a6dafb4f-6d8e-4077-8655-66f5d0ffae66</errorID>
      <errorWord> </errorWord>
      <group>L1_Format</group>
      <groupName>格式问题</groupName>
      <ability>L2_Whitespace</ability>
      <abilityName>空白字符</abilityName>
      <candidateList>
        <item/>
      </candidateList>
      <explain>文本间存在多余的空白字符。</explain>
      <paraID>622D99AB</paraID>
      <start>1</start>
      <end>2</end>
      <status>unmodified</status>
      <modifiedWord/>
      <trackRevisions>false</trackRevisions>
    </reviewItem>
    <reviewItem>
      <errorID>cb4190a8-9afd-4458-902d-37556c6c7795</errorID>
      <errorWord>提高</errorWord>
      <group>L1_Grammar</group>
      <groupName>语法问题</groupName>
      <ability>L2_Grammar</ability>
      <abilityName>语法错误</abilityName>
      <candidateList>
        <item>增强</item>
      </candidateList>
      <explain>“提高～意识”搭配不当，建议修改为“增强～意识”。</explain>
      <paraID>79B39DBD</paraID>
      <start>10</start>
      <end>12</end>
      <status>unmodified</status>
      <modifiedWord/>
      <trackRevisions>false</trackRevisions>
    </reviewItem>
    <reviewItem>
      <errorID>254d9c24-bd65-489b-84db-304002c68198</errorID>
      <errorWord>   </errorWord>
      <group>L1_Format</group>
      <groupName>格式问题</groupName>
      <ability>L2_Whitespace</ability>
      <abilityName>空白字符</abilityName>
      <candidateList>
        <item/>
      </candidateList>
      <explain>文本间存在多余的空白字符。</explain>
      <paraID> 28C009E</paraID>
      <start>4</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e141f-f3e6-4724-a4ae-89e6706cb5f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53</Pages>
  <Words>8463</Words>
  <Characters>8823</Characters>
  <Lines>1</Lines>
  <Paragraphs>1</Paragraphs>
  <TotalTime>70</TotalTime>
  <ScaleCrop>false</ScaleCrop>
  <LinksUpToDate>false</LinksUpToDate>
  <CharactersWithSpaces>8888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Administrator</cp:lastModifiedBy>
  <cp:lastPrinted>2020-12-24T01:50:00Z</cp:lastPrinted>
  <dcterms:modified xsi:type="dcterms:W3CDTF">2026-05-22T09:16:40Z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8B59FD060FBC4F22A490C46270F9437D_13</vt:lpwstr>
  </property>
  <property fmtid="{D5CDD505-2E9C-101B-9397-08002B2CF9AE}" pid="4" name="KSOTemplateDocerSaveRecord">
    <vt:lpwstr>eyJoZGlkIjoiMzU0Nzg5MDhiYWNlODhjOWFjNGJjNmU1YWIyZmY2MWMiLCJ1c2VySWQiOiIxMzAzNzMwMTgxIn0=</vt:lpwstr>
  </property>
</Properties>
</file>